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72D" w:rsidRPr="00C8412F" w:rsidRDefault="00EF672D" w:rsidP="00BB04D4">
      <w:pPr>
        <w:spacing w:after="0"/>
        <w:jc w:val="center"/>
        <w:rPr>
          <w:rFonts w:cs="Times New Roman"/>
          <w:color w:val="auto"/>
          <w:szCs w:val="24"/>
        </w:rPr>
      </w:pPr>
      <w:r w:rsidRPr="00C8412F">
        <w:rPr>
          <w:rFonts w:cs="Times New Roman"/>
          <w:b/>
          <w:color w:val="auto"/>
          <w:szCs w:val="24"/>
        </w:rPr>
        <w:t>Rethinking Library Public Relations Through the Lens of User Education and Digital Resource Utilization</w:t>
      </w:r>
    </w:p>
    <w:p w:rsidR="00EF672D" w:rsidRDefault="00EF672D" w:rsidP="00C8412F">
      <w:pPr>
        <w:spacing w:after="0"/>
        <w:jc w:val="both"/>
        <w:rPr>
          <w:rFonts w:cs="Times New Roman"/>
          <w:color w:val="auto"/>
          <w:szCs w:val="24"/>
        </w:rPr>
      </w:pPr>
    </w:p>
    <w:p w:rsidR="00BB04D4" w:rsidRPr="00BB04D4" w:rsidRDefault="00BB04D4" w:rsidP="00BB04D4">
      <w:pPr>
        <w:spacing w:after="0" w:line="240" w:lineRule="auto"/>
        <w:jc w:val="center"/>
        <w:rPr>
          <w:rFonts w:eastAsia="SimSun" w:cs="Times New Roman"/>
          <w:color w:val="000000"/>
          <w:lang w:val="en-GB"/>
        </w:rPr>
      </w:pPr>
      <w:r w:rsidRPr="00BB04D4">
        <w:rPr>
          <w:rFonts w:cs="Times New Roman"/>
          <w:color w:val="000000"/>
        </w:rPr>
        <w:t>Luter Henry Songu (CLN)</w:t>
      </w:r>
    </w:p>
    <w:p w:rsidR="00BB04D4" w:rsidRPr="00BB04D4" w:rsidRDefault="00BB04D4" w:rsidP="00BB04D4">
      <w:pPr>
        <w:spacing w:after="0" w:line="240" w:lineRule="auto"/>
        <w:jc w:val="center"/>
        <w:rPr>
          <w:rFonts w:cs="Times New Roman"/>
          <w:color w:val="000000"/>
        </w:rPr>
      </w:pPr>
      <w:hyperlink r:id="rId7" w:history="1">
        <w:r w:rsidRPr="00BB04D4">
          <w:rPr>
            <w:rStyle w:val="15"/>
            <w:rFonts w:ascii="Times New Roman" w:hAnsi="Times New Roman" w:cs="Times New Roman"/>
          </w:rPr>
          <w:t>songuhenryp@gmail.comm</w:t>
        </w:r>
      </w:hyperlink>
    </w:p>
    <w:p w:rsidR="00BB04D4" w:rsidRPr="00BB04D4" w:rsidRDefault="00BB04D4" w:rsidP="00BB04D4">
      <w:pPr>
        <w:spacing w:after="0" w:line="240" w:lineRule="auto"/>
        <w:jc w:val="center"/>
        <w:rPr>
          <w:rFonts w:cs="Times New Roman"/>
          <w:color w:val="000000"/>
        </w:rPr>
      </w:pPr>
      <w:r w:rsidRPr="00BB04D4">
        <w:rPr>
          <w:rFonts w:cs="Times New Roman"/>
          <w:color w:val="000000"/>
        </w:rPr>
        <w:t>Department of library and information science</w:t>
      </w:r>
    </w:p>
    <w:p w:rsidR="00BB04D4" w:rsidRPr="00BB04D4" w:rsidRDefault="00BB04D4" w:rsidP="00BB04D4">
      <w:pPr>
        <w:spacing w:after="0" w:line="240" w:lineRule="auto"/>
        <w:jc w:val="center"/>
        <w:rPr>
          <w:rFonts w:cs="Times New Roman"/>
          <w:color w:val="000000"/>
        </w:rPr>
      </w:pPr>
      <w:r w:rsidRPr="00BB04D4">
        <w:rPr>
          <w:rFonts w:cs="Times New Roman"/>
          <w:color w:val="000000"/>
        </w:rPr>
        <w:t>University of Calabar</w:t>
      </w:r>
    </w:p>
    <w:p w:rsidR="00BB04D4" w:rsidRDefault="00BB04D4" w:rsidP="00BB04D4">
      <w:pPr>
        <w:spacing w:after="0" w:line="240" w:lineRule="auto"/>
        <w:jc w:val="center"/>
        <w:rPr>
          <w:rFonts w:eastAsia="Times New Roman" w:cs="Times New Roman"/>
        </w:rPr>
      </w:pPr>
      <w:hyperlink r:id="rId8" w:history="1">
        <w:r w:rsidRPr="00BB04D4">
          <w:rPr>
            <w:rStyle w:val="15"/>
            <w:rFonts w:ascii="Times New Roman" w:hAnsi="Times New Roman" w:cs="Times New Roman"/>
          </w:rPr>
          <w:t>https://orcid.org/0000-0002-8299-95377</w:t>
        </w:r>
      </w:hyperlink>
    </w:p>
    <w:p w:rsidR="001B1517" w:rsidRDefault="001B1517" w:rsidP="00BB04D4">
      <w:pPr>
        <w:spacing w:after="0" w:line="240" w:lineRule="auto"/>
        <w:jc w:val="center"/>
        <w:rPr>
          <w:rFonts w:eastAsia="Times New Roman" w:cs="Times New Roman"/>
        </w:rPr>
      </w:pPr>
    </w:p>
    <w:p w:rsidR="001B1517" w:rsidRPr="001B1517" w:rsidRDefault="001B1517" w:rsidP="001B1517">
      <w:pPr>
        <w:spacing w:after="0" w:line="240" w:lineRule="auto"/>
        <w:jc w:val="center"/>
        <w:rPr>
          <w:rFonts w:cs="Times New Roman"/>
          <w:color w:val="auto"/>
          <w:szCs w:val="24"/>
        </w:rPr>
      </w:pPr>
      <w:r w:rsidRPr="001B1517">
        <w:rPr>
          <w:rFonts w:cs="Times New Roman"/>
          <w:color w:val="auto"/>
          <w:szCs w:val="24"/>
        </w:rPr>
        <w:t xml:space="preserve">Sherifat Abdulkadir  </w:t>
      </w:r>
    </w:p>
    <w:p w:rsidR="001B1517" w:rsidRPr="001B1517" w:rsidRDefault="001B1517" w:rsidP="001B1517">
      <w:pPr>
        <w:spacing w:after="0" w:line="240" w:lineRule="auto"/>
        <w:jc w:val="center"/>
        <w:rPr>
          <w:rFonts w:cs="Times New Roman"/>
          <w:color w:val="auto"/>
          <w:szCs w:val="24"/>
        </w:rPr>
      </w:pPr>
      <w:r w:rsidRPr="001B1517">
        <w:rPr>
          <w:rFonts w:cs="Times New Roman"/>
          <w:color w:val="auto"/>
          <w:szCs w:val="24"/>
        </w:rPr>
        <w:t xml:space="preserve">Federal College of Education, okene </w:t>
      </w:r>
    </w:p>
    <w:p w:rsidR="001B1517" w:rsidRDefault="001B1517" w:rsidP="001B1517">
      <w:pPr>
        <w:spacing w:after="0" w:line="240" w:lineRule="auto"/>
        <w:jc w:val="center"/>
        <w:rPr>
          <w:rFonts w:cs="Times New Roman"/>
          <w:color w:val="auto"/>
          <w:szCs w:val="24"/>
        </w:rPr>
      </w:pPr>
      <w:r w:rsidRPr="001B1517">
        <w:rPr>
          <w:rFonts w:cs="Times New Roman"/>
          <w:color w:val="auto"/>
          <w:szCs w:val="24"/>
        </w:rPr>
        <w:t>College Main Library</w:t>
      </w:r>
    </w:p>
    <w:p w:rsidR="001B1517" w:rsidRDefault="001B1517" w:rsidP="001B1517">
      <w:pPr>
        <w:spacing w:after="0" w:line="240" w:lineRule="auto"/>
        <w:jc w:val="center"/>
        <w:rPr>
          <w:rFonts w:cs="Times New Roman"/>
          <w:color w:val="auto"/>
          <w:szCs w:val="24"/>
        </w:rPr>
      </w:pPr>
      <w:hyperlink r:id="rId9" w:history="1">
        <w:r w:rsidRPr="004A47BD">
          <w:rPr>
            <w:rStyle w:val="Hyperlink"/>
            <w:rFonts w:cs="Times New Roman"/>
            <w:szCs w:val="24"/>
          </w:rPr>
          <w:t>sherifatsanusiab@gmail.com</w:t>
        </w:r>
      </w:hyperlink>
    </w:p>
    <w:p w:rsidR="001B1517" w:rsidRDefault="001B1517" w:rsidP="001B1517">
      <w:pPr>
        <w:spacing w:after="0" w:line="240" w:lineRule="auto"/>
        <w:jc w:val="center"/>
        <w:rPr>
          <w:rFonts w:cs="Times New Roman"/>
          <w:color w:val="auto"/>
          <w:szCs w:val="24"/>
        </w:rPr>
      </w:pPr>
    </w:p>
    <w:p w:rsidR="001B1517" w:rsidRPr="001B1517" w:rsidRDefault="001B1517" w:rsidP="001B1517">
      <w:pPr>
        <w:spacing w:after="0" w:line="240" w:lineRule="auto"/>
        <w:jc w:val="center"/>
        <w:rPr>
          <w:rFonts w:cs="Times New Roman"/>
          <w:color w:val="auto"/>
          <w:szCs w:val="24"/>
        </w:rPr>
      </w:pPr>
      <w:r w:rsidRPr="001B1517">
        <w:rPr>
          <w:rFonts w:cs="Times New Roman"/>
          <w:color w:val="auto"/>
          <w:szCs w:val="24"/>
        </w:rPr>
        <w:t xml:space="preserve">Aisha Abdulsalam </w:t>
      </w:r>
    </w:p>
    <w:p w:rsidR="001B1517" w:rsidRDefault="001B1517" w:rsidP="001B1517">
      <w:pPr>
        <w:spacing w:after="0" w:line="240" w:lineRule="auto"/>
        <w:jc w:val="center"/>
        <w:rPr>
          <w:rFonts w:cs="Times New Roman"/>
          <w:color w:val="auto"/>
          <w:szCs w:val="24"/>
        </w:rPr>
      </w:pPr>
      <w:r w:rsidRPr="001B1517">
        <w:rPr>
          <w:rFonts w:cs="Times New Roman"/>
          <w:color w:val="auto"/>
          <w:szCs w:val="24"/>
        </w:rPr>
        <w:t xml:space="preserve">Federal polytechnic Nasarawa </w:t>
      </w:r>
    </w:p>
    <w:p w:rsidR="001B1517" w:rsidRPr="001B1517" w:rsidRDefault="001B1517" w:rsidP="001B1517">
      <w:pPr>
        <w:spacing w:after="0" w:line="240" w:lineRule="auto"/>
        <w:jc w:val="center"/>
        <w:rPr>
          <w:rFonts w:cs="Times New Roman"/>
          <w:color w:val="auto"/>
          <w:szCs w:val="24"/>
        </w:rPr>
      </w:pPr>
      <w:r>
        <w:rPr>
          <w:rFonts w:cs="Times New Roman"/>
          <w:color w:val="auto"/>
          <w:szCs w:val="24"/>
        </w:rPr>
        <w:t>Polytechnic Main Library</w:t>
      </w:r>
    </w:p>
    <w:p w:rsidR="001B1517" w:rsidRDefault="001B1517" w:rsidP="001B1517">
      <w:pPr>
        <w:spacing w:after="0" w:line="240" w:lineRule="auto"/>
        <w:jc w:val="center"/>
        <w:rPr>
          <w:rFonts w:cs="Times New Roman"/>
          <w:color w:val="auto"/>
          <w:szCs w:val="24"/>
        </w:rPr>
      </w:pPr>
      <w:hyperlink r:id="rId10" w:history="1">
        <w:r w:rsidRPr="004A47BD">
          <w:rPr>
            <w:rStyle w:val="Hyperlink"/>
            <w:rFonts w:cs="Times New Roman"/>
            <w:szCs w:val="24"/>
          </w:rPr>
          <w:t>abdulsalamaisha972@gmail.com</w:t>
        </w:r>
      </w:hyperlink>
    </w:p>
    <w:p w:rsidR="001B1517" w:rsidRPr="001B1517" w:rsidRDefault="001B1517" w:rsidP="001B1517">
      <w:pPr>
        <w:spacing w:after="0" w:line="240" w:lineRule="auto"/>
        <w:jc w:val="center"/>
        <w:rPr>
          <w:rFonts w:cs="Times New Roman"/>
          <w:color w:val="auto"/>
          <w:szCs w:val="24"/>
        </w:rPr>
      </w:pPr>
    </w:p>
    <w:p w:rsidR="001B1517" w:rsidRPr="00BB04D4" w:rsidRDefault="001B1517" w:rsidP="001B1517">
      <w:pPr>
        <w:spacing w:after="0" w:line="240" w:lineRule="auto"/>
        <w:jc w:val="center"/>
        <w:rPr>
          <w:rFonts w:cs="Times New Roman"/>
          <w:color w:val="auto"/>
          <w:szCs w:val="24"/>
        </w:rPr>
      </w:pPr>
      <w:r>
        <w:rPr>
          <w:rFonts w:cs="Times New Roman"/>
          <w:color w:val="auto"/>
          <w:szCs w:val="24"/>
        </w:rPr>
        <w:t xml:space="preserve"> </w:t>
      </w:r>
    </w:p>
    <w:p w:rsidR="00EF672D" w:rsidRPr="00BA081C" w:rsidRDefault="00EF672D" w:rsidP="00BA081C">
      <w:pPr>
        <w:spacing w:after="0" w:line="240" w:lineRule="auto"/>
        <w:jc w:val="both"/>
        <w:rPr>
          <w:rFonts w:cs="Times New Roman"/>
          <w:i/>
          <w:color w:val="auto"/>
          <w:szCs w:val="24"/>
        </w:rPr>
      </w:pPr>
      <w:r w:rsidRPr="00BB04D4">
        <w:rPr>
          <w:rFonts w:cs="Times New Roman"/>
          <w:b/>
          <w:color w:val="auto"/>
          <w:szCs w:val="24"/>
        </w:rPr>
        <w:t>ABSTRACT</w:t>
      </w:r>
      <w:r w:rsidRPr="00BB04D4">
        <w:rPr>
          <w:rFonts w:cs="Times New Roman"/>
          <w:b/>
          <w:color w:val="auto"/>
          <w:szCs w:val="24"/>
        </w:rPr>
        <w:br/>
      </w:r>
      <w:r w:rsidRPr="00BA081C">
        <w:rPr>
          <w:rFonts w:cs="Times New Roman"/>
          <w:i/>
          <w:color w:val="auto"/>
          <w:szCs w:val="24"/>
        </w:rPr>
        <w:t>In contemporary tertiary education, academic libraries incur substantial financial expenditure on digital reference resources (DRRs) and electronic database subscriptions, yet continue</w:t>
      </w:r>
      <w:r w:rsidR="001B1517" w:rsidRPr="00BA081C">
        <w:rPr>
          <w:rFonts w:cs="Times New Roman"/>
          <w:i/>
          <w:color w:val="auto"/>
          <w:szCs w:val="24"/>
        </w:rPr>
        <w:t xml:space="preserve"> to confront severe under-utiliz</w:t>
      </w:r>
      <w:r w:rsidRPr="00BA081C">
        <w:rPr>
          <w:rFonts w:cs="Times New Roman"/>
          <w:i/>
          <w:color w:val="auto"/>
          <w:szCs w:val="24"/>
        </w:rPr>
        <w:t>ation, user information anxiety, and persistent stereotypes regarding the professional identity of librarians. This review article synthesizes empirical and theoretical literature to reconceptualize library public relations (PR) not as peripheral promotional publicity, but as an intrinsic extension of user education and pedagogical advocacy. Examining operational realities across university libraries, with particular emphasis on Nigerian tertiary institutions such as the Federal University of Technology (FUT) Minna and regional academic libraries in North-Central Nigeria, the study evaluates how user orientation, information literacy instruction, and Web 2.0 engagements directly influence digital resource adoption. Findings reveal that isolated marketing campaigns fail to build sustained patronage unless paired with instructional competency that resolves user search anxiety and interface friction. Conversely, when user education is strategically positioned as a primary PR vehicle, librarians demonstrate indispensable domain expertise, dismantle the restrictive 'bookstore custodian' stereotype, and establish institutional goodwill. The paper proposes an integrated operational framework connecting strategic communication, Web 2.0 multi-channel touchpoints, and user experience (UX) evaluation to maximize digital resource return on investment.</w:t>
      </w:r>
    </w:p>
    <w:p w:rsidR="00BA081C" w:rsidRDefault="00EF672D" w:rsidP="00C8412F">
      <w:pPr>
        <w:spacing w:after="0"/>
        <w:jc w:val="both"/>
        <w:rPr>
          <w:rFonts w:cs="Times New Roman"/>
          <w:color w:val="auto"/>
          <w:szCs w:val="24"/>
        </w:rPr>
      </w:pPr>
      <w:r w:rsidRPr="00C8412F">
        <w:rPr>
          <w:rFonts w:cs="Times New Roman"/>
          <w:b/>
          <w:color w:val="auto"/>
          <w:szCs w:val="24"/>
        </w:rPr>
        <w:t>Keywords:</w:t>
      </w:r>
      <w:r w:rsidRPr="00BA081C">
        <w:rPr>
          <w:rFonts w:cs="Times New Roman"/>
          <w:b/>
          <w:color w:val="auto"/>
          <w:szCs w:val="24"/>
        </w:rPr>
        <w:t xml:space="preserve"> </w:t>
      </w:r>
      <w:r w:rsidRPr="00BA081C">
        <w:rPr>
          <w:rFonts w:cs="Times New Roman"/>
          <w:color w:val="auto"/>
          <w:szCs w:val="24"/>
        </w:rPr>
        <w:t>Library Public Relations, User Ed</w:t>
      </w:r>
      <w:r w:rsidR="00BA081C">
        <w:rPr>
          <w:rFonts w:cs="Times New Roman"/>
          <w:color w:val="auto"/>
          <w:szCs w:val="24"/>
        </w:rPr>
        <w:t>ucation, Digital Resource Utiliz</w:t>
      </w:r>
      <w:r w:rsidRPr="00BA081C">
        <w:rPr>
          <w:rFonts w:cs="Times New Roman"/>
          <w:color w:val="auto"/>
          <w:szCs w:val="24"/>
        </w:rPr>
        <w:t xml:space="preserve">ation, Information </w:t>
      </w:r>
    </w:p>
    <w:p w:rsidR="00EF672D" w:rsidRPr="00C8412F" w:rsidRDefault="00BA081C" w:rsidP="00BA081C">
      <w:pPr>
        <w:spacing w:after="0"/>
        <w:ind w:left="720"/>
        <w:jc w:val="both"/>
        <w:rPr>
          <w:rFonts w:cs="Times New Roman"/>
          <w:color w:val="auto"/>
          <w:szCs w:val="24"/>
        </w:rPr>
      </w:pPr>
      <w:r>
        <w:rPr>
          <w:rFonts w:cs="Times New Roman"/>
          <w:color w:val="auto"/>
          <w:szCs w:val="24"/>
        </w:rPr>
        <w:t xml:space="preserve">        </w:t>
      </w:r>
      <w:r w:rsidR="00EF672D" w:rsidRPr="00BA081C">
        <w:rPr>
          <w:rFonts w:cs="Times New Roman"/>
          <w:color w:val="auto"/>
          <w:szCs w:val="24"/>
        </w:rPr>
        <w:t>Literacy, Academic Libraries, Digital Reference Services</w:t>
      </w:r>
    </w:p>
    <w:p w:rsidR="00C8412F" w:rsidRDefault="00C8412F" w:rsidP="00C8412F"/>
    <w:p w:rsidR="00BA081C" w:rsidRDefault="00BA081C" w:rsidP="00AC4BA3">
      <w:pPr>
        <w:spacing w:after="0"/>
      </w:pPr>
    </w:p>
    <w:p w:rsidR="00BA081C" w:rsidRDefault="00BA081C" w:rsidP="00AC4BA3">
      <w:pPr>
        <w:spacing w:after="0"/>
      </w:pPr>
    </w:p>
    <w:p w:rsidR="00BA081C" w:rsidRDefault="00BA081C" w:rsidP="00AC4BA3">
      <w:pPr>
        <w:spacing w:after="0"/>
      </w:pPr>
    </w:p>
    <w:p w:rsidR="00BA081C" w:rsidRDefault="00BA081C" w:rsidP="00AC4BA3">
      <w:pPr>
        <w:spacing w:after="0"/>
      </w:pPr>
    </w:p>
    <w:p w:rsidR="00EF672D" w:rsidRPr="009F24E8" w:rsidRDefault="00EF672D" w:rsidP="009F24E8">
      <w:pPr>
        <w:spacing w:after="0" w:line="480" w:lineRule="auto"/>
        <w:rPr>
          <w:rFonts w:cs="Times New Roman"/>
          <w:b/>
          <w:szCs w:val="24"/>
        </w:rPr>
      </w:pPr>
      <w:r w:rsidRPr="009F24E8">
        <w:rPr>
          <w:rFonts w:cs="Times New Roman"/>
          <w:b/>
          <w:szCs w:val="24"/>
        </w:rPr>
        <w:lastRenderedPageBreak/>
        <w:t>Introduction</w:t>
      </w:r>
    </w:p>
    <w:p w:rsidR="00EF672D" w:rsidRPr="00894A4D" w:rsidRDefault="00EF672D" w:rsidP="009F24E8">
      <w:pPr>
        <w:spacing w:after="0" w:line="480" w:lineRule="auto"/>
        <w:jc w:val="both"/>
        <w:rPr>
          <w:rFonts w:cs="Times New Roman"/>
          <w:color w:val="auto"/>
          <w:szCs w:val="24"/>
        </w:rPr>
      </w:pPr>
      <w:r w:rsidRPr="00894A4D">
        <w:rPr>
          <w:rFonts w:cs="Times New Roman"/>
          <w:color w:val="auto"/>
          <w:szCs w:val="24"/>
        </w:rPr>
        <w:t>The twenty-first-century academic landscape has undergone a fundamental transformation, shifting the core identity of university libraries from physical storage repositories of printed collections to dynamic, technology-mediated digital knowledge hubs (Angereke, Songu &amp; Obediah, 2026). Academic libraries function as the intellectual powerhouse and academic heart of tertiary institutions, established specifically to support the core mandate of teaching, learning, scholarly research, and community service (Ajibili &amp; Ajibowo, 2018; Oyewusi &amp; Oyeboade, 2009; Maidabino &amp; Ladan, 2015). To fulfill this institutional mission, university libraries invest heavily in acquiring, organizing, and subscribing to electronic information resources (EIRs) and digital reference resources (DRRs), including electronic theses and dissertations (e-theses), e-books, e-journals, online encyclopedias, and subject-specific academic databases such as AGORA, HINARI, and JSTOR (Anger</w:t>
      </w:r>
      <w:r w:rsidR="00E45552">
        <w:rPr>
          <w:rFonts w:cs="Times New Roman"/>
          <w:color w:val="auto"/>
          <w:szCs w:val="24"/>
        </w:rPr>
        <w:t>eke, Songu &amp; Obediah, 2026</w:t>
      </w:r>
      <w:r w:rsidRPr="00894A4D">
        <w:rPr>
          <w:rFonts w:cs="Times New Roman"/>
          <w:color w:val="auto"/>
          <w:szCs w:val="24"/>
        </w:rPr>
        <w:t>; Gabriel, 2019; Onifade Ogbuiyi &amp; Omeluzor, 2013).</w:t>
      </w:r>
    </w:p>
    <w:p w:rsidR="00EF672D" w:rsidRPr="00894A4D" w:rsidRDefault="00EF672D" w:rsidP="009F24E8">
      <w:pPr>
        <w:spacing w:after="0" w:line="480" w:lineRule="auto"/>
        <w:jc w:val="both"/>
        <w:rPr>
          <w:rFonts w:cs="Times New Roman"/>
          <w:color w:val="auto"/>
          <w:szCs w:val="24"/>
        </w:rPr>
      </w:pPr>
      <w:r w:rsidRPr="00894A4D">
        <w:rPr>
          <w:rFonts w:cs="Times New Roman"/>
          <w:color w:val="auto"/>
          <w:szCs w:val="24"/>
        </w:rPr>
        <w:t>Digital reference resources offer unparalleled operational advantages over traditional print collections: they provide remote 24/7 accessibility, facilitate simultaneous multi-user consultation, enable rapid full-text keyword retrieval, and permit real-time updates (Angereke, Songu &amp; Obediah, 2026; Oluwabiyi, 2017). In theory, the proliferation of digital information networks should dramatically enhance research productivity and user self-sufficiency. However, empirical investigations across developing nations, and particularly within Nigerian university libraries, demonstrate a persistent operational paradox: despite substantial financial investments in subscribing to state-of-the-art digital database</w:t>
      </w:r>
      <w:r w:rsidR="00B305FE">
        <w:rPr>
          <w:rFonts w:cs="Times New Roman"/>
          <w:color w:val="auto"/>
          <w:szCs w:val="24"/>
        </w:rPr>
        <w:t>s, the extent of database utiliz</w:t>
      </w:r>
      <w:r w:rsidRPr="00894A4D">
        <w:rPr>
          <w:rFonts w:cs="Times New Roman"/>
          <w:color w:val="auto"/>
          <w:szCs w:val="24"/>
        </w:rPr>
        <w:t>ation among undergraduate and postgraduate researchers frequently remains suboptimal (</w:t>
      </w:r>
      <w:r w:rsidR="003022D6" w:rsidRPr="00894A4D">
        <w:rPr>
          <w:rFonts w:cs="Times New Roman"/>
          <w:color w:val="auto"/>
          <w:szCs w:val="24"/>
        </w:rPr>
        <w:t xml:space="preserve">Angereke, Songu &amp; </w:t>
      </w:r>
      <w:r w:rsidR="003022D6" w:rsidRPr="00894A4D">
        <w:rPr>
          <w:rFonts w:cs="Times New Roman"/>
          <w:color w:val="auto"/>
          <w:szCs w:val="24"/>
        </w:rPr>
        <w:lastRenderedPageBreak/>
        <w:t>Obediah, 2026</w:t>
      </w:r>
      <w:r w:rsidRPr="00894A4D">
        <w:rPr>
          <w:rFonts w:cs="Times New Roman"/>
          <w:color w:val="auto"/>
          <w:szCs w:val="24"/>
        </w:rPr>
        <w:t xml:space="preserve">; Adamu &amp; Iliyasu, 2019; </w:t>
      </w:r>
      <w:r w:rsidR="003022D6" w:rsidRPr="00894A4D">
        <w:rPr>
          <w:rFonts w:cs="Times New Roman"/>
          <w:color w:val="auto"/>
          <w:szCs w:val="24"/>
        </w:rPr>
        <w:t>Songu, Angereke &amp; Obediah,</w:t>
      </w:r>
      <w:r w:rsidRPr="00894A4D">
        <w:rPr>
          <w:rFonts w:cs="Times New Roman"/>
          <w:color w:val="auto"/>
          <w:szCs w:val="24"/>
        </w:rPr>
        <w:t xml:space="preserve"> 2026; </w:t>
      </w:r>
      <w:r w:rsidR="00FD70A7" w:rsidRPr="00894A4D">
        <w:rPr>
          <w:rFonts w:cs="Times New Roman"/>
          <w:color w:val="auto"/>
          <w:szCs w:val="24"/>
        </w:rPr>
        <w:t>Quadri, Adetimirin &amp; Idowu</w:t>
      </w:r>
      <w:r w:rsidRPr="00894A4D">
        <w:rPr>
          <w:rFonts w:cs="Times New Roman"/>
          <w:color w:val="auto"/>
          <w:szCs w:val="24"/>
        </w:rPr>
        <w:t>, 2014).</w:t>
      </w:r>
    </w:p>
    <w:p w:rsidR="003022D6" w:rsidRPr="00894A4D" w:rsidRDefault="003022D6" w:rsidP="009F24E8">
      <w:pPr>
        <w:spacing w:after="0" w:line="480" w:lineRule="auto"/>
        <w:jc w:val="both"/>
        <w:rPr>
          <w:rFonts w:cs="Times New Roman"/>
          <w:color w:val="auto"/>
          <w:szCs w:val="24"/>
        </w:rPr>
      </w:pPr>
      <w:r w:rsidRPr="00894A4D">
        <w:rPr>
          <w:rFonts w:cs="Times New Roman"/>
          <w:color w:val="auto"/>
          <w:szCs w:val="24"/>
        </w:rPr>
        <w:t xml:space="preserve">A critical problem confronting academic librarianship in the global South is the widespread assumption that providing technological infrastructure and subscribing to digital content automatically ensures user adoption. In practice, magnificent library edifices and vast electronic subscriptions become 'white elephant projects' if patrons lack awareness or possess inadequate retrieval skills (Ogunmedede &amp; Emeahara, 2010; </w:t>
      </w:r>
      <w:r w:rsidR="00427EE0" w:rsidRPr="00894A4D">
        <w:rPr>
          <w:rFonts w:cs="Times New Roman"/>
          <w:color w:val="auto"/>
          <w:szCs w:val="24"/>
        </w:rPr>
        <w:t>Okube, Mole &amp; Ede</w:t>
      </w:r>
      <w:r w:rsidRPr="00894A4D">
        <w:rPr>
          <w:rFonts w:cs="Times New Roman"/>
          <w:color w:val="auto"/>
          <w:szCs w:val="24"/>
        </w:rPr>
        <w:t>, 2023). As demonstrated by Gabriel (2019) and Onah (2001), many university libraries fail to communicate their value effectively, leading students and faculty members to view the library through outdated, stereotypical lenses as a mere 'bookstore' or a passive 'storehouse of old books' managed by clerical custodians.</w:t>
      </w:r>
    </w:p>
    <w:p w:rsidR="003022D6" w:rsidRPr="00894A4D" w:rsidRDefault="003022D6" w:rsidP="009F24E8">
      <w:pPr>
        <w:spacing w:after="0" w:line="480" w:lineRule="auto"/>
        <w:jc w:val="both"/>
        <w:rPr>
          <w:rFonts w:eastAsia="SimSun" w:cs="Times New Roman"/>
          <w:color w:val="auto"/>
          <w:szCs w:val="24"/>
          <w:lang w:val="en-GB"/>
        </w:rPr>
      </w:pPr>
      <w:r w:rsidRPr="00894A4D">
        <w:rPr>
          <w:rFonts w:cs="Times New Roman"/>
          <w:color w:val="auto"/>
          <w:szCs w:val="24"/>
        </w:rPr>
        <w:t>This derogatory misconception severely degrades the professional prestige of librarians, reduces staff morale, and prompts students to bypass verified academic databases in favor of commercial web search engines (e.g., Google, consulted by 95% of students) and informal social networks (consulted by 70–87%) for academic assignments (Head, 2013; Gabriel, 2019; O</w:t>
      </w:r>
      <w:r w:rsidR="00D33E25" w:rsidRPr="00894A4D">
        <w:rPr>
          <w:rFonts w:cs="Times New Roman"/>
          <w:color w:val="auto"/>
          <w:szCs w:val="24"/>
        </w:rPr>
        <w:t>meluzor et al.,</w:t>
      </w:r>
      <w:r w:rsidRPr="00894A4D">
        <w:rPr>
          <w:rFonts w:cs="Times New Roman"/>
          <w:color w:val="auto"/>
          <w:szCs w:val="24"/>
        </w:rPr>
        <w:t xml:space="preserve"> 2017). Furthermore, when users encounter complex database interfaces without guidance, they experience severe information overload, techno-stress, and library anxiety, resulting in total library avoidance (Jiao &amp; Onwuegbuzie, 1999; Mellon, 1986; Singh, 2004). Bridging this disconnect requires rethinking library public relations, shifting from superficial promotional advertising to deeply embedding PR within user education and instructional advocacy.</w:t>
      </w:r>
    </w:p>
    <w:p w:rsidR="00EF672D" w:rsidRPr="00894A4D" w:rsidRDefault="00EF672D" w:rsidP="009F24E8">
      <w:pPr>
        <w:spacing w:after="0" w:line="480" w:lineRule="auto"/>
        <w:rPr>
          <w:rFonts w:cs="Times New Roman"/>
          <w:b/>
          <w:szCs w:val="24"/>
        </w:rPr>
      </w:pPr>
      <w:r w:rsidRPr="00894A4D">
        <w:rPr>
          <w:rFonts w:cs="Times New Roman"/>
          <w:b/>
          <w:szCs w:val="24"/>
        </w:rPr>
        <w:t>Definitional and Conceptual Triad</w:t>
      </w:r>
    </w:p>
    <w:p w:rsidR="00EF672D" w:rsidRPr="00894A4D" w:rsidRDefault="00EF672D" w:rsidP="009F24E8">
      <w:pPr>
        <w:spacing w:after="0" w:line="480" w:lineRule="auto"/>
        <w:jc w:val="both"/>
        <w:rPr>
          <w:rFonts w:cs="Times New Roman"/>
          <w:color w:val="auto"/>
          <w:szCs w:val="24"/>
        </w:rPr>
      </w:pPr>
      <w:r w:rsidRPr="00894A4D">
        <w:rPr>
          <w:rFonts w:cs="Times New Roman"/>
          <w:color w:val="auto"/>
          <w:szCs w:val="24"/>
        </w:rPr>
        <w:lastRenderedPageBreak/>
        <w:t>Understanding this utilization gap requires rigorous conceptual clarification of the three interconnecting constructs that anchor modern library management: Library Public Relations, User Education, and Digital Resource Utili</w:t>
      </w:r>
      <w:r w:rsidR="00B305FE">
        <w:rPr>
          <w:rFonts w:cs="Times New Roman"/>
          <w:color w:val="auto"/>
          <w:szCs w:val="24"/>
        </w:rPr>
        <w:t>z</w:t>
      </w:r>
      <w:r w:rsidRPr="00894A4D">
        <w:rPr>
          <w:rFonts w:cs="Times New Roman"/>
          <w:color w:val="auto"/>
          <w:szCs w:val="24"/>
        </w:rPr>
        <w:t>ation.</w:t>
      </w:r>
    </w:p>
    <w:p w:rsidR="00EF672D" w:rsidRPr="00894A4D" w:rsidRDefault="00EF672D" w:rsidP="009F24E8">
      <w:pPr>
        <w:pStyle w:val="ListBullet"/>
        <w:spacing w:after="0" w:line="480" w:lineRule="auto"/>
        <w:jc w:val="both"/>
        <w:rPr>
          <w:rFonts w:cs="Times New Roman"/>
          <w:color w:val="auto"/>
          <w:szCs w:val="24"/>
        </w:rPr>
      </w:pPr>
      <w:r w:rsidRPr="00894A4D">
        <w:rPr>
          <w:rFonts w:cs="Times New Roman"/>
          <w:b/>
          <w:color w:val="auto"/>
          <w:szCs w:val="24"/>
        </w:rPr>
        <w:t xml:space="preserve">Library Public Relations (PR) and Advocacy: </w:t>
      </w:r>
      <w:r w:rsidRPr="00894A4D">
        <w:rPr>
          <w:rFonts w:cs="Times New Roman"/>
          <w:color w:val="auto"/>
          <w:szCs w:val="24"/>
        </w:rPr>
        <w:t>Public relations in the library context represents a planned, deliberate, and sustained management function designed to establish and maintain mutual lines of communication, understanding, acceptance, and goodwill between a library and its internal and external publics (Gabriel, 2019; Okube, Mole &amp; Ede</w:t>
      </w:r>
      <w:r w:rsidR="00427EE0" w:rsidRPr="00894A4D">
        <w:rPr>
          <w:rFonts w:cs="Times New Roman"/>
          <w:color w:val="auto"/>
          <w:szCs w:val="24"/>
        </w:rPr>
        <w:t>,</w:t>
      </w:r>
      <w:r w:rsidRPr="00894A4D">
        <w:rPr>
          <w:rFonts w:cs="Times New Roman"/>
          <w:color w:val="auto"/>
          <w:szCs w:val="24"/>
        </w:rPr>
        <w:t xml:space="preserve"> 2023; Roberts &amp; Blandy, 1989). Extending beyond traditional publicity releases or poster displays, modern library PR encompasses strategic relationship marketing, institutional branding, stakeholder engagement, and policy advocacy aimed at securing political, financial, and administrative support from parent institutions and funding bodies (Heinze, 2017; Horsfall, 2020; Okube, 2023). Public relations seeks to align the library's mission with user expectations and project a positive institutional reputation (Fombrun, 1996; Walker, 2010).</w:t>
      </w:r>
    </w:p>
    <w:p w:rsidR="00EF672D" w:rsidRPr="00894A4D" w:rsidRDefault="00EF672D" w:rsidP="009F24E8">
      <w:pPr>
        <w:pStyle w:val="ListBullet"/>
        <w:spacing w:after="0" w:line="480" w:lineRule="auto"/>
        <w:jc w:val="both"/>
        <w:rPr>
          <w:rFonts w:cs="Times New Roman"/>
          <w:color w:val="auto"/>
          <w:szCs w:val="24"/>
        </w:rPr>
      </w:pPr>
      <w:r w:rsidRPr="00894A4D">
        <w:rPr>
          <w:rFonts w:cs="Times New Roman"/>
          <w:b/>
          <w:color w:val="auto"/>
          <w:szCs w:val="24"/>
        </w:rPr>
        <w:t xml:space="preserve">User Education and Information Literacy: </w:t>
      </w:r>
      <w:r w:rsidRPr="00894A4D">
        <w:rPr>
          <w:rFonts w:cs="Times New Roman"/>
          <w:color w:val="auto"/>
          <w:szCs w:val="24"/>
        </w:rPr>
        <w:t xml:space="preserve">User education comprises a structured continuum of instructional activities designed to equip library patrons with the cognitive and practical competencies necessary to identify, locate, evaluate, and effectively utilize information resources across diverse formats (Golenko, 2023; Popoola, 2008). It spans introductory library orientation tours for new students, bibliographic instruction, OPAC and database search syntax mechanics, research method workshops, and comprehensive information literacy programs aligned with international competency frameworks such as the </w:t>
      </w:r>
      <w:r w:rsidR="009A4F5B">
        <w:rPr>
          <w:rFonts w:cs="Times New Roman"/>
          <w:color w:val="auto"/>
          <w:szCs w:val="24"/>
        </w:rPr>
        <w:t>ACRL standards (Partridge</w:t>
      </w:r>
      <w:r w:rsidRPr="00894A4D">
        <w:rPr>
          <w:rFonts w:cs="Times New Roman"/>
          <w:color w:val="auto"/>
          <w:szCs w:val="24"/>
        </w:rPr>
        <w:t>,</w:t>
      </w:r>
      <w:r w:rsidR="009A4F5B">
        <w:rPr>
          <w:rFonts w:cs="Times New Roman"/>
          <w:color w:val="auto"/>
          <w:szCs w:val="24"/>
        </w:rPr>
        <w:t xml:space="preserve"> Lee </w:t>
      </w:r>
      <w:r w:rsidR="009A4F5B" w:rsidRPr="00C8412F">
        <w:rPr>
          <w:rFonts w:cs="Times New Roman"/>
          <w:color w:val="auto"/>
          <w:szCs w:val="24"/>
        </w:rPr>
        <w:t>&amp; Munro</w:t>
      </w:r>
      <w:r w:rsidR="009A4F5B">
        <w:rPr>
          <w:rFonts w:cs="Times New Roman"/>
          <w:color w:val="auto"/>
          <w:szCs w:val="24"/>
        </w:rPr>
        <w:t>,</w:t>
      </w:r>
      <w:r w:rsidRPr="00894A4D">
        <w:rPr>
          <w:rFonts w:cs="Times New Roman"/>
          <w:color w:val="auto"/>
          <w:szCs w:val="24"/>
        </w:rPr>
        <w:t xml:space="preserve"> 2010; Tronstad et al., 2009; Wijetunge, 2010). User education serves as the primary vehicle for transforming passive information consumers into self-directed, lifelong critical researchers (Idoko</w:t>
      </w:r>
      <w:r w:rsidR="009A4F5B">
        <w:rPr>
          <w:rFonts w:cs="Times New Roman"/>
          <w:color w:val="auto"/>
          <w:szCs w:val="24"/>
        </w:rPr>
        <w:t xml:space="preserve">, Asogwa </w:t>
      </w:r>
      <w:r w:rsidR="009A4F5B" w:rsidRPr="00C8412F">
        <w:rPr>
          <w:rFonts w:cs="Times New Roman"/>
          <w:color w:val="auto"/>
          <w:szCs w:val="24"/>
        </w:rPr>
        <w:t>&amp; Ugwuanyi</w:t>
      </w:r>
      <w:r w:rsidRPr="00894A4D">
        <w:rPr>
          <w:rFonts w:cs="Times New Roman"/>
          <w:color w:val="auto"/>
          <w:szCs w:val="24"/>
        </w:rPr>
        <w:t>, 2015).</w:t>
      </w:r>
    </w:p>
    <w:p w:rsidR="00427EE0" w:rsidRPr="00894A4D" w:rsidRDefault="00E70014" w:rsidP="009F24E8">
      <w:pPr>
        <w:pStyle w:val="ListBullet"/>
        <w:spacing w:after="0" w:line="480" w:lineRule="auto"/>
        <w:jc w:val="both"/>
        <w:rPr>
          <w:rFonts w:cs="Times New Roman"/>
          <w:color w:val="auto"/>
          <w:szCs w:val="24"/>
        </w:rPr>
      </w:pPr>
      <w:r>
        <w:rPr>
          <w:rFonts w:cs="Times New Roman"/>
          <w:b/>
          <w:color w:val="auto"/>
          <w:szCs w:val="24"/>
        </w:rPr>
        <w:lastRenderedPageBreak/>
        <w:t>Digital Resource Utiliz</w:t>
      </w:r>
      <w:r w:rsidR="00EF672D" w:rsidRPr="00894A4D">
        <w:rPr>
          <w:rFonts w:cs="Times New Roman"/>
          <w:b/>
          <w:color w:val="auto"/>
          <w:szCs w:val="24"/>
        </w:rPr>
        <w:t xml:space="preserve">ation: </w:t>
      </w:r>
      <w:r w:rsidR="00B305FE">
        <w:rPr>
          <w:rFonts w:cs="Times New Roman"/>
          <w:color w:val="auto"/>
          <w:szCs w:val="24"/>
        </w:rPr>
        <w:t>Digital resource utiliz</w:t>
      </w:r>
      <w:r w:rsidR="00EF672D" w:rsidRPr="00894A4D">
        <w:rPr>
          <w:rFonts w:cs="Times New Roman"/>
          <w:color w:val="auto"/>
          <w:szCs w:val="24"/>
        </w:rPr>
        <w:t>ation refers to the actual frequency, depth, and effectiveness with which library patrons interact with e-content and virtual ref</w:t>
      </w:r>
      <w:r w:rsidR="00622C25">
        <w:rPr>
          <w:rFonts w:cs="Times New Roman"/>
          <w:color w:val="auto"/>
          <w:szCs w:val="24"/>
        </w:rPr>
        <w:t>erence services (Angereke, S</w:t>
      </w:r>
      <w:r w:rsidR="00FF069B" w:rsidRPr="00894A4D">
        <w:rPr>
          <w:rFonts w:cs="Times New Roman"/>
          <w:color w:val="auto"/>
          <w:szCs w:val="24"/>
        </w:rPr>
        <w:t>ongu &amp; Obediah</w:t>
      </w:r>
      <w:r w:rsidR="00EF672D" w:rsidRPr="00894A4D">
        <w:rPr>
          <w:rFonts w:cs="Times New Roman"/>
          <w:color w:val="auto"/>
          <w:szCs w:val="24"/>
        </w:rPr>
        <w:t>, 2026; Songu</w:t>
      </w:r>
      <w:r w:rsidR="00FF069B" w:rsidRPr="00894A4D">
        <w:rPr>
          <w:rFonts w:cs="Times New Roman"/>
          <w:color w:val="auto"/>
          <w:szCs w:val="24"/>
        </w:rPr>
        <w:t xml:space="preserve">, Angereke &amp; Obediah </w:t>
      </w:r>
      <w:r w:rsidR="00EF672D" w:rsidRPr="00894A4D">
        <w:rPr>
          <w:rFonts w:cs="Times New Roman"/>
          <w:color w:val="auto"/>
          <w:szCs w:val="24"/>
        </w:rPr>
        <w:t>2026). It encompasses consultation of e-theses, e-books, e-journals, e-encyclopedias, e-dictionaries, and full-text databases, alongside participation in computer-mediated Digital Reference Services (DRS) such as e-mail reference, Ask-a-Librarian web forms, text-based instant messaging, and collaborative digital reference networks (Oluwabiyi, 2017; Bera, 2016; Janes,</w:t>
      </w:r>
      <w:r w:rsidR="000202B3">
        <w:rPr>
          <w:rFonts w:cs="Times New Roman"/>
          <w:color w:val="auto"/>
          <w:szCs w:val="24"/>
        </w:rPr>
        <w:t xml:space="preserve"> Carter </w:t>
      </w:r>
      <w:r w:rsidR="000202B3" w:rsidRPr="00C8412F">
        <w:rPr>
          <w:rFonts w:cs="Times New Roman"/>
          <w:color w:val="auto"/>
          <w:szCs w:val="24"/>
        </w:rPr>
        <w:t xml:space="preserve">&amp; Memmott, </w:t>
      </w:r>
      <w:r w:rsidR="00EF672D" w:rsidRPr="00894A4D">
        <w:rPr>
          <w:rFonts w:cs="Times New Roman"/>
          <w:color w:val="auto"/>
          <w:szCs w:val="24"/>
        </w:rPr>
        <w:t xml:space="preserve"> 1999).</w:t>
      </w:r>
    </w:p>
    <w:p w:rsidR="00427EE0" w:rsidRPr="00894A4D" w:rsidRDefault="00EF672D" w:rsidP="009F24E8">
      <w:pPr>
        <w:pStyle w:val="ListBullet"/>
        <w:numPr>
          <w:ilvl w:val="0"/>
          <w:numId w:val="0"/>
        </w:numPr>
        <w:spacing w:after="0" w:line="480" w:lineRule="auto"/>
        <w:jc w:val="both"/>
        <w:rPr>
          <w:rFonts w:cs="Times New Roman"/>
          <w:b/>
          <w:color w:val="auto"/>
          <w:szCs w:val="24"/>
        </w:rPr>
      </w:pPr>
      <w:r w:rsidRPr="00894A4D">
        <w:rPr>
          <w:rFonts w:cs="Times New Roman"/>
          <w:b/>
          <w:color w:val="auto"/>
          <w:szCs w:val="24"/>
        </w:rPr>
        <w:t>Reconceptualizing Public Relations as an Extension of User Education</w:t>
      </w:r>
    </w:p>
    <w:p w:rsidR="00EF672D" w:rsidRPr="00894A4D" w:rsidRDefault="00EF672D" w:rsidP="009F24E8">
      <w:pPr>
        <w:pStyle w:val="ListBullet"/>
        <w:numPr>
          <w:ilvl w:val="0"/>
          <w:numId w:val="0"/>
        </w:numPr>
        <w:spacing w:after="0" w:line="480" w:lineRule="auto"/>
        <w:jc w:val="both"/>
        <w:rPr>
          <w:rFonts w:cs="Times New Roman"/>
          <w:color w:val="auto"/>
          <w:szCs w:val="24"/>
        </w:rPr>
      </w:pPr>
      <w:r w:rsidRPr="00894A4D">
        <w:rPr>
          <w:rFonts w:cs="Times New Roman"/>
          <w:b/>
          <w:color w:val="auto"/>
          <w:szCs w:val="24"/>
        </w:rPr>
        <w:t>From Transactional Marketing to Pedagogical Advocacy</w:t>
      </w:r>
    </w:p>
    <w:p w:rsidR="00EF672D" w:rsidRPr="00894A4D" w:rsidRDefault="00EF672D" w:rsidP="009F24E8">
      <w:pPr>
        <w:spacing w:after="0" w:line="480" w:lineRule="auto"/>
        <w:jc w:val="both"/>
        <w:rPr>
          <w:rFonts w:cs="Times New Roman"/>
          <w:color w:val="auto"/>
          <w:szCs w:val="24"/>
        </w:rPr>
      </w:pPr>
      <w:r w:rsidRPr="00894A4D">
        <w:rPr>
          <w:rFonts w:cs="Times New Roman"/>
          <w:color w:val="auto"/>
          <w:szCs w:val="24"/>
        </w:rPr>
        <w:t>Historically, library professionals exhibited deep skepticism toward marketing and public relations concepts, perceiving them as commercial, transactional practices involving customer manipulation that clashed with the public service ethos and free open-access mission of librarianship (Heinze, 2017; Pandey, 2015; Amaral, 1992). However</w:t>
      </w:r>
      <w:r w:rsidR="003022D6" w:rsidRPr="00894A4D">
        <w:rPr>
          <w:rFonts w:cs="Times New Roman"/>
          <w:color w:val="auto"/>
          <w:szCs w:val="24"/>
        </w:rPr>
        <w:t xml:space="preserve">, contemporary marketing theory, </w:t>
      </w:r>
      <w:r w:rsidRPr="00894A4D">
        <w:rPr>
          <w:rFonts w:cs="Times New Roman"/>
          <w:color w:val="auto"/>
          <w:szCs w:val="24"/>
        </w:rPr>
        <w:t>most notably Philip Kotle</w:t>
      </w:r>
      <w:r w:rsidR="003022D6" w:rsidRPr="00894A4D">
        <w:rPr>
          <w:rFonts w:cs="Times New Roman"/>
          <w:color w:val="auto"/>
          <w:szCs w:val="24"/>
        </w:rPr>
        <w:t xml:space="preserve">r's 'Marketing 3.0' framework, </w:t>
      </w:r>
      <w:r w:rsidRPr="00894A4D">
        <w:rPr>
          <w:rFonts w:cs="Times New Roman"/>
          <w:color w:val="auto"/>
          <w:szCs w:val="24"/>
        </w:rPr>
        <w:t xml:space="preserve">redefines marketing as a human-centric philosophy dedicated to providing solutions for societal challenges and satisfying human needs (Kotler </w:t>
      </w:r>
      <w:r w:rsidR="00BD5163" w:rsidRPr="00894A4D">
        <w:rPr>
          <w:rFonts w:cs="Times New Roman"/>
          <w:color w:val="auto"/>
          <w:szCs w:val="24"/>
        </w:rPr>
        <w:t>Kartajaya &amp; Setiawan</w:t>
      </w:r>
      <w:r w:rsidRPr="00894A4D">
        <w:rPr>
          <w:rFonts w:cs="Times New Roman"/>
          <w:color w:val="auto"/>
          <w:szCs w:val="24"/>
        </w:rPr>
        <w:t>, 2010; Heinze, 2017). Under this modern paradigm, marketing is not merely 'getting the word out' via brochures and notice board flyers; it encompasses every organizational touchpoint that creates, communicates, and delivers value to the user community (American Marketing Association [AMA], 2013; Heinze, 2017).</w:t>
      </w:r>
    </w:p>
    <w:p w:rsidR="00080359" w:rsidRPr="00894A4D" w:rsidRDefault="00EF672D" w:rsidP="009F24E8">
      <w:pPr>
        <w:spacing w:after="0" w:line="480" w:lineRule="auto"/>
        <w:jc w:val="both"/>
        <w:rPr>
          <w:rFonts w:cs="Times New Roman"/>
          <w:color w:val="auto"/>
          <w:szCs w:val="24"/>
        </w:rPr>
      </w:pPr>
      <w:r w:rsidRPr="00894A4D">
        <w:rPr>
          <w:rFonts w:cs="Times New Roman"/>
          <w:color w:val="auto"/>
          <w:szCs w:val="24"/>
        </w:rPr>
        <w:t xml:space="preserve">When public relations is operationalized through user education, the interaction transforms from a transactional promotional claim into a pedagogical relationship. User orientation sessions, research clinics, and point-of-need database workshops become dynamic PR touchpoints where the library </w:t>
      </w:r>
      <w:r w:rsidRPr="00894A4D">
        <w:rPr>
          <w:rFonts w:cs="Times New Roman"/>
          <w:color w:val="auto"/>
          <w:szCs w:val="24"/>
        </w:rPr>
        <w:lastRenderedPageBreak/>
        <w:t>actively demonstrates its value proposition (Gabriel, 2019; Popoola, 2008). As Heinze (2017) argues, excessive focus on promotional publicity without ensuring instructional utility fails to deliver authentic value. By embedding PR within educational instruction, every instructional encounter reinforces user trust, fosters repeat library patronage, and establishes a sustainable 'pool of goodwill' between the academic library and its scholarly stake</w:t>
      </w:r>
      <w:r w:rsidR="00BD5163" w:rsidRPr="00894A4D">
        <w:rPr>
          <w:rFonts w:cs="Times New Roman"/>
          <w:color w:val="auto"/>
          <w:szCs w:val="24"/>
        </w:rPr>
        <w:t>holders (David, 2021</w:t>
      </w:r>
      <w:r w:rsidRPr="00894A4D">
        <w:rPr>
          <w:rFonts w:cs="Times New Roman"/>
          <w:color w:val="auto"/>
          <w:szCs w:val="24"/>
        </w:rPr>
        <w:t>).</w:t>
      </w:r>
    </w:p>
    <w:p w:rsidR="00EF672D" w:rsidRPr="00894A4D" w:rsidRDefault="00EF672D" w:rsidP="009F24E8">
      <w:pPr>
        <w:spacing w:after="0" w:line="480" w:lineRule="auto"/>
        <w:jc w:val="both"/>
        <w:rPr>
          <w:rFonts w:cs="Times New Roman"/>
          <w:b/>
          <w:color w:val="auto"/>
          <w:szCs w:val="24"/>
        </w:rPr>
      </w:pPr>
      <w:r w:rsidRPr="00894A4D">
        <w:rPr>
          <w:rFonts w:cs="Times New Roman"/>
          <w:b/>
          <w:color w:val="auto"/>
          <w:szCs w:val="24"/>
        </w:rPr>
        <w:t>Overcoming Image Stereotypes Through Instructional Competency</w:t>
      </w:r>
    </w:p>
    <w:p w:rsidR="00080359" w:rsidRPr="00894A4D" w:rsidRDefault="00EF672D" w:rsidP="009F24E8">
      <w:pPr>
        <w:spacing w:after="0" w:line="480" w:lineRule="auto"/>
        <w:jc w:val="both"/>
        <w:rPr>
          <w:rFonts w:cs="Times New Roman"/>
          <w:color w:val="auto"/>
          <w:szCs w:val="24"/>
        </w:rPr>
      </w:pPr>
      <w:r w:rsidRPr="00894A4D">
        <w:rPr>
          <w:rFonts w:cs="Times New Roman"/>
          <w:color w:val="auto"/>
          <w:szCs w:val="24"/>
        </w:rPr>
        <w:t>The professional image of librarians is profoundly shaped by the nature of their direct interactions with library patrons (</w:t>
      </w:r>
      <w:r w:rsidR="00080359" w:rsidRPr="00894A4D">
        <w:rPr>
          <w:rFonts w:cs="Times New Roman"/>
          <w:color w:val="auto"/>
          <w:szCs w:val="24"/>
        </w:rPr>
        <w:t>Langridge, Rigby &amp; Pagowsk</w:t>
      </w:r>
      <w:r w:rsidRPr="00894A4D">
        <w:rPr>
          <w:rFonts w:cs="Times New Roman"/>
          <w:color w:val="auto"/>
          <w:szCs w:val="24"/>
        </w:rPr>
        <w:t>, 2014; Bassey, 2006; Odine, 2011). Empirical findings by Gabriel (2019) across federal university libraries in North-Central Nigeria confirm that where librarians engage in proactive public relations and instructional communication, users' mental perceptions shift dramatically. Rather than perceiving librarians as stern bookkeepers, patrons recognize them as highly trained, technologically adept information managers, research partners, and essential academic facilitators (Gabriel, 2019; Steadley &amp; Gray, 2003).</w:t>
      </w:r>
      <w:r w:rsidR="00080359" w:rsidRPr="00894A4D">
        <w:rPr>
          <w:rFonts w:cs="Times New Roman"/>
          <w:color w:val="auto"/>
          <w:szCs w:val="24"/>
        </w:rPr>
        <w:t xml:space="preserve"> </w:t>
      </w:r>
      <w:r w:rsidRPr="00894A4D">
        <w:rPr>
          <w:rFonts w:cs="Times New Roman"/>
          <w:color w:val="auto"/>
          <w:szCs w:val="24"/>
        </w:rPr>
        <w:t>During structured user education programs, reference librarians display domain expertise in indexing logic, Boolean logic formulation, citation management, and digital database evaluation. This direct demonstration of professional skill effectively dismantles lingering cultural stereotypes (Pagowski &amp; Rigby, 2014; White, 2012). As Gabriel (2019) observed, proactive PR practice significantly boosts librarians' self-esteem, enhances staff morale, and garners administrative respect, positioning librarians as indispensable actors within the university's governance and research ecosystem (Egbunike, 2018; Adewusi, 2014).</w:t>
      </w:r>
    </w:p>
    <w:p w:rsidR="00EF672D" w:rsidRPr="00894A4D" w:rsidRDefault="00EF672D" w:rsidP="009F24E8">
      <w:pPr>
        <w:spacing w:after="0" w:line="480" w:lineRule="auto"/>
        <w:jc w:val="both"/>
        <w:rPr>
          <w:rFonts w:cs="Times New Roman"/>
          <w:b/>
          <w:color w:val="auto"/>
          <w:szCs w:val="24"/>
        </w:rPr>
      </w:pPr>
      <w:r w:rsidRPr="00894A4D">
        <w:rPr>
          <w:rFonts w:cs="Times New Roman"/>
          <w:b/>
          <w:color w:val="auto"/>
          <w:szCs w:val="24"/>
        </w:rPr>
        <w:t>Mitigating Library Anxiety and Information Stress</w:t>
      </w:r>
    </w:p>
    <w:p w:rsidR="00EF672D" w:rsidRPr="00894A4D" w:rsidRDefault="00EF672D" w:rsidP="009F24E8">
      <w:pPr>
        <w:spacing w:after="0" w:line="480" w:lineRule="auto"/>
        <w:jc w:val="both"/>
        <w:rPr>
          <w:rFonts w:cs="Times New Roman"/>
          <w:color w:val="auto"/>
          <w:szCs w:val="24"/>
        </w:rPr>
      </w:pPr>
      <w:r w:rsidRPr="00894A4D">
        <w:rPr>
          <w:rFonts w:cs="Times New Roman"/>
          <w:color w:val="auto"/>
          <w:szCs w:val="24"/>
        </w:rPr>
        <w:t>First-year undergraduate and postgraduate students frequent</w:t>
      </w:r>
      <w:r w:rsidR="00FF069B" w:rsidRPr="00894A4D">
        <w:rPr>
          <w:rFonts w:cs="Times New Roman"/>
          <w:color w:val="auto"/>
          <w:szCs w:val="24"/>
        </w:rPr>
        <w:t xml:space="preserve">ly experience 'library anxiety,' </w:t>
      </w:r>
      <w:r w:rsidRPr="00894A4D">
        <w:rPr>
          <w:rFonts w:cs="Times New Roman"/>
          <w:color w:val="auto"/>
          <w:szCs w:val="24"/>
        </w:rPr>
        <w:t xml:space="preserve">a distinct state-anxiety characterized by feelings of fear, helplessness, intimidation, and cognitive </w:t>
      </w:r>
      <w:r w:rsidRPr="00894A4D">
        <w:rPr>
          <w:rFonts w:cs="Times New Roman"/>
          <w:color w:val="auto"/>
          <w:szCs w:val="24"/>
        </w:rPr>
        <w:lastRenderedPageBreak/>
        <w:t>discomfort when approaching the library or contemplating its use (Mellon, 1986; Jiao &amp; Onwuegbuzie, 1999; Bostick, 1992). Bostick's Library Anxiety Scale (LAS) identifies five primary antecedents of user anxiety: (1) barriers with staff, (2) affective barriers regarding personal research competency, (3) comfort with the physical space, (4) knowledge of the library, and (5) mechanical or technological barriers (Onwuegbuzie</w:t>
      </w:r>
      <w:r w:rsidR="003E2814">
        <w:rPr>
          <w:rFonts w:cs="Times New Roman"/>
          <w:color w:val="auto"/>
          <w:szCs w:val="24"/>
        </w:rPr>
        <w:t xml:space="preserve">, Jiao </w:t>
      </w:r>
      <w:r w:rsidR="003E2814" w:rsidRPr="00C8412F">
        <w:rPr>
          <w:rFonts w:cs="Times New Roman"/>
          <w:color w:val="auto"/>
          <w:szCs w:val="24"/>
        </w:rPr>
        <w:t>&amp; Bostick</w:t>
      </w:r>
      <w:r w:rsidRPr="00894A4D">
        <w:rPr>
          <w:rFonts w:cs="Times New Roman"/>
          <w:color w:val="auto"/>
          <w:szCs w:val="24"/>
        </w:rPr>
        <w:t>, 2004; Shelmerdine, 2018).</w:t>
      </w:r>
    </w:p>
    <w:p w:rsidR="00080359" w:rsidRPr="00894A4D" w:rsidRDefault="00EF672D" w:rsidP="009F24E8">
      <w:pPr>
        <w:spacing w:after="0" w:line="480" w:lineRule="auto"/>
        <w:jc w:val="both"/>
        <w:rPr>
          <w:rFonts w:cs="Times New Roman"/>
          <w:color w:val="auto"/>
          <w:szCs w:val="24"/>
        </w:rPr>
      </w:pPr>
      <w:r w:rsidRPr="00894A4D">
        <w:rPr>
          <w:rFonts w:cs="Times New Roman"/>
          <w:color w:val="auto"/>
          <w:szCs w:val="24"/>
        </w:rPr>
        <w:t>Unaddressed library anxiety leads directly to avoidance behaviors, where intimidated students refrain from asking reference questions to hide perceived incompetence, thereby remaining trapped in low information literacy (Mellon, 1986; Jiao &amp; Onwuegbuzie, 1999; Still, 2015). User education programs designed through a compassionate PR lens serve as the most effective counter-measure against library anxiety. Muszkiewicz (2017) demonstrated that 'Get to Know Your Librarian' orientation sessions reduced reported user anxiety from 48% to negligible levels by humanizing library staff and demonstrating approachability. When librarians position themselves as empathetic co-learners rather than intimidating authority figures, affective barriers dissolve, user confidence increases, and patrons feel empowered to exploit complex digital reference resources (Shelmerdine, 2018; Elmborg, 2010; Atlas, 2005).</w:t>
      </w:r>
    </w:p>
    <w:p w:rsidR="00080359" w:rsidRPr="00894A4D" w:rsidRDefault="00EF672D" w:rsidP="009F24E8">
      <w:pPr>
        <w:spacing w:after="0" w:line="480" w:lineRule="auto"/>
        <w:jc w:val="both"/>
        <w:rPr>
          <w:rFonts w:cs="Times New Roman"/>
          <w:b/>
          <w:color w:val="auto"/>
          <w:szCs w:val="24"/>
        </w:rPr>
      </w:pPr>
      <w:r w:rsidRPr="00894A4D">
        <w:rPr>
          <w:rFonts w:cs="Times New Roman"/>
          <w:b/>
          <w:color w:val="auto"/>
          <w:szCs w:val="24"/>
        </w:rPr>
        <w:t>Digital Resource Utilisation and Web 2.0 Communication Channels</w:t>
      </w:r>
    </w:p>
    <w:p w:rsidR="00EF672D" w:rsidRPr="009F24E8" w:rsidRDefault="00EF672D" w:rsidP="009F24E8">
      <w:pPr>
        <w:spacing w:after="0" w:line="480" w:lineRule="auto"/>
        <w:jc w:val="both"/>
        <w:rPr>
          <w:rFonts w:cs="Times New Roman"/>
          <w:b/>
          <w:color w:val="auto"/>
          <w:szCs w:val="24"/>
        </w:rPr>
      </w:pPr>
      <w:r w:rsidRPr="009F24E8">
        <w:rPr>
          <w:rFonts w:cs="Times New Roman"/>
          <w:b/>
          <w:color w:val="auto"/>
          <w:szCs w:val="24"/>
        </w:rPr>
        <w:t>The Web 2.0 Paradigm and Participatory Library Networks</w:t>
      </w:r>
    </w:p>
    <w:p w:rsidR="00EF672D" w:rsidRPr="00894A4D" w:rsidRDefault="00EF672D" w:rsidP="009F24E8">
      <w:pPr>
        <w:spacing w:after="0" w:line="480" w:lineRule="auto"/>
        <w:jc w:val="both"/>
        <w:rPr>
          <w:rFonts w:cs="Times New Roman"/>
          <w:color w:val="auto"/>
          <w:szCs w:val="24"/>
        </w:rPr>
      </w:pPr>
      <w:r w:rsidRPr="00894A4D">
        <w:rPr>
          <w:rFonts w:cs="Times New Roman"/>
          <w:color w:val="auto"/>
          <w:szCs w:val="24"/>
        </w:rPr>
        <w:t>The</w:t>
      </w:r>
      <w:r w:rsidR="00080359" w:rsidRPr="00894A4D">
        <w:rPr>
          <w:rFonts w:cs="Times New Roman"/>
          <w:color w:val="auto"/>
          <w:szCs w:val="24"/>
        </w:rPr>
        <w:t xml:space="preserve"> advent of Web 2.0 technologies, </w:t>
      </w:r>
      <w:r w:rsidRPr="00894A4D">
        <w:rPr>
          <w:rFonts w:cs="Times New Roman"/>
          <w:color w:val="auto"/>
          <w:szCs w:val="24"/>
        </w:rPr>
        <w:t>c</w:t>
      </w:r>
      <w:r w:rsidR="00080359" w:rsidRPr="00894A4D">
        <w:rPr>
          <w:rFonts w:cs="Times New Roman"/>
          <w:color w:val="auto"/>
          <w:szCs w:val="24"/>
        </w:rPr>
        <w:t xml:space="preserve">oined by O'Reilly Media in 2004, </w:t>
      </w:r>
      <w:r w:rsidRPr="00894A4D">
        <w:rPr>
          <w:rFonts w:cs="Times New Roman"/>
          <w:color w:val="auto"/>
          <w:szCs w:val="24"/>
        </w:rPr>
        <w:t>fundamentally restructured the internet from a static, read-only medium into a dynamic, participatory, and collaborative social web (Pandey, 2015). Web 2.0 tools allow users to actively generate, evaluate, tag, and share digital content. In response, academic libraries have embraced the 'Library 2.0' paradigm (Maness, 2006), transforming virtual library platforms into conversational infrastructures (Lankes</w:t>
      </w:r>
      <w:r w:rsidR="00BE75F1" w:rsidRPr="00894A4D">
        <w:rPr>
          <w:rFonts w:cs="Times New Roman"/>
          <w:color w:val="auto"/>
          <w:szCs w:val="24"/>
        </w:rPr>
        <w:t>, Silverstein &amp; Nicholson</w:t>
      </w:r>
      <w:r w:rsidRPr="00894A4D">
        <w:rPr>
          <w:rFonts w:cs="Times New Roman"/>
          <w:color w:val="auto"/>
          <w:szCs w:val="24"/>
        </w:rPr>
        <w:t>, 2007; Farkas, 2008).</w:t>
      </w:r>
      <w:r w:rsidR="00BE75F1" w:rsidRPr="00894A4D">
        <w:rPr>
          <w:rFonts w:cs="Times New Roman"/>
          <w:color w:val="auto"/>
          <w:szCs w:val="24"/>
        </w:rPr>
        <w:t xml:space="preserve"> </w:t>
      </w:r>
      <w:r w:rsidRPr="00894A4D">
        <w:rPr>
          <w:rFonts w:cs="Times New Roman"/>
          <w:color w:val="auto"/>
          <w:szCs w:val="24"/>
        </w:rPr>
        <w:t xml:space="preserve">Leveraging Web 2.0 </w:t>
      </w:r>
      <w:r w:rsidRPr="00894A4D">
        <w:rPr>
          <w:rFonts w:cs="Times New Roman"/>
          <w:color w:val="auto"/>
          <w:szCs w:val="24"/>
        </w:rPr>
        <w:lastRenderedPageBreak/>
        <w:t xml:space="preserve">channels provides academic libraries with low-cost, highly effective public relations and educational outreach mechanisms (Lloret Romero, 2011; Blakeman &amp; Brown, 2010). The strategic integration of social media platforms can be conceptualized through the </w:t>
      </w:r>
      <w:r w:rsidR="00080359" w:rsidRPr="00894A4D">
        <w:rPr>
          <w:rFonts w:cs="Times New Roman"/>
          <w:color w:val="auto"/>
          <w:szCs w:val="24"/>
        </w:rPr>
        <w:t xml:space="preserve">'4Cs of Social Media' framework, </w:t>
      </w:r>
      <w:r w:rsidRPr="00894A4D">
        <w:rPr>
          <w:rFonts w:cs="Times New Roman"/>
          <w:color w:val="auto"/>
          <w:szCs w:val="24"/>
        </w:rPr>
        <w:t>Customers, Content, Context, and Channels (Brenner, 2010; Nelson, 2010). As detailed in Table 1, diverse Web 2.0 applications serve distinct PR and instructional functions across modern academic libraries.</w:t>
      </w:r>
    </w:p>
    <w:p w:rsidR="00EF672D" w:rsidRPr="00894A4D" w:rsidRDefault="00EF672D" w:rsidP="00894A4D">
      <w:pPr>
        <w:spacing w:after="0"/>
        <w:jc w:val="both"/>
        <w:rPr>
          <w:rFonts w:cs="Times New Roman"/>
          <w:color w:val="auto"/>
          <w:szCs w:val="24"/>
        </w:rPr>
      </w:pPr>
      <w:r w:rsidRPr="00894A4D">
        <w:rPr>
          <w:rFonts w:cs="Times New Roman"/>
          <w:b/>
          <w:color w:val="auto"/>
          <w:szCs w:val="24"/>
        </w:rPr>
        <w:t>Table 1: Strategic Mapping of Web 2.0 Channels for Library PR and User Education</w:t>
      </w:r>
    </w:p>
    <w:tbl>
      <w:tblPr>
        <w:tblStyle w:val="TableGrid"/>
        <w:tblW w:w="9360" w:type="dxa"/>
        <w:tblLayout w:type="fixed"/>
        <w:tblLook w:val="04A0" w:firstRow="1" w:lastRow="0" w:firstColumn="1" w:lastColumn="0" w:noHBand="0" w:noVBand="1"/>
      </w:tblPr>
      <w:tblGrid>
        <w:gridCol w:w="2592"/>
        <w:gridCol w:w="3312"/>
        <w:gridCol w:w="3456"/>
      </w:tblGrid>
      <w:tr w:rsidR="00C8412F" w:rsidRPr="00894A4D" w:rsidTr="009320AA">
        <w:tc>
          <w:tcPr>
            <w:tcW w:w="2592" w:type="dxa"/>
            <w:shd w:val="clear" w:color="auto" w:fill="auto"/>
            <w:tcMar>
              <w:top w:w="100" w:type="dxa"/>
              <w:left w:w="120" w:type="dxa"/>
              <w:bottom w:w="100" w:type="dxa"/>
              <w:right w:w="120" w:type="dxa"/>
            </w:tcMar>
          </w:tcPr>
          <w:p w:rsidR="00BE75F1" w:rsidRPr="00894A4D" w:rsidRDefault="00BE75F1" w:rsidP="00894A4D">
            <w:pPr>
              <w:spacing w:after="0"/>
              <w:jc w:val="both"/>
              <w:rPr>
                <w:rFonts w:cs="Times New Roman"/>
                <w:color w:val="auto"/>
                <w:szCs w:val="24"/>
              </w:rPr>
            </w:pPr>
            <w:r w:rsidRPr="00894A4D">
              <w:rPr>
                <w:rFonts w:cs="Times New Roman"/>
                <w:b/>
                <w:color w:val="auto"/>
                <w:szCs w:val="24"/>
              </w:rPr>
              <w:t>Web 2.0 Tool / Category</w:t>
            </w:r>
          </w:p>
        </w:tc>
        <w:tc>
          <w:tcPr>
            <w:tcW w:w="3312" w:type="dxa"/>
            <w:shd w:val="clear" w:color="auto" w:fill="auto"/>
            <w:tcMar>
              <w:top w:w="100" w:type="dxa"/>
              <w:left w:w="120" w:type="dxa"/>
              <w:bottom w:w="100" w:type="dxa"/>
              <w:right w:w="120" w:type="dxa"/>
            </w:tcMar>
          </w:tcPr>
          <w:p w:rsidR="00BE75F1" w:rsidRPr="00894A4D" w:rsidRDefault="00BE75F1" w:rsidP="00894A4D">
            <w:pPr>
              <w:spacing w:after="0"/>
              <w:jc w:val="both"/>
              <w:rPr>
                <w:rFonts w:cs="Times New Roman"/>
                <w:color w:val="auto"/>
                <w:szCs w:val="24"/>
              </w:rPr>
            </w:pPr>
            <w:r w:rsidRPr="00894A4D">
              <w:rPr>
                <w:rFonts w:cs="Times New Roman"/>
                <w:b/>
                <w:color w:val="auto"/>
                <w:szCs w:val="24"/>
              </w:rPr>
              <w:t>Operational Library Application</w:t>
            </w:r>
          </w:p>
        </w:tc>
        <w:tc>
          <w:tcPr>
            <w:tcW w:w="3456" w:type="dxa"/>
            <w:shd w:val="clear" w:color="auto" w:fill="auto"/>
            <w:tcMar>
              <w:top w:w="100" w:type="dxa"/>
              <w:left w:w="120" w:type="dxa"/>
              <w:bottom w:w="100" w:type="dxa"/>
              <w:right w:w="120" w:type="dxa"/>
            </w:tcMar>
          </w:tcPr>
          <w:p w:rsidR="00BE75F1" w:rsidRPr="00894A4D" w:rsidRDefault="00BE75F1" w:rsidP="00894A4D">
            <w:pPr>
              <w:spacing w:after="0"/>
              <w:jc w:val="both"/>
              <w:rPr>
                <w:rFonts w:cs="Times New Roman"/>
                <w:color w:val="auto"/>
                <w:szCs w:val="24"/>
              </w:rPr>
            </w:pPr>
            <w:r w:rsidRPr="00894A4D">
              <w:rPr>
                <w:rFonts w:cs="Times New Roman"/>
                <w:b/>
                <w:color w:val="auto"/>
                <w:szCs w:val="24"/>
              </w:rPr>
              <w:t>Public Relations &amp; Instructional Benefit</w:t>
            </w:r>
          </w:p>
        </w:tc>
      </w:tr>
      <w:tr w:rsidR="00C8412F" w:rsidRPr="00894A4D" w:rsidTr="00BE75F1">
        <w:tc>
          <w:tcPr>
            <w:tcW w:w="2592" w:type="dxa"/>
            <w:shd w:val="clear" w:color="auto" w:fill="F9FAFC"/>
            <w:tcMar>
              <w:top w:w="80" w:type="dxa"/>
              <w:left w:w="100" w:type="dxa"/>
              <w:bottom w:w="80" w:type="dxa"/>
              <w:right w:w="100" w:type="dxa"/>
            </w:tcMar>
          </w:tcPr>
          <w:p w:rsidR="00BE75F1" w:rsidRPr="00894A4D" w:rsidRDefault="00BE75F1" w:rsidP="00894A4D">
            <w:pPr>
              <w:spacing w:after="0" w:line="252" w:lineRule="auto"/>
              <w:jc w:val="both"/>
              <w:rPr>
                <w:rFonts w:cs="Times New Roman"/>
                <w:color w:val="auto"/>
                <w:szCs w:val="24"/>
              </w:rPr>
            </w:pPr>
            <w:r w:rsidRPr="00894A4D">
              <w:rPr>
                <w:rFonts w:cs="Times New Roman"/>
                <w:color w:val="auto"/>
                <w:szCs w:val="24"/>
              </w:rPr>
              <w:t>Social Networking Sites</w:t>
            </w:r>
            <w:r w:rsidRPr="00894A4D">
              <w:rPr>
                <w:rFonts w:cs="Times New Roman"/>
                <w:color w:val="auto"/>
                <w:szCs w:val="24"/>
              </w:rPr>
              <w:br/>
              <w:t>(Facebook, LinkedIn, Ning)</w:t>
            </w:r>
          </w:p>
        </w:tc>
        <w:tc>
          <w:tcPr>
            <w:tcW w:w="3312" w:type="dxa"/>
            <w:shd w:val="clear" w:color="auto" w:fill="F9FAFC"/>
            <w:tcMar>
              <w:top w:w="80" w:type="dxa"/>
              <w:left w:w="100" w:type="dxa"/>
              <w:bottom w:w="80" w:type="dxa"/>
              <w:right w:w="100" w:type="dxa"/>
            </w:tcMar>
          </w:tcPr>
          <w:p w:rsidR="00BE75F1" w:rsidRPr="00894A4D" w:rsidRDefault="00BE75F1" w:rsidP="00894A4D">
            <w:pPr>
              <w:spacing w:after="0" w:line="252" w:lineRule="auto"/>
              <w:jc w:val="both"/>
              <w:rPr>
                <w:rFonts w:cs="Times New Roman"/>
                <w:color w:val="auto"/>
                <w:szCs w:val="24"/>
              </w:rPr>
            </w:pPr>
            <w:r w:rsidRPr="00894A4D">
              <w:rPr>
                <w:rFonts w:cs="Times New Roman"/>
                <w:color w:val="auto"/>
                <w:szCs w:val="24"/>
              </w:rPr>
              <w:t>Creating official library pages, posting operating hours, advertising new resource trials, and hosting Q&amp;A forums.</w:t>
            </w:r>
          </w:p>
        </w:tc>
        <w:tc>
          <w:tcPr>
            <w:tcW w:w="3456" w:type="dxa"/>
            <w:shd w:val="clear" w:color="auto" w:fill="F9FAFC"/>
            <w:tcMar>
              <w:top w:w="80" w:type="dxa"/>
              <w:left w:w="100" w:type="dxa"/>
              <w:bottom w:w="80" w:type="dxa"/>
              <w:right w:w="100" w:type="dxa"/>
            </w:tcMar>
          </w:tcPr>
          <w:p w:rsidR="00BE75F1" w:rsidRPr="00894A4D" w:rsidRDefault="00BE75F1" w:rsidP="00894A4D">
            <w:pPr>
              <w:spacing w:after="0" w:line="252" w:lineRule="auto"/>
              <w:jc w:val="both"/>
              <w:rPr>
                <w:rFonts w:cs="Times New Roman"/>
                <w:color w:val="auto"/>
                <w:szCs w:val="24"/>
              </w:rPr>
            </w:pPr>
            <w:r w:rsidRPr="00894A4D">
              <w:rPr>
                <w:rFonts w:cs="Times New Roman"/>
                <w:color w:val="auto"/>
                <w:szCs w:val="24"/>
              </w:rPr>
              <w:t>Enhances institutional visibility, fosters online user communities, and facilitates direct feedback (Wan, 2011; David, 2021).</w:t>
            </w:r>
          </w:p>
        </w:tc>
      </w:tr>
      <w:tr w:rsidR="00C8412F" w:rsidRPr="00894A4D" w:rsidTr="00BE75F1">
        <w:tc>
          <w:tcPr>
            <w:tcW w:w="2592" w:type="dxa"/>
            <w:shd w:val="clear" w:color="auto" w:fill="FFFFFF"/>
            <w:tcMar>
              <w:top w:w="80" w:type="dxa"/>
              <w:left w:w="100" w:type="dxa"/>
              <w:bottom w:w="80" w:type="dxa"/>
              <w:right w:w="100" w:type="dxa"/>
            </w:tcMar>
          </w:tcPr>
          <w:p w:rsidR="00BE75F1" w:rsidRPr="00894A4D" w:rsidRDefault="00BE75F1" w:rsidP="00894A4D">
            <w:pPr>
              <w:spacing w:after="0" w:line="252" w:lineRule="auto"/>
              <w:jc w:val="both"/>
              <w:rPr>
                <w:rFonts w:cs="Times New Roman"/>
                <w:color w:val="auto"/>
                <w:szCs w:val="24"/>
              </w:rPr>
            </w:pPr>
            <w:r w:rsidRPr="00894A4D">
              <w:rPr>
                <w:rFonts w:cs="Times New Roman"/>
                <w:color w:val="auto"/>
                <w:szCs w:val="24"/>
              </w:rPr>
              <w:t>Microblogging Platforms</w:t>
            </w:r>
            <w:r w:rsidRPr="00894A4D">
              <w:rPr>
                <w:rFonts w:cs="Times New Roman"/>
                <w:color w:val="auto"/>
                <w:szCs w:val="24"/>
              </w:rPr>
              <w:br/>
              <w:t>(Twitter / X)</w:t>
            </w:r>
          </w:p>
        </w:tc>
        <w:tc>
          <w:tcPr>
            <w:tcW w:w="3312" w:type="dxa"/>
            <w:shd w:val="clear" w:color="auto" w:fill="FFFFFF"/>
            <w:tcMar>
              <w:top w:w="80" w:type="dxa"/>
              <w:left w:w="100" w:type="dxa"/>
              <w:bottom w:w="80" w:type="dxa"/>
              <w:right w:w="100" w:type="dxa"/>
            </w:tcMar>
          </w:tcPr>
          <w:p w:rsidR="00BE75F1" w:rsidRPr="00894A4D" w:rsidRDefault="00BE75F1" w:rsidP="00894A4D">
            <w:pPr>
              <w:spacing w:after="0" w:line="252" w:lineRule="auto"/>
              <w:jc w:val="both"/>
              <w:rPr>
                <w:rFonts w:cs="Times New Roman"/>
                <w:color w:val="auto"/>
                <w:szCs w:val="24"/>
              </w:rPr>
            </w:pPr>
            <w:r w:rsidRPr="00894A4D">
              <w:rPr>
                <w:rFonts w:cs="Times New Roman"/>
                <w:color w:val="auto"/>
                <w:szCs w:val="24"/>
              </w:rPr>
              <w:t>Broadcasting real-time announcements, instant alerts on database additions, live chat assistance, and research tips.</w:t>
            </w:r>
          </w:p>
        </w:tc>
        <w:tc>
          <w:tcPr>
            <w:tcW w:w="3456" w:type="dxa"/>
            <w:shd w:val="clear" w:color="auto" w:fill="FFFFFF"/>
            <w:tcMar>
              <w:top w:w="80" w:type="dxa"/>
              <w:left w:w="100" w:type="dxa"/>
              <w:bottom w:w="80" w:type="dxa"/>
              <w:right w:w="100" w:type="dxa"/>
            </w:tcMar>
          </w:tcPr>
          <w:p w:rsidR="00BE75F1" w:rsidRPr="00894A4D" w:rsidRDefault="00BE75F1" w:rsidP="00894A4D">
            <w:pPr>
              <w:spacing w:after="0" w:line="252" w:lineRule="auto"/>
              <w:jc w:val="both"/>
              <w:rPr>
                <w:rFonts w:cs="Times New Roman"/>
                <w:color w:val="auto"/>
                <w:szCs w:val="24"/>
              </w:rPr>
            </w:pPr>
            <w:r w:rsidRPr="00894A4D">
              <w:rPr>
                <w:rFonts w:cs="Times New Roman"/>
                <w:color w:val="auto"/>
                <w:szCs w:val="24"/>
              </w:rPr>
              <w:t>Delivers concise, point-of-need outreach, engages tech-savvy patrons, and drives web traffic (Waddell, Barnes, &amp; Khan-Kernahan, 2012; Ekart, 2011).</w:t>
            </w:r>
          </w:p>
        </w:tc>
      </w:tr>
      <w:tr w:rsidR="00C8412F" w:rsidRPr="00894A4D" w:rsidTr="00BE75F1">
        <w:tc>
          <w:tcPr>
            <w:tcW w:w="2592" w:type="dxa"/>
            <w:shd w:val="clear" w:color="auto" w:fill="F9FAFC"/>
            <w:tcMar>
              <w:top w:w="80" w:type="dxa"/>
              <w:left w:w="100" w:type="dxa"/>
              <w:bottom w:w="80" w:type="dxa"/>
              <w:right w:w="100" w:type="dxa"/>
            </w:tcMar>
          </w:tcPr>
          <w:p w:rsidR="00BE75F1" w:rsidRPr="00894A4D" w:rsidRDefault="00BE75F1" w:rsidP="00894A4D">
            <w:pPr>
              <w:spacing w:after="0" w:line="252" w:lineRule="auto"/>
              <w:jc w:val="both"/>
              <w:rPr>
                <w:rFonts w:cs="Times New Roman"/>
                <w:color w:val="auto"/>
                <w:szCs w:val="24"/>
              </w:rPr>
            </w:pPr>
            <w:r w:rsidRPr="00894A4D">
              <w:rPr>
                <w:rFonts w:cs="Times New Roman"/>
                <w:color w:val="auto"/>
                <w:szCs w:val="24"/>
              </w:rPr>
              <w:t>Multimedia Sharing</w:t>
            </w:r>
            <w:r w:rsidRPr="00894A4D">
              <w:rPr>
                <w:rFonts w:cs="Times New Roman"/>
                <w:color w:val="auto"/>
                <w:szCs w:val="24"/>
              </w:rPr>
              <w:br/>
              <w:t>(YouTube, Flickr, Podcasts)</w:t>
            </w:r>
          </w:p>
        </w:tc>
        <w:tc>
          <w:tcPr>
            <w:tcW w:w="3312" w:type="dxa"/>
            <w:shd w:val="clear" w:color="auto" w:fill="F9FAFC"/>
            <w:tcMar>
              <w:top w:w="80" w:type="dxa"/>
              <w:left w:w="100" w:type="dxa"/>
              <w:bottom w:w="80" w:type="dxa"/>
              <w:right w:w="100" w:type="dxa"/>
            </w:tcMar>
          </w:tcPr>
          <w:p w:rsidR="00BE75F1" w:rsidRPr="00894A4D" w:rsidRDefault="00BE75F1" w:rsidP="00894A4D">
            <w:pPr>
              <w:spacing w:after="0" w:line="252" w:lineRule="auto"/>
              <w:jc w:val="both"/>
              <w:rPr>
                <w:rFonts w:cs="Times New Roman"/>
                <w:color w:val="auto"/>
                <w:szCs w:val="24"/>
              </w:rPr>
            </w:pPr>
            <w:r w:rsidRPr="00894A4D">
              <w:rPr>
                <w:rFonts w:cs="Times New Roman"/>
                <w:color w:val="auto"/>
                <w:szCs w:val="24"/>
              </w:rPr>
              <w:t>Publishing video search tutorials, virtual library tours, recordings of inaugural lectures, and visual guidebooks.</w:t>
            </w:r>
          </w:p>
        </w:tc>
        <w:tc>
          <w:tcPr>
            <w:tcW w:w="3456" w:type="dxa"/>
            <w:shd w:val="clear" w:color="auto" w:fill="F9FAFC"/>
            <w:tcMar>
              <w:top w:w="80" w:type="dxa"/>
              <w:left w:w="100" w:type="dxa"/>
              <w:bottom w:w="80" w:type="dxa"/>
              <w:right w:w="100" w:type="dxa"/>
            </w:tcMar>
          </w:tcPr>
          <w:p w:rsidR="00BE75F1" w:rsidRPr="00894A4D" w:rsidRDefault="00BE75F1" w:rsidP="00894A4D">
            <w:pPr>
              <w:spacing w:after="0" w:line="252" w:lineRule="auto"/>
              <w:jc w:val="both"/>
              <w:rPr>
                <w:rFonts w:cs="Times New Roman"/>
                <w:color w:val="auto"/>
                <w:szCs w:val="24"/>
              </w:rPr>
            </w:pPr>
            <w:r w:rsidRPr="00894A4D">
              <w:rPr>
                <w:rFonts w:cs="Times New Roman"/>
                <w:color w:val="auto"/>
                <w:szCs w:val="24"/>
              </w:rPr>
              <w:t>Provides asynchronous, visual instruction, reduces search friction, and showcases library events (Khan, 2012; Vucovich et al., 2013).</w:t>
            </w:r>
          </w:p>
        </w:tc>
      </w:tr>
      <w:tr w:rsidR="00C8412F" w:rsidRPr="00894A4D" w:rsidTr="00BE75F1">
        <w:tc>
          <w:tcPr>
            <w:tcW w:w="2592" w:type="dxa"/>
            <w:shd w:val="clear" w:color="auto" w:fill="FFFFFF"/>
            <w:tcMar>
              <w:top w:w="80" w:type="dxa"/>
              <w:left w:w="100" w:type="dxa"/>
              <w:bottom w:w="80" w:type="dxa"/>
              <w:right w:w="100" w:type="dxa"/>
            </w:tcMar>
          </w:tcPr>
          <w:p w:rsidR="00BE75F1" w:rsidRPr="00894A4D" w:rsidRDefault="00BE75F1" w:rsidP="00894A4D">
            <w:pPr>
              <w:spacing w:after="0" w:line="252" w:lineRule="auto"/>
              <w:jc w:val="both"/>
              <w:rPr>
                <w:rFonts w:cs="Times New Roman"/>
                <w:color w:val="auto"/>
                <w:szCs w:val="24"/>
              </w:rPr>
            </w:pPr>
            <w:r w:rsidRPr="00894A4D">
              <w:rPr>
                <w:rFonts w:cs="Times New Roman"/>
                <w:color w:val="auto"/>
                <w:szCs w:val="24"/>
              </w:rPr>
              <w:t>Synchronous Web Chat</w:t>
            </w:r>
            <w:r w:rsidRPr="00894A4D">
              <w:rPr>
                <w:rFonts w:cs="Times New Roman"/>
                <w:color w:val="auto"/>
                <w:szCs w:val="24"/>
              </w:rPr>
              <w:br/>
              <w:t>(WhatsApp, Live Chat)</w:t>
            </w:r>
          </w:p>
        </w:tc>
        <w:tc>
          <w:tcPr>
            <w:tcW w:w="3312" w:type="dxa"/>
            <w:shd w:val="clear" w:color="auto" w:fill="FFFFFF"/>
            <w:tcMar>
              <w:top w:w="80" w:type="dxa"/>
              <w:left w:w="100" w:type="dxa"/>
              <w:bottom w:w="80" w:type="dxa"/>
              <w:right w:w="100" w:type="dxa"/>
            </w:tcMar>
          </w:tcPr>
          <w:p w:rsidR="00BE75F1" w:rsidRPr="00894A4D" w:rsidRDefault="00BE75F1" w:rsidP="00894A4D">
            <w:pPr>
              <w:spacing w:after="0" w:line="252" w:lineRule="auto"/>
              <w:jc w:val="both"/>
              <w:rPr>
                <w:rFonts w:cs="Times New Roman"/>
                <w:color w:val="auto"/>
                <w:szCs w:val="24"/>
              </w:rPr>
            </w:pPr>
            <w:r w:rsidRPr="00894A4D">
              <w:rPr>
                <w:rFonts w:cs="Times New Roman"/>
                <w:color w:val="auto"/>
                <w:szCs w:val="24"/>
              </w:rPr>
              <w:t>Delivering instant Ask-a-Librarian reference assistance, remote search help, and real-time query resolution.</w:t>
            </w:r>
          </w:p>
        </w:tc>
        <w:tc>
          <w:tcPr>
            <w:tcW w:w="3456" w:type="dxa"/>
            <w:shd w:val="clear" w:color="auto" w:fill="FFFFFF"/>
            <w:tcMar>
              <w:top w:w="80" w:type="dxa"/>
              <w:left w:w="100" w:type="dxa"/>
              <w:bottom w:w="80" w:type="dxa"/>
              <w:right w:w="100" w:type="dxa"/>
            </w:tcMar>
          </w:tcPr>
          <w:p w:rsidR="00BE75F1" w:rsidRPr="00894A4D" w:rsidRDefault="00BE75F1" w:rsidP="00894A4D">
            <w:pPr>
              <w:spacing w:after="0" w:line="252" w:lineRule="auto"/>
              <w:jc w:val="both"/>
              <w:rPr>
                <w:rFonts w:cs="Times New Roman"/>
                <w:color w:val="auto"/>
                <w:szCs w:val="24"/>
              </w:rPr>
            </w:pPr>
            <w:r w:rsidRPr="00894A4D">
              <w:rPr>
                <w:rFonts w:cs="Times New Roman"/>
                <w:color w:val="auto"/>
                <w:szCs w:val="24"/>
              </w:rPr>
              <w:t>Overcomes physical barriers, offers immediate point-of-need research assistance, and builds trust (Ezeani &amp; Igwesi, 2012; Horsfall, 2020).</w:t>
            </w:r>
          </w:p>
        </w:tc>
      </w:tr>
      <w:tr w:rsidR="00C8412F" w:rsidRPr="00894A4D" w:rsidTr="00BE75F1">
        <w:tc>
          <w:tcPr>
            <w:tcW w:w="2592" w:type="dxa"/>
            <w:shd w:val="clear" w:color="auto" w:fill="F9FAFC"/>
            <w:tcMar>
              <w:top w:w="80" w:type="dxa"/>
              <w:left w:w="100" w:type="dxa"/>
              <w:bottom w:w="80" w:type="dxa"/>
              <w:right w:w="100" w:type="dxa"/>
            </w:tcMar>
          </w:tcPr>
          <w:p w:rsidR="00BE75F1" w:rsidRPr="00894A4D" w:rsidRDefault="00BE75F1" w:rsidP="00894A4D">
            <w:pPr>
              <w:spacing w:after="0" w:line="252" w:lineRule="auto"/>
              <w:jc w:val="both"/>
              <w:rPr>
                <w:rFonts w:cs="Times New Roman"/>
                <w:color w:val="auto"/>
                <w:szCs w:val="24"/>
              </w:rPr>
            </w:pPr>
            <w:r w:rsidRPr="00894A4D">
              <w:rPr>
                <w:rFonts w:cs="Times New Roman"/>
                <w:color w:val="auto"/>
                <w:szCs w:val="24"/>
              </w:rPr>
              <w:t>Syndication &amp; Weblogs</w:t>
            </w:r>
            <w:r w:rsidRPr="00894A4D">
              <w:rPr>
                <w:rFonts w:cs="Times New Roman"/>
                <w:color w:val="auto"/>
                <w:szCs w:val="24"/>
              </w:rPr>
              <w:br/>
              <w:t>(RSS Feeds, Library Blogs)</w:t>
            </w:r>
          </w:p>
        </w:tc>
        <w:tc>
          <w:tcPr>
            <w:tcW w:w="3312" w:type="dxa"/>
            <w:shd w:val="clear" w:color="auto" w:fill="F9FAFC"/>
            <w:tcMar>
              <w:top w:w="80" w:type="dxa"/>
              <w:left w:w="100" w:type="dxa"/>
              <w:bottom w:w="80" w:type="dxa"/>
              <w:right w:w="100" w:type="dxa"/>
            </w:tcMar>
          </w:tcPr>
          <w:p w:rsidR="00BE75F1" w:rsidRPr="00894A4D" w:rsidRDefault="00BE75F1" w:rsidP="00894A4D">
            <w:pPr>
              <w:spacing w:after="0" w:line="252" w:lineRule="auto"/>
              <w:jc w:val="both"/>
              <w:rPr>
                <w:rFonts w:cs="Times New Roman"/>
                <w:color w:val="auto"/>
                <w:szCs w:val="24"/>
              </w:rPr>
            </w:pPr>
            <w:r w:rsidRPr="00894A4D">
              <w:rPr>
                <w:rFonts w:cs="Times New Roman"/>
                <w:color w:val="auto"/>
                <w:szCs w:val="24"/>
              </w:rPr>
              <w:t>Automating updates on newly cataloged books, research callouts, literature highlights, and subject bibliographies.</w:t>
            </w:r>
          </w:p>
        </w:tc>
        <w:tc>
          <w:tcPr>
            <w:tcW w:w="3456" w:type="dxa"/>
            <w:shd w:val="clear" w:color="auto" w:fill="F9FAFC"/>
            <w:tcMar>
              <w:top w:w="80" w:type="dxa"/>
              <w:left w:w="100" w:type="dxa"/>
              <w:bottom w:w="80" w:type="dxa"/>
              <w:right w:w="100" w:type="dxa"/>
            </w:tcMar>
          </w:tcPr>
          <w:p w:rsidR="00BE75F1" w:rsidRPr="00894A4D" w:rsidRDefault="00BE75F1" w:rsidP="00894A4D">
            <w:pPr>
              <w:spacing w:after="0" w:line="252" w:lineRule="auto"/>
              <w:jc w:val="both"/>
              <w:rPr>
                <w:rFonts w:cs="Times New Roman"/>
                <w:color w:val="auto"/>
                <w:szCs w:val="24"/>
              </w:rPr>
            </w:pPr>
            <w:r w:rsidRPr="00894A4D">
              <w:rPr>
                <w:rFonts w:cs="Times New Roman"/>
                <w:color w:val="auto"/>
                <w:szCs w:val="24"/>
              </w:rPr>
              <w:t>Keeps faculty and postgraduate researchers continuously informed without cluttering email (Breeding, 2009; Pandey, 2015).</w:t>
            </w:r>
          </w:p>
        </w:tc>
      </w:tr>
    </w:tbl>
    <w:p w:rsidR="00EF672D" w:rsidRPr="00894A4D" w:rsidRDefault="00EF672D" w:rsidP="009F24E8">
      <w:pPr>
        <w:spacing w:after="0" w:line="480" w:lineRule="auto"/>
        <w:jc w:val="both"/>
        <w:rPr>
          <w:rFonts w:cs="Times New Roman"/>
          <w:b/>
          <w:color w:val="auto"/>
          <w:szCs w:val="24"/>
        </w:rPr>
      </w:pPr>
      <w:r w:rsidRPr="00894A4D">
        <w:rPr>
          <w:rFonts w:cs="Times New Roman"/>
          <w:b/>
          <w:color w:val="auto"/>
          <w:szCs w:val="24"/>
        </w:rPr>
        <w:t>Digital Reference Services (DRS) and Virtual User Engagement</w:t>
      </w:r>
    </w:p>
    <w:p w:rsidR="00EF672D" w:rsidRPr="00894A4D" w:rsidRDefault="00EF672D" w:rsidP="009F24E8">
      <w:pPr>
        <w:spacing w:after="0" w:line="480" w:lineRule="auto"/>
        <w:jc w:val="both"/>
        <w:rPr>
          <w:rFonts w:cs="Times New Roman"/>
          <w:color w:val="auto"/>
          <w:szCs w:val="24"/>
        </w:rPr>
      </w:pPr>
      <w:r w:rsidRPr="00894A4D">
        <w:rPr>
          <w:rFonts w:cs="Times New Roman"/>
          <w:color w:val="auto"/>
          <w:szCs w:val="24"/>
        </w:rPr>
        <w:lastRenderedPageBreak/>
        <w:t>Digital Reference Service (DRS) represents a computer-mediated extension of traditional face-to-face reference assistance, breaking down physical and temporal constraints to connect remote users with professional librarians (Bera, 2016; Oluwabiyi, 2017; Berube, 2003). Originating in the 1980s and expanding through pioneering initiatives such as the Internet Public Library (1995) and the Collaborative Digital Reference Service (CDRS) launched by the Library of Congress (</w:t>
      </w:r>
      <w:r w:rsidR="00092E00" w:rsidRPr="00894A4D">
        <w:rPr>
          <w:rFonts w:cs="Times New Roman"/>
          <w:color w:val="auto"/>
          <w:szCs w:val="24"/>
        </w:rPr>
        <w:t>Bera</w:t>
      </w:r>
      <w:r w:rsidRPr="00894A4D">
        <w:rPr>
          <w:rFonts w:cs="Times New Roman"/>
          <w:color w:val="auto"/>
          <w:szCs w:val="24"/>
        </w:rPr>
        <w:t>, 2019; Lankes &amp; Kasowitz, 1998), DRS utilizes both asynchronous (e-mail, web forms, FAQ knowledge bases) and synchronous modes (live chat, instant messaging, video conferencing) to resolve user queries.</w:t>
      </w:r>
    </w:p>
    <w:p w:rsidR="00EF672D" w:rsidRPr="00894A4D" w:rsidRDefault="00EF672D" w:rsidP="009F24E8">
      <w:pPr>
        <w:spacing w:after="0" w:line="480" w:lineRule="auto"/>
        <w:jc w:val="both"/>
        <w:rPr>
          <w:rFonts w:cs="Times New Roman"/>
          <w:color w:val="auto"/>
          <w:szCs w:val="24"/>
        </w:rPr>
      </w:pPr>
      <w:r w:rsidRPr="00894A4D">
        <w:rPr>
          <w:rFonts w:cs="Times New Roman"/>
          <w:color w:val="auto"/>
          <w:szCs w:val="24"/>
        </w:rPr>
        <w:t>A successful DRS relies on executing a structured virtual reference interview that accurately diagnoses the patron's underlying information need (Oluwabiyi, 2017; Ademodi, 2011). In an environment where face-to-face non-verbal cues are absent, the librarian's promptness, clarity, and welcoming tone during digital reference transactions serve as critical PR touchpoints. Providing high-quality, rapid virtual assistanc</w:t>
      </w:r>
      <w:r w:rsidR="00D63D98" w:rsidRPr="00894A4D">
        <w:rPr>
          <w:rFonts w:cs="Times New Roman"/>
          <w:color w:val="auto"/>
          <w:szCs w:val="24"/>
        </w:rPr>
        <w:t xml:space="preserve">e saves the user's time, </w:t>
      </w:r>
      <w:r w:rsidRPr="00894A4D">
        <w:rPr>
          <w:rFonts w:cs="Times New Roman"/>
          <w:color w:val="auto"/>
          <w:szCs w:val="24"/>
        </w:rPr>
        <w:t>honoring Ranganathan'</w:t>
      </w:r>
      <w:r w:rsidR="00D63D98" w:rsidRPr="00894A4D">
        <w:rPr>
          <w:rFonts w:cs="Times New Roman"/>
          <w:color w:val="auto"/>
          <w:szCs w:val="24"/>
        </w:rPr>
        <w:t xml:space="preserve">s Fourth Law of Library Science, </w:t>
      </w:r>
      <w:r w:rsidRPr="00894A4D">
        <w:rPr>
          <w:rFonts w:cs="Times New Roman"/>
          <w:color w:val="auto"/>
          <w:szCs w:val="24"/>
        </w:rPr>
        <w:t>and solidifies the library's reputation as a reliable digital service provider (</w:t>
      </w:r>
      <w:r w:rsidR="00D63D98" w:rsidRPr="00894A4D">
        <w:rPr>
          <w:rFonts w:cs="Times New Roman"/>
          <w:color w:val="auto"/>
          <w:szCs w:val="24"/>
        </w:rPr>
        <w:t>Bera</w:t>
      </w:r>
      <w:r w:rsidRPr="00894A4D">
        <w:rPr>
          <w:rFonts w:cs="Times New Roman"/>
          <w:color w:val="auto"/>
          <w:szCs w:val="24"/>
        </w:rPr>
        <w:t>, 2019; Pandey, 2015).</w:t>
      </w:r>
    </w:p>
    <w:p w:rsidR="00EF672D" w:rsidRPr="00894A4D" w:rsidRDefault="00EF672D" w:rsidP="009F24E8">
      <w:pPr>
        <w:spacing w:after="0" w:line="480" w:lineRule="auto"/>
        <w:jc w:val="both"/>
        <w:rPr>
          <w:rFonts w:cs="Times New Roman"/>
          <w:b/>
          <w:color w:val="auto"/>
          <w:szCs w:val="24"/>
        </w:rPr>
      </w:pPr>
      <w:r w:rsidRPr="00894A4D">
        <w:rPr>
          <w:rFonts w:cs="Times New Roman"/>
          <w:b/>
          <w:color w:val="auto"/>
          <w:szCs w:val="24"/>
        </w:rPr>
        <w:t>Empirical Utilization Patterns and Interface Friction</w:t>
      </w:r>
    </w:p>
    <w:p w:rsidR="00EF672D" w:rsidRPr="00894A4D" w:rsidRDefault="00EF672D" w:rsidP="009F24E8">
      <w:pPr>
        <w:spacing w:after="0" w:line="480" w:lineRule="auto"/>
        <w:jc w:val="both"/>
        <w:rPr>
          <w:rFonts w:cs="Times New Roman"/>
          <w:color w:val="auto"/>
          <w:szCs w:val="24"/>
        </w:rPr>
      </w:pPr>
      <w:r w:rsidRPr="00894A4D">
        <w:rPr>
          <w:rFonts w:cs="Times New Roman"/>
          <w:color w:val="auto"/>
          <w:szCs w:val="24"/>
        </w:rPr>
        <w:t>Despite the operational promise of digital resources, empirical research reveals severe disparities in user engagement across different resource categories. Recent survey research conducted by Angereke, Songu, and Obediah (2026) among 269 postgraduate students across university libraries in Benue State, Nigeria, provides precise diagnostic data regarding digital reference resource utilization patterns.</w:t>
      </w:r>
    </w:p>
    <w:p w:rsidR="00EF672D" w:rsidRPr="00894A4D" w:rsidRDefault="00EF672D" w:rsidP="009F24E8">
      <w:pPr>
        <w:spacing w:after="0" w:line="480" w:lineRule="auto"/>
        <w:jc w:val="both"/>
        <w:rPr>
          <w:rFonts w:cs="Times New Roman"/>
          <w:color w:val="auto"/>
          <w:szCs w:val="24"/>
        </w:rPr>
      </w:pPr>
      <w:r w:rsidRPr="00894A4D">
        <w:rPr>
          <w:rFonts w:cs="Times New Roman"/>
          <w:color w:val="auto"/>
          <w:szCs w:val="24"/>
        </w:rPr>
        <w:t xml:space="preserve">As summarized in Table 2, while postgraduate researchers exhibit a high extent of utilization for core academic content such as Electronic Theses (Mean = 3.52, SD = 0.92), Electronic Books </w:t>
      </w:r>
      <w:r w:rsidRPr="00894A4D">
        <w:rPr>
          <w:rFonts w:cs="Times New Roman"/>
          <w:color w:val="auto"/>
          <w:szCs w:val="24"/>
        </w:rPr>
        <w:lastRenderedPageBreak/>
        <w:t>(Mean = 3.33, SD = 0.88), and Electronic Journals (Mean = 3.02, SD = 1.01), their utilization of specialized academic databases falls below the 2.50 benchmark score (Mean = 2.41, SD = 1.10), indicating low usage (Ang</w:t>
      </w:r>
      <w:r w:rsidR="00810A56">
        <w:rPr>
          <w:rFonts w:cs="Times New Roman"/>
          <w:color w:val="auto"/>
          <w:szCs w:val="24"/>
        </w:rPr>
        <w:t>ereke, Songu &amp; Obediah 2026; Songu</w:t>
      </w:r>
      <w:r w:rsidRPr="00894A4D">
        <w:rPr>
          <w:rFonts w:cs="Times New Roman"/>
          <w:color w:val="auto"/>
          <w:szCs w:val="24"/>
        </w:rPr>
        <w:t>,</w:t>
      </w:r>
      <w:r w:rsidR="00810A56">
        <w:rPr>
          <w:rFonts w:cs="Times New Roman"/>
          <w:color w:val="auto"/>
          <w:szCs w:val="24"/>
        </w:rPr>
        <w:t xml:space="preserve"> Angereke &amp; Obediah,</w:t>
      </w:r>
      <w:r w:rsidRPr="00894A4D">
        <w:rPr>
          <w:rFonts w:cs="Times New Roman"/>
          <w:color w:val="auto"/>
          <w:szCs w:val="24"/>
        </w:rPr>
        <w:t xml:space="preserve"> 2026). Furthermore, human assistance ('Humanware' / Reference Librarians) scored high (Mean = 3.00, SD = 1.02), confirming that even in a digital era, students rely heavily on expert librarians to navigate complex search environments.</w:t>
      </w:r>
    </w:p>
    <w:p w:rsidR="00EF672D" w:rsidRPr="00894A4D" w:rsidRDefault="00EF672D" w:rsidP="00894A4D">
      <w:pPr>
        <w:spacing w:after="0"/>
        <w:jc w:val="both"/>
        <w:rPr>
          <w:rFonts w:cs="Times New Roman"/>
          <w:color w:val="auto"/>
          <w:szCs w:val="24"/>
        </w:rPr>
      </w:pPr>
      <w:r w:rsidRPr="00894A4D">
        <w:rPr>
          <w:rFonts w:cs="Times New Roman"/>
          <w:b/>
          <w:color w:val="auto"/>
          <w:szCs w:val="24"/>
        </w:rPr>
        <w:t>Table 2: Empirical Extent of Digital Reference Resource Utilisation Among Postgraduate Students</w:t>
      </w:r>
    </w:p>
    <w:tbl>
      <w:tblPr>
        <w:tblStyle w:val="TableGrid"/>
        <w:tblW w:w="0" w:type="auto"/>
        <w:tblLayout w:type="fixed"/>
        <w:tblLook w:val="04A0" w:firstRow="1" w:lastRow="0" w:firstColumn="1" w:lastColumn="0" w:noHBand="0" w:noVBand="1"/>
      </w:tblPr>
      <w:tblGrid>
        <w:gridCol w:w="3600"/>
        <w:gridCol w:w="1728"/>
        <w:gridCol w:w="1872"/>
        <w:gridCol w:w="2160"/>
      </w:tblGrid>
      <w:tr w:rsidR="00C8412F" w:rsidRPr="00894A4D" w:rsidTr="009320AA">
        <w:tc>
          <w:tcPr>
            <w:tcW w:w="3600" w:type="dxa"/>
            <w:shd w:val="clear" w:color="auto" w:fill="auto"/>
            <w:tcMar>
              <w:top w:w="100" w:type="dxa"/>
              <w:left w:w="100" w:type="dxa"/>
              <w:bottom w:w="100" w:type="dxa"/>
              <w:right w:w="100" w:type="dxa"/>
            </w:tcMar>
          </w:tcPr>
          <w:p w:rsidR="00EF672D" w:rsidRPr="00894A4D" w:rsidRDefault="00EF672D" w:rsidP="00894A4D">
            <w:pPr>
              <w:spacing w:after="0"/>
              <w:jc w:val="both"/>
              <w:rPr>
                <w:rFonts w:cs="Times New Roman"/>
                <w:color w:val="auto"/>
                <w:szCs w:val="24"/>
              </w:rPr>
            </w:pPr>
            <w:r w:rsidRPr="00894A4D">
              <w:rPr>
                <w:rFonts w:cs="Times New Roman"/>
                <w:b/>
                <w:color w:val="auto"/>
                <w:szCs w:val="24"/>
              </w:rPr>
              <w:t>Digital Reference Resource</w:t>
            </w:r>
          </w:p>
        </w:tc>
        <w:tc>
          <w:tcPr>
            <w:tcW w:w="1728" w:type="dxa"/>
            <w:shd w:val="clear" w:color="auto" w:fill="auto"/>
            <w:tcMar>
              <w:top w:w="100" w:type="dxa"/>
              <w:left w:w="100" w:type="dxa"/>
              <w:bottom w:w="100" w:type="dxa"/>
              <w:right w:w="100" w:type="dxa"/>
            </w:tcMar>
          </w:tcPr>
          <w:p w:rsidR="00EF672D" w:rsidRPr="00894A4D" w:rsidRDefault="00EF672D" w:rsidP="00894A4D">
            <w:pPr>
              <w:spacing w:after="0"/>
              <w:jc w:val="both"/>
              <w:rPr>
                <w:rFonts w:cs="Times New Roman"/>
                <w:color w:val="auto"/>
                <w:szCs w:val="24"/>
              </w:rPr>
            </w:pPr>
            <w:r w:rsidRPr="00894A4D">
              <w:rPr>
                <w:rFonts w:cs="Times New Roman"/>
                <w:b/>
                <w:color w:val="auto"/>
                <w:szCs w:val="24"/>
              </w:rPr>
              <w:t>Mean Score (x)</w:t>
            </w:r>
          </w:p>
        </w:tc>
        <w:tc>
          <w:tcPr>
            <w:tcW w:w="1872" w:type="dxa"/>
            <w:shd w:val="clear" w:color="auto" w:fill="auto"/>
            <w:tcMar>
              <w:top w:w="100" w:type="dxa"/>
              <w:left w:w="100" w:type="dxa"/>
              <w:bottom w:w="100" w:type="dxa"/>
              <w:right w:w="100" w:type="dxa"/>
            </w:tcMar>
          </w:tcPr>
          <w:p w:rsidR="00EF672D" w:rsidRPr="00894A4D" w:rsidRDefault="00EF672D" w:rsidP="00894A4D">
            <w:pPr>
              <w:spacing w:after="0"/>
              <w:jc w:val="both"/>
              <w:rPr>
                <w:rFonts w:cs="Times New Roman"/>
                <w:color w:val="auto"/>
                <w:szCs w:val="24"/>
              </w:rPr>
            </w:pPr>
            <w:r w:rsidRPr="00894A4D">
              <w:rPr>
                <w:rFonts w:cs="Times New Roman"/>
                <w:b/>
                <w:color w:val="auto"/>
                <w:szCs w:val="24"/>
              </w:rPr>
              <w:t>Std. Deviation (SD)</w:t>
            </w:r>
          </w:p>
        </w:tc>
        <w:tc>
          <w:tcPr>
            <w:tcW w:w="2160" w:type="dxa"/>
            <w:shd w:val="clear" w:color="auto" w:fill="auto"/>
            <w:tcMar>
              <w:top w:w="100" w:type="dxa"/>
              <w:left w:w="100" w:type="dxa"/>
              <w:bottom w:w="100" w:type="dxa"/>
              <w:right w:w="100" w:type="dxa"/>
            </w:tcMar>
          </w:tcPr>
          <w:p w:rsidR="00EF672D" w:rsidRPr="00894A4D" w:rsidRDefault="00EF672D" w:rsidP="00894A4D">
            <w:pPr>
              <w:spacing w:after="0"/>
              <w:jc w:val="both"/>
              <w:rPr>
                <w:rFonts w:cs="Times New Roman"/>
                <w:color w:val="auto"/>
                <w:szCs w:val="24"/>
              </w:rPr>
            </w:pPr>
            <w:r w:rsidRPr="00894A4D">
              <w:rPr>
                <w:rFonts w:cs="Times New Roman"/>
                <w:b/>
                <w:color w:val="auto"/>
                <w:szCs w:val="24"/>
              </w:rPr>
              <w:t>Empirical Decision Benchmark</w:t>
            </w:r>
          </w:p>
        </w:tc>
      </w:tr>
      <w:tr w:rsidR="00C8412F" w:rsidRPr="00894A4D" w:rsidTr="009D38DA">
        <w:tc>
          <w:tcPr>
            <w:tcW w:w="3600"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Electronic Theses and Dissertations (e-thesis)</w:t>
            </w:r>
          </w:p>
        </w:tc>
        <w:tc>
          <w:tcPr>
            <w:tcW w:w="1728"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3.52</w:t>
            </w:r>
          </w:p>
        </w:tc>
        <w:tc>
          <w:tcPr>
            <w:tcW w:w="1872"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0.92</w:t>
            </w:r>
          </w:p>
        </w:tc>
        <w:tc>
          <w:tcPr>
            <w:tcW w:w="2160"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High Extent Utilisation</w:t>
            </w:r>
          </w:p>
        </w:tc>
      </w:tr>
      <w:tr w:rsidR="00C8412F" w:rsidRPr="00894A4D" w:rsidTr="009D38DA">
        <w:tc>
          <w:tcPr>
            <w:tcW w:w="3600"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Electronic Books (e-books)</w:t>
            </w:r>
          </w:p>
        </w:tc>
        <w:tc>
          <w:tcPr>
            <w:tcW w:w="1728"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3.33</w:t>
            </w:r>
          </w:p>
        </w:tc>
        <w:tc>
          <w:tcPr>
            <w:tcW w:w="1872"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0.88</w:t>
            </w:r>
          </w:p>
        </w:tc>
        <w:tc>
          <w:tcPr>
            <w:tcW w:w="2160"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High Extent Utilisation</w:t>
            </w:r>
          </w:p>
        </w:tc>
      </w:tr>
      <w:tr w:rsidR="00C8412F" w:rsidRPr="00894A4D" w:rsidTr="009D38DA">
        <w:tc>
          <w:tcPr>
            <w:tcW w:w="3600"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Electronic Journals (e-journals)</w:t>
            </w:r>
          </w:p>
        </w:tc>
        <w:tc>
          <w:tcPr>
            <w:tcW w:w="1728"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3.02</w:t>
            </w:r>
          </w:p>
        </w:tc>
        <w:tc>
          <w:tcPr>
            <w:tcW w:w="1872"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1.01</w:t>
            </w:r>
          </w:p>
        </w:tc>
        <w:tc>
          <w:tcPr>
            <w:tcW w:w="2160"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High Extent Utilisation</w:t>
            </w:r>
          </w:p>
        </w:tc>
      </w:tr>
      <w:tr w:rsidR="00C8412F" w:rsidRPr="00894A4D" w:rsidTr="009D38DA">
        <w:tc>
          <w:tcPr>
            <w:tcW w:w="3600"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Humanware (Reference Librarians)</w:t>
            </w:r>
          </w:p>
        </w:tc>
        <w:tc>
          <w:tcPr>
            <w:tcW w:w="1728"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3.00</w:t>
            </w:r>
          </w:p>
        </w:tc>
        <w:tc>
          <w:tcPr>
            <w:tcW w:w="1872"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1.02</w:t>
            </w:r>
          </w:p>
        </w:tc>
        <w:tc>
          <w:tcPr>
            <w:tcW w:w="2160"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High Extent Utilisation</w:t>
            </w:r>
          </w:p>
        </w:tc>
      </w:tr>
      <w:tr w:rsidR="00C8412F" w:rsidRPr="00894A4D" w:rsidTr="009D38DA">
        <w:tc>
          <w:tcPr>
            <w:tcW w:w="3600"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CD-ROM Databases</w:t>
            </w:r>
          </w:p>
        </w:tc>
        <w:tc>
          <w:tcPr>
            <w:tcW w:w="1728"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2.98</w:t>
            </w:r>
          </w:p>
        </w:tc>
        <w:tc>
          <w:tcPr>
            <w:tcW w:w="1872"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0.78</w:t>
            </w:r>
          </w:p>
        </w:tc>
        <w:tc>
          <w:tcPr>
            <w:tcW w:w="2160"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High Extent Utilisation</w:t>
            </w:r>
          </w:p>
        </w:tc>
      </w:tr>
      <w:tr w:rsidR="00C8412F" w:rsidRPr="00894A4D" w:rsidTr="009D38DA">
        <w:tc>
          <w:tcPr>
            <w:tcW w:w="3600"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Internet Facilities</w:t>
            </w:r>
          </w:p>
        </w:tc>
        <w:tc>
          <w:tcPr>
            <w:tcW w:w="1728"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2.68</w:t>
            </w:r>
          </w:p>
        </w:tc>
        <w:tc>
          <w:tcPr>
            <w:tcW w:w="1872"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0.92</w:t>
            </w:r>
          </w:p>
        </w:tc>
        <w:tc>
          <w:tcPr>
            <w:tcW w:w="2160"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High Extent Utilisation</w:t>
            </w:r>
          </w:p>
        </w:tc>
      </w:tr>
      <w:tr w:rsidR="00C8412F" w:rsidRPr="00894A4D" w:rsidTr="009D38DA">
        <w:tc>
          <w:tcPr>
            <w:tcW w:w="3600"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Telephone Reference</w:t>
            </w:r>
          </w:p>
        </w:tc>
        <w:tc>
          <w:tcPr>
            <w:tcW w:w="1728"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2.47</w:t>
            </w:r>
          </w:p>
        </w:tc>
        <w:tc>
          <w:tcPr>
            <w:tcW w:w="1872"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0.97</w:t>
            </w:r>
          </w:p>
        </w:tc>
        <w:tc>
          <w:tcPr>
            <w:tcW w:w="2160"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b/>
                <w:color w:val="auto"/>
                <w:szCs w:val="24"/>
              </w:rPr>
              <w:t>Low Extent Utilisation</w:t>
            </w:r>
          </w:p>
        </w:tc>
      </w:tr>
      <w:tr w:rsidR="00C8412F" w:rsidRPr="00894A4D" w:rsidTr="009D38DA">
        <w:tc>
          <w:tcPr>
            <w:tcW w:w="3600"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Specialized Academic Databases (AGORA, JSTOR)</w:t>
            </w:r>
          </w:p>
        </w:tc>
        <w:tc>
          <w:tcPr>
            <w:tcW w:w="1728"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2.41</w:t>
            </w:r>
          </w:p>
        </w:tc>
        <w:tc>
          <w:tcPr>
            <w:tcW w:w="1872"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1.10</w:t>
            </w:r>
          </w:p>
        </w:tc>
        <w:tc>
          <w:tcPr>
            <w:tcW w:w="2160"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b/>
                <w:color w:val="auto"/>
                <w:szCs w:val="24"/>
              </w:rPr>
              <w:t>Low Extent Utilisation</w:t>
            </w:r>
          </w:p>
        </w:tc>
      </w:tr>
      <w:tr w:rsidR="00C8412F" w:rsidRPr="00894A4D" w:rsidTr="009D38DA">
        <w:tc>
          <w:tcPr>
            <w:tcW w:w="3600"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Hardware Peripherals (Scanners)</w:t>
            </w:r>
          </w:p>
        </w:tc>
        <w:tc>
          <w:tcPr>
            <w:tcW w:w="1728"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2.41</w:t>
            </w:r>
          </w:p>
        </w:tc>
        <w:tc>
          <w:tcPr>
            <w:tcW w:w="1872"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0.88</w:t>
            </w:r>
          </w:p>
        </w:tc>
        <w:tc>
          <w:tcPr>
            <w:tcW w:w="2160"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b/>
                <w:color w:val="auto"/>
                <w:szCs w:val="24"/>
              </w:rPr>
              <w:t>Low Extent Utilisation</w:t>
            </w:r>
          </w:p>
        </w:tc>
      </w:tr>
      <w:tr w:rsidR="00C8412F" w:rsidRPr="00894A4D" w:rsidTr="009D38DA">
        <w:tc>
          <w:tcPr>
            <w:tcW w:w="3600"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Hardware Peripherals (Printers)</w:t>
            </w:r>
          </w:p>
        </w:tc>
        <w:tc>
          <w:tcPr>
            <w:tcW w:w="1728"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2.34</w:t>
            </w:r>
          </w:p>
        </w:tc>
        <w:tc>
          <w:tcPr>
            <w:tcW w:w="1872"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0.99</w:t>
            </w:r>
          </w:p>
        </w:tc>
        <w:tc>
          <w:tcPr>
            <w:tcW w:w="2160"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b/>
                <w:color w:val="auto"/>
                <w:szCs w:val="24"/>
              </w:rPr>
              <w:t>Low Extent Utilisation</w:t>
            </w:r>
          </w:p>
        </w:tc>
      </w:tr>
    </w:tbl>
    <w:p w:rsidR="00EF672D" w:rsidRPr="00894A4D" w:rsidRDefault="00EF672D" w:rsidP="00894A4D">
      <w:pPr>
        <w:spacing w:after="0"/>
        <w:jc w:val="both"/>
        <w:rPr>
          <w:rFonts w:cs="Times New Roman"/>
          <w:color w:val="auto"/>
          <w:szCs w:val="24"/>
        </w:rPr>
      </w:pPr>
    </w:p>
    <w:p w:rsidR="00EF672D" w:rsidRPr="00894A4D" w:rsidRDefault="00EF672D" w:rsidP="009F24E8">
      <w:pPr>
        <w:spacing w:after="0" w:line="480" w:lineRule="auto"/>
        <w:jc w:val="both"/>
        <w:rPr>
          <w:rFonts w:cs="Times New Roman"/>
          <w:color w:val="auto"/>
          <w:szCs w:val="24"/>
        </w:rPr>
      </w:pPr>
      <w:r w:rsidRPr="00894A4D">
        <w:rPr>
          <w:rFonts w:cs="Times New Roman"/>
          <w:color w:val="auto"/>
          <w:szCs w:val="24"/>
        </w:rPr>
        <w:lastRenderedPageBreak/>
        <w:t>The empirical finding that specialized academic database usage remains low (Mean = 2.41) despite high e-thesis usage (Mean = 3.52) highlights a fractured digital user experience (Angereke</w:t>
      </w:r>
      <w:r w:rsidR="00FF069B" w:rsidRPr="00894A4D">
        <w:rPr>
          <w:rFonts w:cs="Times New Roman"/>
          <w:color w:val="auto"/>
          <w:szCs w:val="24"/>
        </w:rPr>
        <w:t>, Songu &amp; Obediah</w:t>
      </w:r>
      <w:r w:rsidRPr="00894A4D">
        <w:rPr>
          <w:rFonts w:cs="Times New Roman"/>
          <w:color w:val="auto"/>
          <w:szCs w:val="24"/>
        </w:rPr>
        <w:t>., 2026). Students gravitate toward familiar full-text PDF repositories but encounter severe interface friction, search syntax intimidation, and authenticating hurdles when accessing structured academic databases. As Matusiak (2012) and Egberongbe (2011) note, unappealing user interfaces and a lack of hands-on database instruction discourage researchers from leveraging subscribed electronic resources. This underscores the urgent need for targeted user education campaigns promoted through active public relations.</w:t>
      </w:r>
    </w:p>
    <w:p w:rsidR="00EF672D" w:rsidRPr="00894A4D" w:rsidRDefault="00EF672D" w:rsidP="009F24E8">
      <w:pPr>
        <w:spacing w:after="0" w:line="480" w:lineRule="auto"/>
        <w:jc w:val="both"/>
        <w:rPr>
          <w:rFonts w:cs="Times New Roman"/>
          <w:b/>
          <w:color w:val="auto"/>
          <w:szCs w:val="24"/>
        </w:rPr>
      </w:pPr>
      <w:r w:rsidRPr="00894A4D">
        <w:rPr>
          <w:rFonts w:cs="Times New Roman"/>
          <w:b/>
          <w:color w:val="auto"/>
          <w:szCs w:val="24"/>
        </w:rPr>
        <w:t>Empirical Realities and Operational Bottlenecks in Academic Libraries</w:t>
      </w:r>
    </w:p>
    <w:p w:rsidR="00EF672D" w:rsidRPr="00894A4D" w:rsidRDefault="00EF672D" w:rsidP="009F24E8">
      <w:pPr>
        <w:spacing w:after="0" w:line="480" w:lineRule="auto"/>
        <w:jc w:val="both"/>
        <w:rPr>
          <w:rFonts w:cs="Times New Roman"/>
          <w:b/>
          <w:color w:val="auto"/>
          <w:szCs w:val="24"/>
        </w:rPr>
      </w:pPr>
      <w:r w:rsidRPr="00894A4D">
        <w:rPr>
          <w:rFonts w:cs="Times New Roman"/>
          <w:b/>
          <w:color w:val="auto"/>
          <w:szCs w:val="24"/>
        </w:rPr>
        <w:t>Institutional Insights from Federal University of Technology (FUT) Minna</w:t>
      </w:r>
    </w:p>
    <w:p w:rsidR="00EF672D" w:rsidRPr="00894A4D" w:rsidRDefault="00EF672D" w:rsidP="009F24E8">
      <w:pPr>
        <w:spacing w:after="0" w:line="480" w:lineRule="auto"/>
        <w:jc w:val="both"/>
        <w:rPr>
          <w:rFonts w:cs="Times New Roman"/>
          <w:color w:val="auto"/>
          <w:szCs w:val="24"/>
        </w:rPr>
      </w:pPr>
      <w:r w:rsidRPr="00894A4D">
        <w:rPr>
          <w:rFonts w:cs="Times New Roman"/>
          <w:color w:val="auto"/>
          <w:szCs w:val="24"/>
        </w:rPr>
        <w:t>To understand the operational realities of digital reference implementation in Nigerian tertiary institutions, empirical data from the Federal University of Technology (FUT) Library, Minna, Niger State, provides a critical case study. An investigation by Adamu and Iliyasu (2019) surveying all 28 academic librarians at FUT Minna Library revealed stark gaps in digital reference resource availability and service delivery.</w:t>
      </w:r>
    </w:p>
    <w:p w:rsidR="00EF672D" w:rsidRPr="00894A4D" w:rsidRDefault="00EF672D" w:rsidP="009F24E8">
      <w:pPr>
        <w:spacing w:after="0" w:line="480" w:lineRule="auto"/>
        <w:jc w:val="both"/>
        <w:rPr>
          <w:rFonts w:cs="Times New Roman"/>
          <w:color w:val="auto"/>
          <w:szCs w:val="24"/>
        </w:rPr>
      </w:pPr>
      <w:r w:rsidRPr="00894A4D">
        <w:rPr>
          <w:rFonts w:cs="Times New Roman"/>
          <w:color w:val="auto"/>
          <w:szCs w:val="24"/>
        </w:rPr>
        <w:t>As documented in Table 3, b</w:t>
      </w:r>
      <w:r w:rsidR="009320AA" w:rsidRPr="00894A4D">
        <w:rPr>
          <w:rFonts w:cs="Times New Roman"/>
          <w:color w:val="auto"/>
          <w:szCs w:val="24"/>
        </w:rPr>
        <w:t xml:space="preserve">asic electronic reference tools, </w:t>
      </w:r>
      <w:r w:rsidRPr="00894A4D">
        <w:rPr>
          <w:rFonts w:cs="Times New Roman"/>
          <w:color w:val="auto"/>
          <w:szCs w:val="24"/>
        </w:rPr>
        <w:t>including e-encyclopedias, e-dictionaries, e-biographical sources, e-handbooks</w:t>
      </w:r>
      <w:r w:rsidR="009320AA" w:rsidRPr="00894A4D">
        <w:rPr>
          <w:rFonts w:cs="Times New Roman"/>
          <w:color w:val="auto"/>
          <w:szCs w:val="24"/>
        </w:rPr>
        <w:t xml:space="preserve">, e-directories, and e-almanacs, </w:t>
      </w:r>
      <w:r w:rsidRPr="00894A4D">
        <w:rPr>
          <w:rFonts w:cs="Times New Roman"/>
          <w:color w:val="auto"/>
          <w:szCs w:val="24"/>
        </w:rPr>
        <w:t>were completely unavailable in the library (100% non-availability) (Adamu &amp; Iliyasu, 2019). Regarding service delivery, while basic asynchronous email reference and online interlibrary loan services were operational (44.4% provision), adva</w:t>
      </w:r>
      <w:r w:rsidR="009320AA" w:rsidRPr="00894A4D">
        <w:rPr>
          <w:rFonts w:cs="Times New Roman"/>
          <w:color w:val="auto"/>
          <w:szCs w:val="24"/>
        </w:rPr>
        <w:t xml:space="preserve">nced digital reference services, </w:t>
      </w:r>
      <w:r w:rsidRPr="00894A4D">
        <w:rPr>
          <w:rFonts w:cs="Times New Roman"/>
          <w:color w:val="auto"/>
          <w:szCs w:val="24"/>
        </w:rPr>
        <w:t>such as Web-based reference forms, video conferencing/webcam services, Collaborative Digital Reference Services (CDRS), virtual reference desk</w:t>
      </w:r>
      <w:r w:rsidR="009320AA" w:rsidRPr="00894A4D">
        <w:rPr>
          <w:rFonts w:cs="Times New Roman"/>
          <w:color w:val="auto"/>
          <w:szCs w:val="24"/>
        </w:rPr>
        <w:t xml:space="preserve">s, and automated reference bots, </w:t>
      </w:r>
      <w:r w:rsidRPr="00894A4D">
        <w:rPr>
          <w:rFonts w:cs="Times New Roman"/>
          <w:color w:val="auto"/>
          <w:szCs w:val="24"/>
        </w:rPr>
        <w:t>were entirely absent (55.6% non-provision) (Adamu &amp; Iliyasu, 2019; Umaru</w:t>
      </w:r>
      <w:r w:rsidR="00FF069B" w:rsidRPr="00894A4D">
        <w:rPr>
          <w:rFonts w:cs="Times New Roman"/>
          <w:color w:val="auto"/>
          <w:szCs w:val="24"/>
        </w:rPr>
        <w:t>, Aghadiuno &amp; Namo</w:t>
      </w:r>
      <w:r w:rsidRPr="00894A4D">
        <w:rPr>
          <w:rFonts w:cs="Times New Roman"/>
          <w:color w:val="auto"/>
          <w:szCs w:val="24"/>
        </w:rPr>
        <w:t>, 2018).</w:t>
      </w:r>
    </w:p>
    <w:p w:rsidR="00EF672D" w:rsidRPr="00894A4D" w:rsidRDefault="00EF672D" w:rsidP="00894A4D">
      <w:pPr>
        <w:spacing w:after="0"/>
        <w:jc w:val="both"/>
        <w:rPr>
          <w:rFonts w:cs="Times New Roman"/>
          <w:color w:val="auto"/>
          <w:szCs w:val="24"/>
        </w:rPr>
      </w:pPr>
      <w:r w:rsidRPr="00894A4D">
        <w:rPr>
          <w:rFonts w:cs="Times New Roman"/>
          <w:b/>
          <w:color w:val="auto"/>
          <w:szCs w:val="24"/>
        </w:rPr>
        <w:lastRenderedPageBreak/>
        <w:t>Table 3: Availability of Digital Reference Resources and Services at FUT Minna Library</w:t>
      </w:r>
    </w:p>
    <w:tbl>
      <w:tblPr>
        <w:tblStyle w:val="TableGrid"/>
        <w:tblW w:w="0" w:type="auto"/>
        <w:tblLayout w:type="fixed"/>
        <w:tblLook w:val="04A0" w:firstRow="1" w:lastRow="0" w:firstColumn="1" w:lastColumn="0" w:noHBand="0" w:noVBand="1"/>
      </w:tblPr>
      <w:tblGrid>
        <w:gridCol w:w="3168"/>
        <w:gridCol w:w="2592"/>
        <w:gridCol w:w="3600"/>
      </w:tblGrid>
      <w:tr w:rsidR="00C8412F" w:rsidRPr="00894A4D" w:rsidTr="009320AA">
        <w:tc>
          <w:tcPr>
            <w:tcW w:w="3168" w:type="dxa"/>
            <w:shd w:val="clear" w:color="auto" w:fill="auto"/>
            <w:tcMar>
              <w:top w:w="100" w:type="dxa"/>
              <w:left w:w="100" w:type="dxa"/>
              <w:bottom w:w="100" w:type="dxa"/>
              <w:right w:w="100" w:type="dxa"/>
            </w:tcMar>
          </w:tcPr>
          <w:p w:rsidR="00EF672D" w:rsidRPr="00894A4D" w:rsidRDefault="00EF672D" w:rsidP="00894A4D">
            <w:pPr>
              <w:spacing w:after="0"/>
              <w:jc w:val="both"/>
              <w:rPr>
                <w:rFonts w:cs="Times New Roman"/>
                <w:color w:val="auto"/>
                <w:szCs w:val="24"/>
              </w:rPr>
            </w:pPr>
            <w:r w:rsidRPr="00894A4D">
              <w:rPr>
                <w:rFonts w:cs="Times New Roman"/>
                <w:b/>
                <w:color w:val="auto"/>
                <w:szCs w:val="24"/>
              </w:rPr>
              <w:t>Resource / Service Category</w:t>
            </w:r>
          </w:p>
        </w:tc>
        <w:tc>
          <w:tcPr>
            <w:tcW w:w="2592" w:type="dxa"/>
            <w:shd w:val="clear" w:color="auto" w:fill="auto"/>
            <w:tcMar>
              <w:top w:w="100" w:type="dxa"/>
              <w:left w:w="100" w:type="dxa"/>
              <w:bottom w:w="100" w:type="dxa"/>
              <w:right w:w="100" w:type="dxa"/>
            </w:tcMar>
          </w:tcPr>
          <w:p w:rsidR="00EF672D" w:rsidRPr="00894A4D" w:rsidRDefault="00EF672D" w:rsidP="00894A4D">
            <w:pPr>
              <w:spacing w:after="0"/>
              <w:jc w:val="both"/>
              <w:rPr>
                <w:rFonts w:cs="Times New Roman"/>
                <w:color w:val="auto"/>
                <w:szCs w:val="24"/>
              </w:rPr>
            </w:pPr>
            <w:r w:rsidRPr="00894A4D">
              <w:rPr>
                <w:rFonts w:cs="Times New Roman"/>
                <w:b/>
                <w:color w:val="auto"/>
                <w:szCs w:val="24"/>
              </w:rPr>
              <w:t>Operational Status at FUT Minna</w:t>
            </w:r>
          </w:p>
        </w:tc>
        <w:tc>
          <w:tcPr>
            <w:tcW w:w="3600" w:type="dxa"/>
            <w:shd w:val="clear" w:color="auto" w:fill="auto"/>
            <w:tcMar>
              <w:top w:w="100" w:type="dxa"/>
              <w:left w:w="100" w:type="dxa"/>
              <w:bottom w:w="100" w:type="dxa"/>
              <w:right w:w="100" w:type="dxa"/>
            </w:tcMar>
          </w:tcPr>
          <w:p w:rsidR="00EF672D" w:rsidRPr="00894A4D" w:rsidRDefault="00EF672D" w:rsidP="00894A4D">
            <w:pPr>
              <w:spacing w:after="0"/>
              <w:jc w:val="both"/>
              <w:rPr>
                <w:rFonts w:cs="Times New Roman"/>
                <w:color w:val="auto"/>
                <w:szCs w:val="24"/>
              </w:rPr>
            </w:pPr>
            <w:r w:rsidRPr="00894A4D">
              <w:rPr>
                <w:rFonts w:cs="Times New Roman"/>
                <w:b/>
                <w:color w:val="auto"/>
                <w:szCs w:val="24"/>
              </w:rPr>
              <w:t>Empirical Findings (Adamu &amp; Iliyasu, 2019)</w:t>
            </w:r>
          </w:p>
        </w:tc>
      </w:tr>
      <w:tr w:rsidR="00C8412F" w:rsidRPr="00894A4D" w:rsidTr="009D38DA">
        <w:tc>
          <w:tcPr>
            <w:tcW w:w="3168"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Electronic Reference Books</w:t>
            </w:r>
            <w:r w:rsidRPr="00894A4D">
              <w:rPr>
                <w:rFonts w:cs="Times New Roman"/>
                <w:color w:val="auto"/>
                <w:szCs w:val="24"/>
              </w:rPr>
              <w:br/>
              <w:t>(e-encyclopedias, e-dictionaries)</w:t>
            </w:r>
          </w:p>
        </w:tc>
        <w:tc>
          <w:tcPr>
            <w:tcW w:w="2592"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b/>
                <w:color w:val="auto"/>
                <w:szCs w:val="24"/>
              </w:rPr>
              <w:t>NOT AVAILABLE (0%)</w:t>
            </w:r>
          </w:p>
        </w:tc>
        <w:tc>
          <w:tcPr>
            <w:tcW w:w="3600"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Complete absence of basic digital reference tools in the library collection.</w:t>
            </w:r>
          </w:p>
        </w:tc>
      </w:tr>
      <w:tr w:rsidR="00C8412F" w:rsidRPr="00894A4D" w:rsidTr="009D38DA">
        <w:tc>
          <w:tcPr>
            <w:tcW w:w="3168"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Electronic Handbooks &amp; Directories</w:t>
            </w:r>
            <w:r w:rsidRPr="00894A4D">
              <w:rPr>
                <w:rFonts w:cs="Times New Roman"/>
                <w:color w:val="auto"/>
                <w:szCs w:val="24"/>
              </w:rPr>
              <w:br/>
              <w:t>(e-almanacs, e-biographies)</w:t>
            </w:r>
          </w:p>
        </w:tc>
        <w:tc>
          <w:tcPr>
            <w:tcW w:w="2592"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b/>
                <w:color w:val="auto"/>
                <w:szCs w:val="24"/>
              </w:rPr>
              <w:t>NOT AVAILABLE (0%)</w:t>
            </w:r>
          </w:p>
        </w:tc>
        <w:tc>
          <w:tcPr>
            <w:tcW w:w="3600"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Lack of subscribed digital background reference materials.</w:t>
            </w:r>
          </w:p>
        </w:tc>
      </w:tr>
      <w:tr w:rsidR="00C8412F" w:rsidRPr="00894A4D" w:rsidTr="009D38DA">
        <w:tc>
          <w:tcPr>
            <w:tcW w:w="3168"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E-mail Reference Service</w:t>
            </w:r>
          </w:p>
        </w:tc>
        <w:tc>
          <w:tcPr>
            <w:tcW w:w="2592"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b/>
                <w:color w:val="auto"/>
                <w:szCs w:val="24"/>
              </w:rPr>
              <w:t>PROVIDED (100%)</w:t>
            </w:r>
          </w:p>
        </w:tc>
        <w:tc>
          <w:tcPr>
            <w:tcW w:w="3600"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Operational asynchronous communication channel for handling remote inquiries.</w:t>
            </w:r>
          </w:p>
        </w:tc>
      </w:tr>
      <w:tr w:rsidR="00C8412F" w:rsidRPr="00894A4D" w:rsidTr="009D38DA">
        <w:tc>
          <w:tcPr>
            <w:tcW w:w="3168"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Text Chat / Instant Messaging</w:t>
            </w:r>
          </w:p>
        </w:tc>
        <w:tc>
          <w:tcPr>
            <w:tcW w:w="2592"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b/>
                <w:color w:val="auto"/>
                <w:szCs w:val="24"/>
              </w:rPr>
              <w:t>PROVIDED (100%)</w:t>
            </w:r>
          </w:p>
        </w:tc>
        <w:tc>
          <w:tcPr>
            <w:tcW w:w="3600"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Basic text-based messaging implemented for student interaction.</w:t>
            </w:r>
          </w:p>
        </w:tc>
      </w:tr>
      <w:tr w:rsidR="00C8412F" w:rsidRPr="00894A4D" w:rsidTr="009D38DA">
        <w:tc>
          <w:tcPr>
            <w:tcW w:w="3168"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Web Reference &amp; Web Forms</w:t>
            </w:r>
          </w:p>
        </w:tc>
        <w:tc>
          <w:tcPr>
            <w:tcW w:w="2592"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b/>
                <w:color w:val="auto"/>
                <w:szCs w:val="24"/>
              </w:rPr>
              <w:t>NOT PROVIDED (0%)</w:t>
            </w:r>
          </w:p>
        </w:tc>
        <w:tc>
          <w:tcPr>
            <w:tcW w:w="3600"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No structured interactive web intake form on the university/library portal.</w:t>
            </w:r>
          </w:p>
        </w:tc>
      </w:tr>
      <w:tr w:rsidR="00C8412F" w:rsidRPr="00894A4D" w:rsidTr="009D38DA">
        <w:tc>
          <w:tcPr>
            <w:tcW w:w="3168"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Video Conferencing / Webcam Help</w:t>
            </w:r>
          </w:p>
        </w:tc>
        <w:tc>
          <w:tcPr>
            <w:tcW w:w="2592"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b/>
                <w:color w:val="auto"/>
                <w:szCs w:val="24"/>
              </w:rPr>
              <w:t>NOT PROVIDED (0%)</w:t>
            </w:r>
          </w:p>
        </w:tc>
        <w:tc>
          <w:tcPr>
            <w:tcW w:w="3600" w:type="dxa"/>
            <w:shd w:val="clear" w:color="auto" w:fill="FFFFFF"/>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Absence of real-time visual reference consulting infrastructure.</w:t>
            </w:r>
          </w:p>
        </w:tc>
      </w:tr>
      <w:tr w:rsidR="00C8412F" w:rsidRPr="00894A4D" w:rsidTr="009D38DA">
        <w:tc>
          <w:tcPr>
            <w:tcW w:w="3168"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Collaborative Digital Reference (CDRS)</w:t>
            </w:r>
          </w:p>
        </w:tc>
        <w:tc>
          <w:tcPr>
            <w:tcW w:w="2592"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b/>
                <w:color w:val="auto"/>
                <w:szCs w:val="24"/>
              </w:rPr>
              <w:t>NOT PROVIDED (0%)</w:t>
            </w:r>
          </w:p>
        </w:tc>
        <w:tc>
          <w:tcPr>
            <w:tcW w:w="3600" w:type="dxa"/>
            <w:shd w:val="clear" w:color="auto" w:fill="F9FAFC"/>
            <w:tcMar>
              <w:top w:w="80" w:type="dxa"/>
              <w:left w:w="100" w:type="dxa"/>
              <w:bottom w:w="80" w:type="dxa"/>
              <w:right w:w="100" w:type="dxa"/>
            </w:tcMar>
          </w:tcPr>
          <w:p w:rsidR="00EF672D" w:rsidRPr="00894A4D" w:rsidRDefault="00EF672D" w:rsidP="00894A4D">
            <w:pPr>
              <w:spacing w:after="0" w:line="252" w:lineRule="auto"/>
              <w:jc w:val="both"/>
              <w:rPr>
                <w:rFonts w:cs="Times New Roman"/>
                <w:color w:val="auto"/>
                <w:szCs w:val="24"/>
              </w:rPr>
            </w:pPr>
            <w:r w:rsidRPr="00894A4D">
              <w:rPr>
                <w:rFonts w:cs="Times New Roman"/>
                <w:color w:val="auto"/>
                <w:szCs w:val="24"/>
              </w:rPr>
              <w:t>Lack of integration with regional or international collaborative reference networks.</w:t>
            </w:r>
          </w:p>
        </w:tc>
      </w:tr>
    </w:tbl>
    <w:p w:rsidR="00EF672D" w:rsidRPr="00894A4D" w:rsidRDefault="00EF672D" w:rsidP="009F24E8">
      <w:pPr>
        <w:spacing w:after="0" w:line="480" w:lineRule="auto"/>
        <w:jc w:val="both"/>
        <w:rPr>
          <w:rFonts w:cs="Times New Roman"/>
          <w:b/>
          <w:color w:val="auto"/>
          <w:szCs w:val="24"/>
        </w:rPr>
      </w:pPr>
      <w:r w:rsidRPr="00894A4D">
        <w:rPr>
          <w:rFonts w:cs="Times New Roman"/>
          <w:b/>
          <w:color w:val="auto"/>
          <w:szCs w:val="24"/>
        </w:rPr>
        <w:t>Systemic Infrastructural and Operational Bottlenecks</w:t>
      </w:r>
    </w:p>
    <w:p w:rsidR="00EF672D" w:rsidRPr="00894A4D" w:rsidRDefault="00EF672D" w:rsidP="009F24E8">
      <w:pPr>
        <w:spacing w:after="0" w:line="480" w:lineRule="auto"/>
        <w:jc w:val="both"/>
        <w:rPr>
          <w:rFonts w:cs="Times New Roman"/>
          <w:color w:val="auto"/>
          <w:szCs w:val="24"/>
        </w:rPr>
      </w:pPr>
      <w:r w:rsidRPr="00894A4D">
        <w:rPr>
          <w:rFonts w:cs="Times New Roman"/>
          <w:color w:val="auto"/>
          <w:szCs w:val="24"/>
        </w:rPr>
        <w:t>The empirical deficiencies identified at FUT Minna reflect systemic operational bottlenecks that plague university libraries across developing nations. Synthesis of studies across North-Central, North-West, and Southern Nigerian university libraries reveals five core infrastructure and administrative barriers:</w:t>
      </w:r>
    </w:p>
    <w:p w:rsidR="00EF672D" w:rsidRPr="00894A4D" w:rsidRDefault="00EF672D" w:rsidP="009F24E8">
      <w:pPr>
        <w:pStyle w:val="ListBullet"/>
        <w:spacing w:after="0" w:line="480" w:lineRule="auto"/>
        <w:jc w:val="both"/>
        <w:rPr>
          <w:rFonts w:cs="Times New Roman"/>
          <w:color w:val="auto"/>
          <w:szCs w:val="24"/>
        </w:rPr>
      </w:pPr>
      <w:r w:rsidRPr="00894A4D">
        <w:rPr>
          <w:rFonts w:cs="Times New Roman"/>
          <w:b/>
          <w:color w:val="auto"/>
          <w:szCs w:val="24"/>
        </w:rPr>
        <w:t xml:space="preserve">Erratic Power Supply and Energy Deficits: </w:t>
      </w:r>
      <w:r w:rsidRPr="00894A4D">
        <w:rPr>
          <w:rFonts w:cs="Times New Roman"/>
          <w:color w:val="auto"/>
          <w:szCs w:val="24"/>
        </w:rPr>
        <w:t xml:space="preserve">Frequent electrical power outages severely disrupt electronic service delivery and library portal uptime (Adamu &amp; Iliyasu, </w:t>
      </w:r>
      <w:r w:rsidR="00DC2B01" w:rsidRPr="00894A4D">
        <w:rPr>
          <w:rFonts w:cs="Times New Roman"/>
          <w:color w:val="auto"/>
          <w:szCs w:val="24"/>
        </w:rPr>
        <w:t>2019; Gabriel, 2019; Songu, Angereke &amp; Obediah</w:t>
      </w:r>
      <w:r w:rsidRPr="00894A4D">
        <w:rPr>
          <w:rFonts w:cs="Times New Roman"/>
          <w:color w:val="auto"/>
          <w:szCs w:val="24"/>
        </w:rPr>
        <w:t xml:space="preserve">, 2026). Without robust alternative energy infrastructure </w:t>
      </w:r>
      <w:r w:rsidRPr="00894A4D">
        <w:rPr>
          <w:rFonts w:cs="Times New Roman"/>
          <w:color w:val="auto"/>
          <w:szCs w:val="24"/>
        </w:rPr>
        <w:lastRenderedPageBreak/>
        <w:t>(e.g., commercial solar/inverter systems), electronic workstations remain dark, preventing students from conducting night-time research or accessing online databases.</w:t>
      </w:r>
    </w:p>
    <w:p w:rsidR="00EF672D" w:rsidRPr="00894A4D" w:rsidRDefault="00EF672D" w:rsidP="009F24E8">
      <w:pPr>
        <w:pStyle w:val="ListBullet"/>
        <w:spacing w:after="0" w:line="480" w:lineRule="auto"/>
        <w:jc w:val="both"/>
        <w:rPr>
          <w:rFonts w:cs="Times New Roman"/>
          <w:color w:val="auto"/>
          <w:szCs w:val="24"/>
        </w:rPr>
      </w:pPr>
      <w:r w:rsidRPr="00894A4D">
        <w:rPr>
          <w:rFonts w:cs="Times New Roman"/>
          <w:b/>
          <w:color w:val="auto"/>
          <w:szCs w:val="24"/>
        </w:rPr>
        <w:t xml:space="preserve">Bandwidth Deficits and Network Instability: </w:t>
      </w:r>
      <w:r w:rsidRPr="00894A4D">
        <w:rPr>
          <w:rFonts w:cs="Times New Roman"/>
          <w:color w:val="auto"/>
          <w:szCs w:val="24"/>
        </w:rPr>
        <w:t>Insufficient internet bandwidth and unstable local networks frustrate online reference inquiries and cause high latency during database searches (Oluwabiyi, 2017; Egbe</w:t>
      </w:r>
      <w:r w:rsidR="009320AA" w:rsidRPr="00894A4D">
        <w:rPr>
          <w:rFonts w:cs="Times New Roman"/>
          <w:color w:val="auto"/>
          <w:szCs w:val="24"/>
        </w:rPr>
        <w:t>rongbe, 2011</w:t>
      </w:r>
      <w:r w:rsidRPr="00894A4D">
        <w:rPr>
          <w:rFonts w:cs="Times New Roman"/>
          <w:color w:val="auto"/>
          <w:szCs w:val="24"/>
        </w:rPr>
        <w:t>). Slow loading speeds discourage students, pushing them toward commercial alternatives.</w:t>
      </w:r>
    </w:p>
    <w:p w:rsidR="00EF672D" w:rsidRPr="00894A4D" w:rsidRDefault="00EF672D" w:rsidP="009F24E8">
      <w:pPr>
        <w:pStyle w:val="ListBullet"/>
        <w:spacing w:after="0" w:line="480" w:lineRule="auto"/>
        <w:jc w:val="both"/>
        <w:rPr>
          <w:rFonts w:cs="Times New Roman"/>
          <w:color w:val="auto"/>
          <w:szCs w:val="24"/>
        </w:rPr>
      </w:pPr>
      <w:r w:rsidRPr="00894A4D">
        <w:rPr>
          <w:rFonts w:cs="Times New Roman"/>
          <w:b/>
          <w:color w:val="auto"/>
          <w:szCs w:val="24"/>
        </w:rPr>
        <w:t xml:space="preserve">Inadequate Funding and Budgetary Levity: </w:t>
      </w:r>
      <w:r w:rsidRPr="00894A4D">
        <w:rPr>
          <w:rFonts w:cs="Times New Roman"/>
          <w:color w:val="auto"/>
          <w:szCs w:val="24"/>
        </w:rPr>
        <w:t>Severe financial constraints and declining budgetary allocations from parent university administrations prevent libraries from renewing annual database subscriptions, upgrading hardware, or procuring digital software licenses (Gabriel, 2019; Horsfall, 2020; Okube,</w:t>
      </w:r>
      <w:r w:rsidR="009320AA" w:rsidRPr="00894A4D">
        <w:rPr>
          <w:rFonts w:cs="Times New Roman"/>
          <w:color w:val="auto"/>
          <w:szCs w:val="24"/>
        </w:rPr>
        <w:t xml:space="preserve"> Mole &amp; Ede</w:t>
      </w:r>
      <w:r w:rsidRPr="00894A4D">
        <w:rPr>
          <w:rFonts w:cs="Times New Roman"/>
          <w:color w:val="auto"/>
          <w:szCs w:val="24"/>
        </w:rPr>
        <w:t xml:space="preserve"> 2023). Public relations and marketing budgets are frequently treated with levity and handled in a myopic fashion.</w:t>
      </w:r>
    </w:p>
    <w:p w:rsidR="00EF672D" w:rsidRPr="00894A4D" w:rsidRDefault="00EF672D" w:rsidP="009F24E8">
      <w:pPr>
        <w:pStyle w:val="ListBullet"/>
        <w:spacing w:after="0" w:line="480" w:lineRule="auto"/>
        <w:jc w:val="both"/>
        <w:rPr>
          <w:rFonts w:cs="Times New Roman"/>
          <w:color w:val="auto"/>
          <w:szCs w:val="24"/>
        </w:rPr>
      </w:pPr>
      <w:r w:rsidRPr="00894A4D">
        <w:rPr>
          <w:rFonts w:cs="Times New Roman"/>
          <w:b/>
          <w:color w:val="auto"/>
          <w:szCs w:val="24"/>
        </w:rPr>
        <w:t xml:space="preserve">Staff ICT Competency Gaps: </w:t>
      </w:r>
      <w:r w:rsidRPr="00894A4D">
        <w:rPr>
          <w:rFonts w:cs="Times New Roman"/>
          <w:color w:val="auto"/>
          <w:szCs w:val="24"/>
        </w:rPr>
        <w:t>A significant proportion of library personnel lack advanced ICT literacy, digital reference interview skills, and specialized PR training (Gabriel, 2019; Okoye, 2013; Ameen, 2015). Studies by Gabriel (2019) identify critical staff skill deficits in writing (x = 2.85), communication (x = 2.81), and interpersonal query interpretation (x = 2.61), which hinder effective user interaction.</w:t>
      </w:r>
    </w:p>
    <w:p w:rsidR="00EF672D" w:rsidRPr="00894A4D" w:rsidRDefault="00EF672D" w:rsidP="009F24E8">
      <w:pPr>
        <w:pStyle w:val="ListBullet"/>
        <w:spacing w:after="0" w:line="480" w:lineRule="auto"/>
        <w:jc w:val="both"/>
        <w:rPr>
          <w:rFonts w:cs="Times New Roman"/>
          <w:color w:val="auto"/>
          <w:szCs w:val="24"/>
        </w:rPr>
      </w:pPr>
      <w:r w:rsidRPr="00894A4D">
        <w:rPr>
          <w:rFonts w:cs="Times New Roman"/>
          <w:b/>
          <w:color w:val="auto"/>
          <w:szCs w:val="24"/>
        </w:rPr>
        <w:t xml:space="preserve">Lack of Modern ICT Integration in User Instruction: </w:t>
      </w:r>
      <w:r w:rsidRPr="00894A4D">
        <w:rPr>
          <w:rFonts w:cs="Times New Roman"/>
          <w:color w:val="auto"/>
          <w:szCs w:val="24"/>
        </w:rPr>
        <w:t>Traditional, passive lecture orientation methods continue to dominate user instruction programs. As empirical findings at FUPRE demonstrate, 100% of instruction relies on traditional l</w:t>
      </w:r>
      <w:r w:rsidR="000C4B02" w:rsidRPr="00894A4D">
        <w:rPr>
          <w:rFonts w:cs="Times New Roman"/>
          <w:color w:val="auto"/>
          <w:szCs w:val="24"/>
        </w:rPr>
        <w:t xml:space="preserve">ectures, while modern ICT media, </w:t>
      </w:r>
      <w:r w:rsidRPr="00894A4D">
        <w:rPr>
          <w:rFonts w:cs="Times New Roman"/>
          <w:color w:val="auto"/>
          <w:szCs w:val="24"/>
        </w:rPr>
        <w:t>such as library blogs, websites, socia</w:t>
      </w:r>
      <w:r w:rsidR="000C4B02" w:rsidRPr="00894A4D">
        <w:rPr>
          <w:rFonts w:cs="Times New Roman"/>
          <w:color w:val="auto"/>
          <w:szCs w:val="24"/>
        </w:rPr>
        <w:t xml:space="preserve">l media, and video conferencing, </w:t>
      </w:r>
      <w:r w:rsidRPr="00894A4D">
        <w:rPr>
          <w:rFonts w:cs="Times New Roman"/>
          <w:color w:val="auto"/>
          <w:szCs w:val="24"/>
        </w:rPr>
        <w:t>are 0% utilized for instruction (</w:t>
      </w:r>
      <w:r w:rsidR="006116E5" w:rsidRPr="00894A4D">
        <w:rPr>
          <w:rFonts w:cs="Times New Roman"/>
          <w:color w:val="auto"/>
          <w:szCs w:val="24"/>
        </w:rPr>
        <w:t>Omeluzor et al.</w:t>
      </w:r>
      <w:r w:rsidRPr="00894A4D">
        <w:rPr>
          <w:rFonts w:cs="Times New Roman"/>
          <w:color w:val="auto"/>
          <w:szCs w:val="24"/>
        </w:rPr>
        <w:t>, 2017). This pedagogical disconnect leaves students unprepared for modern digital research.</w:t>
      </w:r>
    </w:p>
    <w:p w:rsidR="00EF672D" w:rsidRPr="00894A4D" w:rsidRDefault="00EF672D" w:rsidP="009F24E8">
      <w:pPr>
        <w:spacing w:after="0" w:line="480" w:lineRule="auto"/>
        <w:jc w:val="both"/>
        <w:rPr>
          <w:rFonts w:cs="Times New Roman"/>
          <w:b/>
          <w:color w:val="auto"/>
          <w:szCs w:val="24"/>
        </w:rPr>
      </w:pPr>
      <w:r w:rsidRPr="00894A4D">
        <w:rPr>
          <w:rFonts w:cs="Times New Roman"/>
          <w:b/>
          <w:color w:val="auto"/>
          <w:szCs w:val="24"/>
        </w:rPr>
        <w:t>Strategic Framework and Policy Recommendations for LIS Practice</w:t>
      </w:r>
    </w:p>
    <w:p w:rsidR="00EF672D" w:rsidRPr="00894A4D" w:rsidRDefault="00EF672D" w:rsidP="009F24E8">
      <w:pPr>
        <w:spacing w:after="0" w:line="480" w:lineRule="auto"/>
        <w:jc w:val="both"/>
        <w:rPr>
          <w:rFonts w:cs="Times New Roman"/>
          <w:b/>
          <w:color w:val="auto"/>
          <w:szCs w:val="24"/>
        </w:rPr>
      </w:pPr>
      <w:r w:rsidRPr="00894A4D">
        <w:rPr>
          <w:rFonts w:cs="Times New Roman"/>
          <w:b/>
          <w:color w:val="auto"/>
          <w:szCs w:val="24"/>
        </w:rPr>
        <w:lastRenderedPageBreak/>
        <w:t>An Integrated Operational Model for Academic Libraries</w:t>
      </w:r>
    </w:p>
    <w:p w:rsidR="00EF672D" w:rsidRPr="00894A4D" w:rsidRDefault="00EF672D" w:rsidP="009F24E8">
      <w:pPr>
        <w:spacing w:after="0" w:line="480" w:lineRule="auto"/>
        <w:jc w:val="both"/>
        <w:rPr>
          <w:rFonts w:cs="Times New Roman"/>
          <w:color w:val="auto"/>
          <w:szCs w:val="24"/>
        </w:rPr>
      </w:pPr>
      <w:r w:rsidRPr="00894A4D">
        <w:rPr>
          <w:rFonts w:cs="Times New Roman"/>
          <w:color w:val="auto"/>
          <w:szCs w:val="24"/>
        </w:rPr>
        <w:t>To overcome these operational bottlenecks and optimize digital resource utilization, academic libraries must adopt an integrated operational framework that structurally connects Public Relations, User Education, and User Experience (UX) Evaluation. As illustrated in Figure 1 (conceptualized below), this framework operates as a continuous quality loop.</w:t>
      </w:r>
    </w:p>
    <w:p w:rsidR="00FF09DD" w:rsidRDefault="00EF672D" w:rsidP="009F24E8">
      <w:pPr>
        <w:pStyle w:val="ListParagraph"/>
        <w:numPr>
          <w:ilvl w:val="0"/>
          <w:numId w:val="3"/>
        </w:numPr>
        <w:spacing w:after="0" w:line="480" w:lineRule="auto"/>
        <w:jc w:val="both"/>
        <w:rPr>
          <w:rFonts w:cs="Times New Roman"/>
          <w:color w:val="auto"/>
          <w:szCs w:val="24"/>
        </w:rPr>
      </w:pPr>
      <w:r w:rsidRPr="00894A4D">
        <w:rPr>
          <w:rFonts w:cs="Times New Roman"/>
          <w:color w:val="auto"/>
          <w:szCs w:val="24"/>
        </w:rPr>
        <w:t xml:space="preserve">Strategic Communication </w:t>
      </w:r>
      <w:r w:rsidR="006116E5" w:rsidRPr="00894A4D">
        <w:rPr>
          <w:rFonts w:cs="Times New Roman"/>
          <w:color w:val="auto"/>
          <w:szCs w:val="24"/>
        </w:rPr>
        <w:t>and</w:t>
      </w:r>
      <w:r w:rsidRPr="00894A4D">
        <w:rPr>
          <w:rFonts w:cs="Times New Roman"/>
          <w:color w:val="auto"/>
          <w:szCs w:val="24"/>
        </w:rPr>
        <w:t xml:space="preserve"> PR Outreach: Utilizing Web 2.0 multi-channel touchpoints (Facebook, Twitter/X, WhatsApp) and campus events to raise awareness of database subscriptions and dismantle psychological stereotyp</w:t>
      </w:r>
      <w:r w:rsidR="00FF09DD">
        <w:rPr>
          <w:rFonts w:cs="Times New Roman"/>
          <w:color w:val="auto"/>
          <w:szCs w:val="24"/>
        </w:rPr>
        <w:t>es (Heinze, 2017; David, 2021)</w:t>
      </w:r>
    </w:p>
    <w:p w:rsidR="00FF09DD" w:rsidRDefault="00EF672D" w:rsidP="009F24E8">
      <w:pPr>
        <w:pStyle w:val="ListParagraph"/>
        <w:numPr>
          <w:ilvl w:val="0"/>
          <w:numId w:val="3"/>
        </w:numPr>
        <w:spacing w:after="0" w:line="480" w:lineRule="auto"/>
        <w:jc w:val="both"/>
        <w:rPr>
          <w:rFonts w:cs="Times New Roman"/>
          <w:color w:val="auto"/>
          <w:szCs w:val="24"/>
        </w:rPr>
      </w:pPr>
      <w:r w:rsidRPr="00894A4D">
        <w:rPr>
          <w:rFonts w:cs="Times New Roman"/>
          <w:color w:val="auto"/>
          <w:szCs w:val="24"/>
        </w:rPr>
        <w:t>Pedagogical Advocacy &amp; Hands-On User Education: Delivering structured, practical information literacy workshops, research clinics, and interactive database search tutorials that build authentic user retrieval skills and eliminate library anxiety (Golenko, 2023; Muszkiewic</w:t>
      </w:r>
      <w:r w:rsidR="00FF069B" w:rsidRPr="00894A4D">
        <w:rPr>
          <w:rFonts w:cs="Times New Roman"/>
          <w:color w:val="auto"/>
          <w:szCs w:val="24"/>
        </w:rPr>
        <w:t>z, 2017).</w:t>
      </w:r>
    </w:p>
    <w:p w:rsidR="00FF09DD" w:rsidRDefault="00FF069B" w:rsidP="009F24E8">
      <w:pPr>
        <w:pStyle w:val="ListParagraph"/>
        <w:numPr>
          <w:ilvl w:val="0"/>
          <w:numId w:val="3"/>
        </w:numPr>
        <w:spacing w:after="0" w:line="480" w:lineRule="auto"/>
        <w:jc w:val="both"/>
        <w:rPr>
          <w:rFonts w:cs="Times New Roman"/>
          <w:color w:val="auto"/>
          <w:szCs w:val="24"/>
        </w:rPr>
      </w:pPr>
      <w:r w:rsidRPr="00894A4D">
        <w:rPr>
          <w:rFonts w:cs="Times New Roman"/>
          <w:color w:val="auto"/>
          <w:szCs w:val="24"/>
        </w:rPr>
        <w:t>Digital Reference and</w:t>
      </w:r>
      <w:r w:rsidR="00EF672D" w:rsidRPr="00894A4D">
        <w:rPr>
          <w:rFonts w:cs="Times New Roman"/>
          <w:color w:val="auto"/>
          <w:szCs w:val="24"/>
        </w:rPr>
        <w:t xml:space="preserve"> Service Delivery: Providing responsive, multi-channel DRS (email, live chat, Ask-a-Librarian) managed by skilled, approachable reference librarians (Oluwabiyi, 2017;</w:t>
      </w:r>
      <w:r w:rsidR="00894A4D" w:rsidRPr="00894A4D">
        <w:rPr>
          <w:rFonts w:cs="Times New Roman"/>
          <w:color w:val="auto"/>
          <w:szCs w:val="24"/>
        </w:rPr>
        <w:t xml:space="preserve"> </w:t>
      </w:r>
      <w:r w:rsidR="00EF672D" w:rsidRPr="00894A4D">
        <w:rPr>
          <w:rFonts w:cs="Times New Roman"/>
          <w:color w:val="auto"/>
          <w:szCs w:val="24"/>
        </w:rPr>
        <w:t>Angereke</w:t>
      </w:r>
      <w:r w:rsidR="00894A4D" w:rsidRPr="00894A4D">
        <w:rPr>
          <w:rFonts w:cs="Times New Roman"/>
          <w:color w:val="auto"/>
          <w:szCs w:val="24"/>
        </w:rPr>
        <w:t>, Songu &amp; Obediah</w:t>
      </w:r>
      <w:r w:rsidR="00EF672D" w:rsidRPr="00894A4D">
        <w:rPr>
          <w:rFonts w:cs="Times New Roman"/>
          <w:color w:val="auto"/>
          <w:szCs w:val="24"/>
        </w:rPr>
        <w:t>, 2026).</w:t>
      </w:r>
    </w:p>
    <w:p w:rsidR="00EF672D" w:rsidRPr="00FF09DD" w:rsidRDefault="00EF672D" w:rsidP="009F24E8">
      <w:pPr>
        <w:pStyle w:val="ListParagraph"/>
        <w:numPr>
          <w:ilvl w:val="0"/>
          <w:numId w:val="3"/>
        </w:numPr>
        <w:spacing w:after="0" w:line="480" w:lineRule="auto"/>
        <w:jc w:val="both"/>
        <w:rPr>
          <w:rFonts w:cs="Times New Roman"/>
          <w:color w:val="auto"/>
          <w:szCs w:val="24"/>
        </w:rPr>
      </w:pPr>
      <w:r w:rsidRPr="00FF09DD">
        <w:rPr>
          <w:rFonts w:cs="Times New Roman"/>
          <w:color w:val="auto"/>
          <w:szCs w:val="24"/>
        </w:rPr>
        <w:t>Con</w:t>
      </w:r>
      <w:r w:rsidR="00FF069B" w:rsidRPr="00FF09DD">
        <w:rPr>
          <w:rFonts w:cs="Times New Roman"/>
          <w:color w:val="auto"/>
          <w:szCs w:val="24"/>
        </w:rPr>
        <w:t>tinuous UX and</w:t>
      </w:r>
      <w:r w:rsidRPr="00FF09DD">
        <w:rPr>
          <w:rFonts w:cs="Times New Roman"/>
          <w:color w:val="auto"/>
          <w:szCs w:val="24"/>
        </w:rPr>
        <w:t xml:space="preserve"> Patron Satisfaction Evaluation: Conducting systematic user audits, feedback collection via physical and digital suggestion boxes, and usage analytics to identify interface friction and refine s</w:t>
      </w:r>
      <w:r w:rsidR="00B84F77">
        <w:rPr>
          <w:rFonts w:cs="Times New Roman"/>
          <w:color w:val="auto"/>
          <w:szCs w:val="24"/>
        </w:rPr>
        <w:t>ervice delivery (Angereke</w:t>
      </w:r>
      <w:r w:rsidRPr="00FF09DD">
        <w:rPr>
          <w:rFonts w:cs="Times New Roman"/>
          <w:color w:val="auto"/>
          <w:szCs w:val="24"/>
        </w:rPr>
        <w:t>,</w:t>
      </w:r>
      <w:r w:rsidR="00B84F77">
        <w:rPr>
          <w:rFonts w:cs="Times New Roman"/>
          <w:color w:val="auto"/>
          <w:szCs w:val="24"/>
        </w:rPr>
        <w:t xml:space="preserve"> Songu &amp; Obediah,</w:t>
      </w:r>
      <w:r w:rsidRPr="00FF09DD">
        <w:rPr>
          <w:rFonts w:cs="Times New Roman"/>
          <w:color w:val="auto"/>
          <w:szCs w:val="24"/>
        </w:rPr>
        <w:t xml:space="preserve"> 2026; Pandey, 2015).</w:t>
      </w:r>
    </w:p>
    <w:p w:rsidR="00EF672D" w:rsidRPr="00894A4D" w:rsidRDefault="00EF672D" w:rsidP="009F24E8">
      <w:pPr>
        <w:spacing w:after="0" w:line="480" w:lineRule="auto"/>
        <w:jc w:val="both"/>
        <w:rPr>
          <w:rFonts w:cs="Times New Roman"/>
          <w:b/>
          <w:color w:val="auto"/>
          <w:szCs w:val="24"/>
        </w:rPr>
      </w:pPr>
      <w:r w:rsidRPr="00894A4D">
        <w:rPr>
          <w:rFonts w:cs="Times New Roman"/>
          <w:b/>
          <w:color w:val="auto"/>
          <w:szCs w:val="24"/>
        </w:rPr>
        <w:t>Actionable Recommendations for Library Administrators and Policy Makers</w:t>
      </w:r>
    </w:p>
    <w:p w:rsidR="00EF672D" w:rsidRPr="00894A4D" w:rsidRDefault="00EF672D" w:rsidP="009F24E8">
      <w:pPr>
        <w:spacing w:after="0" w:line="480" w:lineRule="auto"/>
        <w:jc w:val="both"/>
        <w:rPr>
          <w:rFonts w:cs="Times New Roman"/>
          <w:color w:val="auto"/>
          <w:szCs w:val="24"/>
        </w:rPr>
      </w:pPr>
      <w:r w:rsidRPr="00894A4D">
        <w:rPr>
          <w:rFonts w:cs="Times New Roman"/>
          <w:color w:val="auto"/>
          <w:szCs w:val="24"/>
        </w:rPr>
        <w:t>Based on the empirical evidence synthesized in this review, the following policy recommendations are proffered for implementation by university library management, department heads, and LIS educators:</w:t>
      </w:r>
    </w:p>
    <w:p w:rsidR="00EF672D" w:rsidRPr="00894A4D" w:rsidRDefault="00EF672D" w:rsidP="009F24E8">
      <w:pPr>
        <w:pStyle w:val="ListNumber"/>
        <w:spacing w:after="0" w:line="480" w:lineRule="auto"/>
        <w:jc w:val="both"/>
        <w:rPr>
          <w:rFonts w:cs="Times New Roman"/>
          <w:color w:val="auto"/>
          <w:szCs w:val="24"/>
        </w:rPr>
      </w:pPr>
      <w:r w:rsidRPr="00894A4D">
        <w:rPr>
          <w:rFonts w:cs="Times New Roman"/>
          <w:b/>
          <w:color w:val="auto"/>
          <w:szCs w:val="24"/>
        </w:rPr>
        <w:lastRenderedPageBreak/>
        <w:t xml:space="preserve">Establish Dedicated PR and Marketing Budgets: </w:t>
      </w:r>
      <w:r w:rsidRPr="00894A4D">
        <w:rPr>
          <w:rFonts w:cs="Times New Roman"/>
          <w:color w:val="auto"/>
          <w:szCs w:val="24"/>
        </w:rPr>
        <w:t>University library administrators must lobby parent university management, government funding agencies (e.g., TETFund in Nigeria), and international donors to mandate a dedicated percentage of the annual library budget specifically for public relations, digital resource promotion, and database subscription maintenance (Okube, 2023; Bhushan, 2018; Gabriel, 2019).</w:t>
      </w:r>
    </w:p>
    <w:p w:rsidR="00EF672D" w:rsidRPr="00894A4D" w:rsidRDefault="00EF672D" w:rsidP="009F24E8">
      <w:pPr>
        <w:pStyle w:val="ListNumber"/>
        <w:spacing w:after="0" w:line="480" w:lineRule="auto"/>
        <w:jc w:val="both"/>
        <w:rPr>
          <w:rFonts w:cs="Times New Roman"/>
          <w:color w:val="auto"/>
          <w:szCs w:val="24"/>
        </w:rPr>
      </w:pPr>
      <w:r w:rsidRPr="00894A4D">
        <w:rPr>
          <w:rFonts w:cs="Times New Roman"/>
          <w:b/>
          <w:color w:val="auto"/>
          <w:szCs w:val="24"/>
        </w:rPr>
        <w:t xml:space="preserve">Mandate Practical, Hands-On Digital Literacy Instruction: </w:t>
      </w:r>
      <w:r w:rsidRPr="00894A4D">
        <w:rPr>
          <w:rFonts w:cs="Times New Roman"/>
          <w:color w:val="auto"/>
          <w:szCs w:val="24"/>
        </w:rPr>
        <w:t>Library user education curricula must transition from passive, large-hall lecture orientation sessions to mandatory, hands-on digital literacy workshops. Training modules should focus specifically on navigating subscribed academic databases (AGORA, JSTOR, ScienceDirect), formulating search queries, and using reference management software</w:t>
      </w:r>
      <w:r w:rsidR="00FF09DD">
        <w:rPr>
          <w:rFonts w:cs="Times New Roman"/>
          <w:color w:val="auto"/>
          <w:szCs w:val="24"/>
        </w:rPr>
        <w:t xml:space="preserve"> (Angereke, Songu &amp; Henry</w:t>
      </w:r>
      <w:r w:rsidR="00FF069B" w:rsidRPr="00894A4D">
        <w:rPr>
          <w:rFonts w:cs="Times New Roman"/>
          <w:color w:val="auto"/>
          <w:szCs w:val="24"/>
        </w:rPr>
        <w:t>, 2026; Omulezor</w:t>
      </w:r>
      <w:r w:rsidRPr="00894A4D">
        <w:rPr>
          <w:rFonts w:cs="Times New Roman"/>
          <w:color w:val="auto"/>
          <w:szCs w:val="24"/>
        </w:rPr>
        <w:t>, 2017; Golenko, 2023).</w:t>
      </w:r>
    </w:p>
    <w:p w:rsidR="00EF672D" w:rsidRPr="00894A4D" w:rsidRDefault="00EF672D" w:rsidP="009F24E8">
      <w:pPr>
        <w:pStyle w:val="ListNumber"/>
        <w:spacing w:after="0" w:line="480" w:lineRule="auto"/>
        <w:jc w:val="both"/>
        <w:rPr>
          <w:rFonts w:cs="Times New Roman"/>
          <w:color w:val="auto"/>
          <w:szCs w:val="24"/>
        </w:rPr>
      </w:pPr>
      <w:r w:rsidRPr="00894A4D">
        <w:rPr>
          <w:rFonts w:cs="Times New Roman"/>
          <w:b/>
          <w:color w:val="auto"/>
          <w:szCs w:val="24"/>
        </w:rPr>
        <w:t xml:space="preserve">Deploy Multi-Channel Web 2.0 DRS Platforms: </w:t>
      </w:r>
      <w:r w:rsidRPr="00894A4D">
        <w:rPr>
          <w:rFonts w:cs="Times New Roman"/>
          <w:color w:val="auto"/>
          <w:szCs w:val="24"/>
        </w:rPr>
        <w:t>Libraries should embed interactive 'Ask-a-Librarian' web widgets, WhatsApp business reference lines, and active social media accounts (Facebook, Twitter/X) on the institutional portal to provide instant, remote reference support and engage tech-savvy patrons (Adamu &amp; Iliyasu, 2019; Oluwabiyi, 2017; David, 2021).</w:t>
      </w:r>
    </w:p>
    <w:p w:rsidR="00EF672D" w:rsidRPr="00894A4D" w:rsidRDefault="00EF672D" w:rsidP="009F24E8">
      <w:pPr>
        <w:pStyle w:val="ListNumber"/>
        <w:spacing w:after="0" w:line="480" w:lineRule="auto"/>
        <w:jc w:val="both"/>
        <w:rPr>
          <w:rFonts w:cs="Times New Roman"/>
          <w:color w:val="auto"/>
          <w:szCs w:val="24"/>
        </w:rPr>
      </w:pPr>
      <w:r w:rsidRPr="00894A4D">
        <w:rPr>
          <w:rFonts w:cs="Times New Roman"/>
          <w:b/>
          <w:color w:val="auto"/>
          <w:szCs w:val="24"/>
        </w:rPr>
        <w:t xml:space="preserve">Invest in Renewable Solar Power and Bandwidth Expansion: </w:t>
      </w:r>
      <w:r w:rsidRPr="00894A4D">
        <w:rPr>
          <w:rFonts w:cs="Times New Roman"/>
          <w:color w:val="auto"/>
          <w:szCs w:val="24"/>
        </w:rPr>
        <w:t>To mitigate power outages and network latency, university managements must prioritize installing commercial solar/inverter energy systems and expanding dedicated internet bandwidth for the university library, guaranteeing 24/7 uptime for digital reference platforms (Angereke</w:t>
      </w:r>
      <w:r w:rsidR="004D0B76" w:rsidRPr="00894A4D">
        <w:rPr>
          <w:rFonts w:cs="Times New Roman"/>
          <w:color w:val="auto"/>
          <w:szCs w:val="24"/>
        </w:rPr>
        <w:t>, Songu &amp; Obediah</w:t>
      </w:r>
      <w:r w:rsidRPr="00894A4D">
        <w:rPr>
          <w:rFonts w:cs="Times New Roman"/>
          <w:color w:val="auto"/>
          <w:szCs w:val="24"/>
        </w:rPr>
        <w:t>, 2026; Adamu &amp; Iliyasu, 2019).</w:t>
      </w:r>
    </w:p>
    <w:p w:rsidR="00E36BB3" w:rsidRPr="00894A4D" w:rsidRDefault="00EF672D" w:rsidP="009F24E8">
      <w:pPr>
        <w:pStyle w:val="ListNumber"/>
        <w:spacing w:after="0" w:line="480" w:lineRule="auto"/>
        <w:jc w:val="both"/>
        <w:rPr>
          <w:rFonts w:cs="Times New Roman"/>
          <w:color w:val="auto"/>
          <w:szCs w:val="24"/>
        </w:rPr>
      </w:pPr>
      <w:r w:rsidRPr="00894A4D">
        <w:rPr>
          <w:rFonts w:cs="Times New Roman"/>
          <w:b/>
          <w:color w:val="auto"/>
          <w:szCs w:val="24"/>
        </w:rPr>
        <w:t xml:space="preserve">Continuous Staff Capacity Building and LIS Curriculum Reform: </w:t>
      </w:r>
      <w:r w:rsidRPr="00894A4D">
        <w:rPr>
          <w:rFonts w:cs="Times New Roman"/>
          <w:color w:val="auto"/>
          <w:szCs w:val="24"/>
        </w:rPr>
        <w:t xml:space="preserve">Library management must organize continuous professional development (CPD) workshops focused on ICT skills, digital reference interviewing, and strategic PR techniques (Gabriel, 2019; Ameen, 2015). </w:t>
      </w:r>
      <w:r w:rsidRPr="00894A4D">
        <w:rPr>
          <w:rFonts w:cs="Times New Roman"/>
          <w:color w:val="auto"/>
          <w:szCs w:val="24"/>
        </w:rPr>
        <w:lastRenderedPageBreak/>
        <w:t>Simultaneously, LIS tertiary institutions should update their undergraduate and postgraduate curricula to integrate dedicated modules on Library Marketing, Advocacy, and Digital Public Relations (Horsfall, 2020</w:t>
      </w:r>
      <w:r w:rsidR="008733C7" w:rsidRPr="00894A4D">
        <w:rPr>
          <w:rFonts w:cs="Times New Roman"/>
          <w:color w:val="auto"/>
          <w:szCs w:val="24"/>
        </w:rPr>
        <w:t>)</w:t>
      </w:r>
      <w:r w:rsidRPr="00894A4D">
        <w:rPr>
          <w:rFonts w:cs="Times New Roman"/>
          <w:color w:val="auto"/>
          <w:szCs w:val="24"/>
        </w:rPr>
        <w:t>.</w:t>
      </w:r>
    </w:p>
    <w:p w:rsidR="00EF672D" w:rsidRPr="00894A4D" w:rsidRDefault="00EF672D" w:rsidP="009F24E8">
      <w:pPr>
        <w:pStyle w:val="ListNumber"/>
        <w:numPr>
          <w:ilvl w:val="0"/>
          <w:numId w:val="0"/>
        </w:numPr>
        <w:spacing w:after="0" w:line="480" w:lineRule="auto"/>
        <w:jc w:val="both"/>
        <w:rPr>
          <w:rFonts w:cs="Times New Roman"/>
          <w:b/>
          <w:color w:val="auto"/>
          <w:szCs w:val="24"/>
        </w:rPr>
      </w:pPr>
      <w:r w:rsidRPr="00894A4D">
        <w:rPr>
          <w:rFonts w:cs="Times New Roman"/>
          <w:color w:val="auto"/>
          <w:szCs w:val="24"/>
        </w:rPr>
        <w:t xml:space="preserve"> </w:t>
      </w:r>
      <w:r w:rsidRPr="00894A4D">
        <w:rPr>
          <w:rFonts w:cs="Times New Roman"/>
          <w:b/>
          <w:color w:val="auto"/>
          <w:szCs w:val="24"/>
        </w:rPr>
        <w:t xml:space="preserve">Conclusion </w:t>
      </w:r>
    </w:p>
    <w:p w:rsidR="00EF672D" w:rsidRPr="00894A4D" w:rsidRDefault="00EF672D" w:rsidP="009F24E8">
      <w:pPr>
        <w:spacing w:after="0" w:line="480" w:lineRule="auto"/>
        <w:ind w:firstLine="720"/>
        <w:jc w:val="both"/>
        <w:rPr>
          <w:rFonts w:cs="Times New Roman"/>
          <w:color w:val="auto"/>
          <w:szCs w:val="24"/>
        </w:rPr>
      </w:pPr>
      <w:r w:rsidRPr="00894A4D">
        <w:rPr>
          <w:rFonts w:cs="Times New Roman"/>
          <w:color w:val="auto"/>
          <w:szCs w:val="24"/>
        </w:rPr>
        <w:t>In the contemporary digital knowledge economy, the institutional survival and relevance of academic libraries depend not on the sheer volume of print collections or passive database subscriptions, but on the active, effective utilization of these resources by the scholarly community. This review has demonstrated that isolating public relations as superficial publicity fails to drive meaningful patronage. By rethinking public relations through the lens of user education, academic libraries transform promotional communication into pedagogical value.</w:t>
      </w:r>
    </w:p>
    <w:p w:rsidR="00EF672D" w:rsidRPr="00894A4D" w:rsidRDefault="00EF672D" w:rsidP="009F24E8">
      <w:pPr>
        <w:spacing w:after="0" w:line="480" w:lineRule="auto"/>
        <w:jc w:val="both"/>
        <w:rPr>
          <w:rFonts w:cs="Times New Roman"/>
          <w:color w:val="auto"/>
          <w:szCs w:val="24"/>
        </w:rPr>
      </w:pPr>
      <w:r w:rsidRPr="00894A4D">
        <w:rPr>
          <w:rFonts w:cs="Times New Roman"/>
          <w:color w:val="auto"/>
          <w:szCs w:val="24"/>
        </w:rPr>
        <w:t>When reference librarians engage patrons through compassionate, structured information literacy instruction and responsive Web 2.0 digital reference services, they actively dissolve library anxiety, overcome negative professional stereotypes, and establish an enduring reputation for academic excellence. Public relations and user education are mutually reinforcing pillars: PR attracts and engages the patron, while user education empowers the patron, ensuring high digital resource return on investment.</w:t>
      </w:r>
    </w:p>
    <w:p w:rsidR="00EF672D" w:rsidRPr="00C8412F" w:rsidRDefault="00EF672D" w:rsidP="009F24E8">
      <w:pPr>
        <w:spacing w:after="0" w:line="480" w:lineRule="auto"/>
        <w:jc w:val="both"/>
        <w:rPr>
          <w:rFonts w:cs="Times New Roman"/>
          <w:color w:val="auto"/>
          <w:szCs w:val="24"/>
        </w:rPr>
      </w:pPr>
      <w:r w:rsidRPr="00894A4D">
        <w:rPr>
          <w:rFonts w:cs="Times New Roman"/>
          <w:color w:val="auto"/>
          <w:szCs w:val="24"/>
        </w:rPr>
        <w:br w:type="page"/>
      </w:r>
    </w:p>
    <w:p w:rsidR="00EF672D" w:rsidRPr="00C8412F" w:rsidRDefault="00EF672D" w:rsidP="00C8412F">
      <w:pPr>
        <w:pStyle w:val="Heading1"/>
        <w:spacing w:before="0" w:after="0"/>
        <w:jc w:val="both"/>
        <w:rPr>
          <w:rFonts w:ascii="Times New Roman" w:hAnsi="Times New Roman" w:cs="Times New Roman"/>
          <w:color w:val="auto"/>
          <w:sz w:val="24"/>
          <w:szCs w:val="24"/>
        </w:rPr>
      </w:pPr>
      <w:r w:rsidRPr="00C8412F">
        <w:rPr>
          <w:rFonts w:ascii="Times New Roman" w:hAnsi="Times New Roman" w:cs="Times New Roman"/>
          <w:color w:val="auto"/>
          <w:sz w:val="24"/>
          <w:szCs w:val="24"/>
        </w:rPr>
        <w:lastRenderedPageBreak/>
        <w:t>References</w:t>
      </w: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Achebe, N. E. (2012). Library and information skills for tertiary institutions. Enugu: Green Shoot Publishers.</w:t>
      </w:r>
    </w:p>
    <w:p w:rsidR="005F4045" w:rsidRPr="00C8412F" w:rsidRDefault="005F4045"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Adamu, M. S., &amp; Iliyasu, J. A. (2019). Assessment of digital reference resources and services in Federal University of Technology Library, Minna, Niger State, Nigeria. Nasarawa Journal of Library and Information Science (NAJLIS), 3(1), 57–66.</w:t>
      </w:r>
    </w:p>
    <w:p w:rsidR="005F4045" w:rsidRPr="00C8412F" w:rsidRDefault="005F4045"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Ademodi, D. T. (2011). Reference and information services in academic libraries. Ondo: Complete Printers.</w:t>
      </w:r>
    </w:p>
    <w:p w:rsidR="005F4045" w:rsidRPr="00C8412F" w:rsidRDefault="005F4045"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Adewusi, F. A. (2014). Public relations as a determinant of patronage in university libraries in South-West, Nigeria. Library Philosophy and Practice (e-journal), 1120, 1–18.</w:t>
      </w:r>
    </w:p>
    <w:p w:rsidR="005F4045" w:rsidRPr="00C8412F" w:rsidRDefault="005F4045"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Ajibili, U., &amp; Ajibowo, G. O. (2018). Use of library resources and services by undergraduate students in selected university libraries in Adamawa State, Nigeria. International Journal of Library Science, 7(2), 23–31.</w:t>
      </w:r>
    </w:p>
    <w:p w:rsidR="005F4045" w:rsidRPr="00C8412F" w:rsidRDefault="005F4045"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Amaral, S. A. (1992). Marketing and public relations in library and information services. International Library Review, 24(2), 120–135.</w:t>
      </w:r>
    </w:p>
    <w:p w:rsidR="005F4045" w:rsidRPr="00C8412F" w:rsidRDefault="005F4045"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Ameen, K. (2015). Use of public relations and publicity (PRP) by public libraries in Lahore, Pakistan. Pakistan Journal of Information Management and Libraries, 16(1), 22–31.</w:t>
      </w:r>
    </w:p>
    <w:p w:rsidR="005F4045" w:rsidRPr="00C8412F" w:rsidRDefault="005F4045"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American Library Association (ALA). (2014). Glossary of library and information science (4th ed.). Chicago: American Library Association.</w:t>
      </w:r>
    </w:p>
    <w:p w:rsidR="005F4045" w:rsidRPr="00C8412F" w:rsidRDefault="005F4045"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 xml:space="preserve">American Marketing Association (AMA). (2013). Definition of marketing. Retrieved from </w:t>
      </w:r>
      <w:hyperlink r:id="rId11" w:history="1">
        <w:r w:rsidR="005F4045" w:rsidRPr="004A47BD">
          <w:rPr>
            <w:rStyle w:val="Hyperlink"/>
            <w:rFonts w:cs="Times New Roman"/>
            <w:szCs w:val="24"/>
          </w:rPr>
          <w:t>https://www.ama.org/AboutAMA/Pages/Definition-of-Marketing.aspx</w:t>
        </w:r>
      </w:hyperlink>
    </w:p>
    <w:p w:rsidR="005F4045" w:rsidRPr="00C8412F" w:rsidRDefault="005F4045"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Angereke, F., Songu, L. H., &amp; Obediah, O. (2026). Extent of utilisation of digital reference resources by post-graduate students in Benue State, Nigeria. International Journal of Information Resource Management (IJIRM), 3(1), 636–644.</w:t>
      </w:r>
    </w:p>
    <w:p w:rsidR="005F4045" w:rsidRPr="00C8412F" w:rsidRDefault="005F4045"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Atlas, M. M. (2005). Library anxiety among law students: A study. Reference &amp; User Services Quarterly, 44(4), 314–319.</w:t>
      </w:r>
    </w:p>
    <w:p w:rsidR="005F4045" w:rsidRPr="00C8412F" w:rsidRDefault="005F4045"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Bapte, V. D. (2017). A reflection of Kuhlthau’s model of information search process from the perspective of library anxiety. International Journal of Information Dissemination and Technology, 7(4), 287–291.</w:t>
      </w:r>
    </w:p>
    <w:p w:rsidR="005F4045" w:rsidRPr="00C8412F" w:rsidRDefault="005F4045"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Bassey, F. U. (2006). User satisfaction with reference services in academic libraries in Cross River State. Calabar Journal of Library Studies, 4(1), 45–52.</w:t>
      </w:r>
    </w:p>
    <w:p w:rsidR="005F4045" w:rsidRPr="00C8412F" w:rsidRDefault="005F4045"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Bera, S. K. (2016). Digital library and its services in the modern IT era. International Journal of Library and Information Studies, 6(4), 43–51.</w:t>
      </w:r>
    </w:p>
    <w:p w:rsidR="005F4045" w:rsidRPr="00C8412F" w:rsidRDefault="005F4045" w:rsidP="00C8412F">
      <w:pPr>
        <w:spacing w:after="0"/>
        <w:ind w:left="720" w:hanging="720"/>
        <w:jc w:val="both"/>
        <w:rPr>
          <w:rFonts w:cs="Times New Roman"/>
          <w:color w:val="auto"/>
          <w:szCs w:val="24"/>
        </w:rPr>
      </w:pPr>
    </w:p>
    <w:p w:rsidR="00092E00" w:rsidRDefault="00092E00" w:rsidP="00C8412F">
      <w:pPr>
        <w:spacing w:after="0"/>
        <w:ind w:left="720" w:hanging="720"/>
        <w:jc w:val="both"/>
        <w:rPr>
          <w:rFonts w:cs="Times New Roman"/>
          <w:color w:val="auto"/>
          <w:szCs w:val="24"/>
          <w:shd w:val="clear" w:color="auto" w:fill="FFFFFF"/>
        </w:rPr>
      </w:pPr>
      <w:r w:rsidRPr="00C8412F">
        <w:rPr>
          <w:rFonts w:cs="Times New Roman"/>
          <w:color w:val="auto"/>
          <w:szCs w:val="24"/>
          <w:shd w:val="clear" w:color="auto" w:fill="FFFFFF"/>
        </w:rPr>
        <w:t xml:space="preserve">Bera, S. W. (2019). Digital reference services in Technical College (Institution) libraries: An overview. </w:t>
      </w:r>
      <w:r w:rsidRPr="00C8412F">
        <w:rPr>
          <w:rFonts w:cs="Times New Roman"/>
          <w:i/>
          <w:iCs/>
          <w:color w:val="auto"/>
          <w:szCs w:val="24"/>
          <w:shd w:val="clear" w:color="auto" w:fill="FFFFFF"/>
        </w:rPr>
        <w:t>Research Review International Journal of Multidisplinary</w:t>
      </w:r>
      <w:r w:rsidRPr="00C8412F">
        <w:rPr>
          <w:rFonts w:cs="Times New Roman"/>
          <w:color w:val="auto"/>
          <w:szCs w:val="24"/>
          <w:shd w:val="clear" w:color="auto" w:fill="FFFFFF"/>
        </w:rPr>
        <w:t xml:space="preserve">, </w:t>
      </w:r>
      <w:r w:rsidRPr="00C8412F">
        <w:rPr>
          <w:rFonts w:cs="Times New Roman"/>
          <w:i/>
          <w:iCs/>
          <w:color w:val="auto"/>
          <w:szCs w:val="24"/>
          <w:shd w:val="clear" w:color="auto" w:fill="FFFFFF"/>
        </w:rPr>
        <w:t>4</w:t>
      </w:r>
      <w:r w:rsidRPr="00C8412F">
        <w:rPr>
          <w:rFonts w:cs="Times New Roman"/>
          <w:color w:val="auto"/>
          <w:szCs w:val="24"/>
          <w:shd w:val="clear" w:color="auto" w:fill="FFFFFF"/>
        </w:rPr>
        <w:t>(4), 1821-1825.</w:t>
      </w:r>
    </w:p>
    <w:p w:rsidR="005F4045" w:rsidRPr="00C8412F" w:rsidRDefault="005F4045"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Bertot, J. C., McClure, C. R., &amp; Ryan, J. (2000). Statistics and performance measures for the digital library environment. Washington, DC: Association of Research Libraries.</w:t>
      </w:r>
    </w:p>
    <w:p w:rsidR="005F4045" w:rsidRPr="00C8412F" w:rsidRDefault="005F4045" w:rsidP="00C8412F">
      <w:pPr>
        <w:spacing w:after="0"/>
        <w:ind w:left="720" w:hanging="720"/>
        <w:jc w:val="both"/>
        <w:rPr>
          <w:rFonts w:cs="Times New Roman"/>
          <w:color w:val="auto"/>
          <w:szCs w:val="24"/>
        </w:rPr>
      </w:pPr>
    </w:p>
    <w:p w:rsidR="00EF672D" w:rsidRPr="00C8412F" w:rsidRDefault="00EF672D" w:rsidP="00C8412F">
      <w:pPr>
        <w:spacing w:after="0"/>
        <w:ind w:left="720" w:hanging="720"/>
        <w:jc w:val="both"/>
        <w:rPr>
          <w:rFonts w:cs="Times New Roman"/>
          <w:color w:val="auto"/>
          <w:szCs w:val="24"/>
        </w:rPr>
      </w:pPr>
      <w:r w:rsidRPr="00C8412F">
        <w:rPr>
          <w:rFonts w:cs="Times New Roman"/>
          <w:color w:val="auto"/>
          <w:szCs w:val="24"/>
        </w:rPr>
        <w:t>Berube, L. (2003). Digital reference overview. Networked Services Policy Task Group (UKOLN). Retrieved from http://www.ukoln.ac.uk/public/nsptg/virtual/</w:t>
      </w:r>
    </w:p>
    <w:p w:rsidR="00EF672D" w:rsidRPr="00C8412F" w:rsidRDefault="00EF672D" w:rsidP="00C8412F">
      <w:pPr>
        <w:spacing w:after="0"/>
        <w:ind w:left="720" w:hanging="720"/>
        <w:jc w:val="both"/>
        <w:rPr>
          <w:rFonts w:cs="Times New Roman"/>
          <w:color w:val="auto"/>
          <w:szCs w:val="24"/>
        </w:rPr>
      </w:pPr>
      <w:r w:rsidRPr="00C8412F">
        <w:rPr>
          <w:rFonts w:cs="Times New Roman"/>
          <w:color w:val="auto"/>
          <w:szCs w:val="24"/>
        </w:rPr>
        <w:t>Bhushan, N. (2018). Marketing culture and Web 2.0 implementation in academic libraries: A review of literature. DESIDOC Journal of Library &amp; Information Technology, 38(1), 12–19.</w:t>
      </w: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Blakeman, K., &amp; Brown, S. (2010). Social media: Essential for research, marketing, and reputation. Online Information Review, 34(3), 450–458.</w:t>
      </w:r>
    </w:p>
    <w:p w:rsidR="005F4045" w:rsidRPr="00C8412F" w:rsidRDefault="005F4045"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Bostick, S. L. (1992). The Development of the Library Anxiety Scale (Unpublished doctoral dissertation). Wayne State University, Detroit, MI.</w:t>
      </w:r>
    </w:p>
    <w:p w:rsidR="005F4045" w:rsidRPr="00C8412F" w:rsidRDefault="005F4045"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Breeding, M. (2009). Maximizing the impact of digital collections. Computers in Libraries, 29(4), 32–34.</w:t>
      </w:r>
    </w:p>
    <w:p w:rsidR="005F4045" w:rsidRPr="00C8412F" w:rsidRDefault="005F4045"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 xml:space="preserve">Brenner, M. (2010). The 4 C's of social media marketing. Content Marketing Institute. Retrieved from </w:t>
      </w:r>
      <w:hyperlink r:id="rId12" w:history="1">
        <w:r w:rsidR="005F4045" w:rsidRPr="004A47BD">
          <w:rPr>
            <w:rStyle w:val="Hyperlink"/>
            <w:rFonts w:cs="Times New Roman"/>
            <w:szCs w:val="24"/>
          </w:rPr>
          <w:t>https://contentmarketinginstitute.com</w:t>
        </w:r>
      </w:hyperlink>
    </w:p>
    <w:p w:rsidR="005F4045" w:rsidRPr="00C8412F" w:rsidRDefault="005F4045"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David, M. N. (2021). Advocacy, public relations, and sales promotion as correlates of effective patronage of library and information science. Universal Journal of Library and Information Science, 3(1), 1–18.</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Egberongbe, H. S. (2011). The use and impact of electronic resources at the University of Lagos. Library Philosophy and Practice (e-journal), 492, 1–12.</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Egbunike, C. O. (2018). Public relations strategies for enhanced service delivery in federal university libraries in South-East Nigeria. Journal of Library Services, 6(2), 88–98.</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lastRenderedPageBreak/>
        <w:t>Ekart, D. F. (2011). Tech tips for every librarian: Making Twitter work for you. Computers in Libraries, 31(4), 34.</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Elmborg, J. (2010). Critical information literacy: Implications for instructional practice. Journal of Academic Librarianship, 32(2), 192–199.</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Ezeani, C. N., &amp; Igwesi, U. (2012). Using social media for dynamic library service delivery in Nigeria. Library Philosophy and Practice (e-journal), 814, 1–12.</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Farkas, M. (2008). Technology goes local: Collecting local knowledge with social software. American Libraries, 39(8), 50.</w:t>
      </w:r>
    </w:p>
    <w:p w:rsidR="009F24E8" w:rsidRPr="00C8412F" w:rsidRDefault="009F24E8" w:rsidP="00C8412F">
      <w:pPr>
        <w:spacing w:after="0"/>
        <w:ind w:left="720" w:hanging="720"/>
        <w:jc w:val="both"/>
        <w:rPr>
          <w:rFonts w:cs="Times New Roman"/>
          <w:color w:val="auto"/>
          <w:szCs w:val="24"/>
        </w:rPr>
      </w:pPr>
    </w:p>
    <w:p w:rsidR="00EF672D" w:rsidRPr="00C8412F" w:rsidRDefault="00EF672D" w:rsidP="00C8412F">
      <w:pPr>
        <w:spacing w:after="0"/>
        <w:ind w:left="720" w:hanging="720"/>
        <w:jc w:val="both"/>
        <w:rPr>
          <w:rFonts w:cs="Times New Roman"/>
          <w:color w:val="auto"/>
          <w:szCs w:val="24"/>
        </w:rPr>
      </w:pPr>
      <w:r w:rsidRPr="00C8412F">
        <w:rPr>
          <w:rFonts w:cs="Times New Roman"/>
          <w:color w:val="auto"/>
          <w:szCs w:val="24"/>
        </w:rPr>
        <w:t>Fombrun, C. J. (1996). Reputation: Realizing value from the corporate image. Boston: Harvard Business School Press.</w:t>
      </w: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Gabriel, J. T. (2019). Influence of public relations practice on information service delivery and enhanced librarians' image in federal university libraries in North-Central, Nigeria (Master's thesis). Federal University of Technology, Minna, Nigeria.</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Golenko, M. (2023). User education programs in academic libraries: A systemic framework. Journal of Information Literacy, 17(1), 45–62.</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Head, A. J. (2013). How freshmen conduct course research once they enter college. Project Information Literacy Research Report, University of Washington.</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Heinze, J. S. (2017). Library marketing: From passion to practice. Charleston Briefings, Michigan Publishing.</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Horsfall, M. N. (2020). Marketing library and information services in the digital age: Challenges and strategies for Nigerian academic libraries. Samara Journal of Information Studies, 20(1), 15–28.</w:t>
      </w:r>
    </w:p>
    <w:p w:rsidR="00684ADD" w:rsidRPr="00C8412F" w:rsidRDefault="00684ADD"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Idoko, N. A., Asogwa, C. N., &amp; Ugwuanyi, R. N. (2015). Problems of library user education in Nigerian universities. Library Review, 64(4), 310–324.</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Janes, J., Carter, D. S., &amp; Memmott, P. (1999). Digital reference services in academic libraries. Reference &amp; User Services Quarterly, 39(2), 145–150.</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Jiao, Q. G., &amp; Onwuegbuzie, A. J. (1999). Is library anxiety important? Library Review, 48(6), 278–282.</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lastRenderedPageBreak/>
        <w:t>Khan, S. D. (2012). Digital information services: Challenges and opportunities. Journal of Digital Information, 13(2), 1–15.</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Kotler, P., Kartajaya, H., &amp; Setiawan, I. (2010). Marketing 3.0: From products to customers to the human spirit. Hoboken, NJ: John Wiley &amp; Sons.</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Langridge, M., Rigby, A., &amp; Pagowski, N. (2014). Librarians' professional image and user perceptions. College &amp; Research Libraries, 75(3), 320–335.</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Lankes, R. D., &amp; Kasowitz, A. S. (1998). The AskA starter kit: How to establish and manage an online digital reference service. Syracuse, NY: ERIC Clearinghouse.</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Lankes, R. D., Silverstein, J., &amp; Nicholson, S. (2007). Participatory networks: The library as conversation. Information Technology and Libraries, 26(4), 17–33.</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Lloret Romero, N. (2011). Social media strategies for academic libraries. Library Management, 32(6), 401–412.</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Maidabino, A. A., &amp; Ladan, A. (2015). Collection development and management in Nigerian university libraries. African Journal of Library, Archives and Information Science, 25(1), 55–68.</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Maness, J. M. (2006). Library 2.0 theory: Web 2.0 and its implications for libraries. Webology, 3(2), 1–11.</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Matusiak, K. K. (2012). Perceptions of usability and usefulness of digital libraries. International Journal of Humanities and Arts Computing, 6(1), 133–147.</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Mellon, C. A. (1986). Library anxiety: A grounded theory and its development. College &amp; Research Libraries, 47(2), 160–165.</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Muszkiewicz, R. (2017). Get to know your librarian: How a brief orientation session reduces library anxiety. College &amp; Undergraduate Libraries, 24(2), 224–236.</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Nelson, B. (2010). Frameworks for social media engagement in non-profits. Journal of Digital Media, 4(1), 88–95.</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Odine, R. (2011). Interpersonal relationships between reference librarians and users. Library Philosophy and Practice (e-journal), 582, 1–10.</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lastRenderedPageBreak/>
        <w:t>Ogunmedede, I. V., &amp; Emeahara, E. N. (2010). The availability and use of library resources by students in agricultural colleges. International Journal of Library Science, 2(3), 45–55.</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Okoye, M. O. (2013). Public relations in selected federal university libraries across Nigeria. Information Development, 29(4), 312–322.</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Okube, N., Mole, A. J. C., &amp; Ede, M. (2023). Public relations practices and advocacy as strategic tools for promoting patronage of library services. Global Review of Library and Information Science (GRELIS), 19(Special Edition), 1–15.</w:t>
      </w:r>
    </w:p>
    <w:p w:rsidR="00415C03" w:rsidRPr="00C8412F" w:rsidRDefault="00415C03"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Oluwabiyi, M. O. (2017). Digital reference services: An overview. Information Impact: Journal of Information and Knowledge Management, 8(1), 66–75.</w:t>
      </w:r>
    </w:p>
    <w:p w:rsidR="009F24E8" w:rsidRPr="00C8412F" w:rsidRDefault="009F24E8" w:rsidP="00C8412F">
      <w:pPr>
        <w:spacing w:after="0"/>
        <w:ind w:left="720" w:hanging="720"/>
        <w:jc w:val="both"/>
        <w:rPr>
          <w:rFonts w:cs="Times New Roman"/>
          <w:color w:val="auto"/>
          <w:szCs w:val="24"/>
        </w:rPr>
      </w:pPr>
    </w:p>
    <w:p w:rsidR="00D33E25" w:rsidRDefault="00D33E25" w:rsidP="00C8412F">
      <w:pPr>
        <w:spacing w:after="0"/>
        <w:ind w:left="720" w:hanging="720"/>
        <w:jc w:val="both"/>
        <w:rPr>
          <w:rFonts w:cs="Times New Roman"/>
          <w:color w:val="auto"/>
          <w:szCs w:val="24"/>
        </w:rPr>
      </w:pPr>
      <w:r w:rsidRPr="00C8412F">
        <w:rPr>
          <w:rFonts w:cs="Times New Roman"/>
          <w:color w:val="auto"/>
          <w:szCs w:val="24"/>
        </w:rPr>
        <w:t>Omeluzor, S.U., Akibu, A.A. Dika, S.I. and Ukangwa, C.C. (2017). Implementation and perception of library instruction in Nigerian universities: A case study of FUPRE. Information and Learning Science, 118(5), 240–255.</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Onifade, F. N., Ogbuiyi, S. U., &amp; Omeluzor, S. U. (2013). Library resources utilization by students in a Nigerian private university. Information and Knowledge Management, 3(3), 28–34.</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Onwuegbuzie, A. J., Jiao, Q. G., &amp; Bostick, S. L. (2004). Library anxiety: Theory, research, and applications. Lanham, MD: Scarecrow Press.</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Oyeboade, S. A., &amp; Oyewusi, F. O. (2009). Accessibility and use of library resources by undergraduates in a Nigerian state university of technology. Library Philosophy and Practice (e-journal), 227, 1–12.</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Pandey, S. (2015). Marketing management of library and information products and services in digital era. Library Waves, 2(1), 60–68.</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Partridge, H., Lee, J., &amp; Munro, C. (2010). Becoming 'Librarian 2.0': The skills and attributes of the 21st century information professional. Library Trends, 59(1), 315–335.</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Popoola, S. O. (2008). Faculty awareness and use of library information products and services in Nigerian universities. Library Progress (International), 28(1), 1–12.</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Quadri, G. O., Adetimirin, A. E., &amp; Idowu, O. A. (2014). Availability and utilization of e-resources by undergraduates in private universities in Ogun State. International Journal of Library Science, 3(2), 28–34.</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lastRenderedPageBreak/>
        <w:t>Roberts, A. F., &amp; Blandy, S. (1989). Public relations for libraries. Englewood, CO: Libraries Unlimited.</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Shelmerdine, A. J. (2018). Library anxiety: Stories, theories, and possible solutions. Journal of the Australian Library and Information Association, 67(4), 343–352.</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Songu, L. H., Angereke, F., &amp; Obediah, O. (2026). Digital reference resource utilisation patterns in tertiary libraries. Journal of Information Resource Management, 12(1), 45–58.</w:t>
      </w:r>
    </w:p>
    <w:p w:rsidR="009F24E8" w:rsidRPr="00C8412F" w:rsidRDefault="009F24E8" w:rsidP="00C8412F">
      <w:pPr>
        <w:spacing w:after="0"/>
        <w:ind w:left="720" w:hanging="720"/>
        <w:jc w:val="both"/>
        <w:rPr>
          <w:rFonts w:cs="Times New Roman"/>
          <w:color w:val="auto"/>
          <w:szCs w:val="24"/>
        </w:rPr>
      </w:pPr>
    </w:p>
    <w:p w:rsidR="00EF672D" w:rsidRPr="00C8412F" w:rsidRDefault="00EF672D" w:rsidP="00C8412F">
      <w:pPr>
        <w:spacing w:after="0"/>
        <w:ind w:left="720" w:hanging="720"/>
        <w:jc w:val="both"/>
        <w:rPr>
          <w:rFonts w:cs="Times New Roman"/>
          <w:color w:val="auto"/>
          <w:szCs w:val="24"/>
        </w:rPr>
      </w:pPr>
      <w:r w:rsidRPr="00C8412F">
        <w:rPr>
          <w:rFonts w:cs="Times New Roman"/>
          <w:color w:val="auto"/>
          <w:szCs w:val="24"/>
        </w:rPr>
        <w:t>South Eastern Journal of Research and Sustainable Development (SEJRSD). (2025). Public relations as a self-development tool for Nigerian academic librarians. SEJRSD, 18(1), 1–18.</w:t>
      </w: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Steadley, M., &amp; Gray, S. (2003). Promoting the value of academic librarians in the digital age. College &amp; Research Libraries News, 64(8), 512–515.</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Still, M. (2015). Addressing library anxiety in student nurses: A study in an NHS hospital library. Health Information &amp; Libraries Journal, 32(4), 320–328.</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Tronstad, B., Phillips, A., Garcia, M., &amp; Harlow, S. (2009). Assessing information literacy competency standards. Journal of Academic Librarianship, 35(3), 210–222.</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Umaru, I. A., Aghadiuno, P. C., &amp; Namo, I. U. (2018). Provision of digital resources and services in three federal university libraries in North-Central Nigeria. International Journal of Applied Technologies in Library and Information Management, 4(1), 51–67.</w:t>
      </w:r>
    </w:p>
    <w:p w:rsidR="005565EC" w:rsidRPr="00C8412F" w:rsidRDefault="005565EC"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Vucovich, L. A., Gordon, V. S., Mitchell, N., &amp; Ennis, L. A. (2013). One library's evaluation of using social networking tools for outreach. Medical Reference Services Quarterly, 32(1), 12–25.</w:t>
      </w:r>
    </w:p>
    <w:p w:rsidR="009F24E8" w:rsidRPr="004A786A" w:rsidRDefault="009F24E8" w:rsidP="00C8412F">
      <w:pPr>
        <w:spacing w:after="0"/>
        <w:ind w:left="720" w:hanging="720"/>
        <w:jc w:val="both"/>
        <w:rPr>
          <w:rFonts w:cs="Times New Roman"/>
          <w:color w:val="auto"/>
          <w:sz w:val="16"/>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Waddell, D. C., Barnes, M., &amp; Khan-Kernahan, S. (2012). Tapping into the power of Twitter in Canadian health libraries. Partnership: The Canadian Journal of Library and Information Practice and Research, 7(2), 1–12.</w:t>
      </w:r>
    </w:p>
    <w:p w:rsidR="009F24E8" w:rsidRPr="00C8412F" w:rsidRDefault="009F24E8" w:rsidP="00C8412F">
      <w:pPr>
        <w:spacing w:after="0"/>
        <w:ind w:left="720" w:hanging="720"/>
        <w:jc w:val="both"/>
        <w:rPr>
          <w:rFonts w:cs="Times New Roman"/>
          <w:color w:val="auto"/>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Walker, K. (2010). A systematic review of the corporate reputation literature. Corporate Reputation Review, 12(4), 357–381.</w:t>
      </w:r>
    </w:p>
    <w:p w:rsidR="009F24E8" w:rsidRPr="00DA4E7C" w:rsidRDefault="009F24E8" w:rsidP="00C8412F">
      <w:pPr>
        <w:spacing w:after="0"/>
        <w:ind w:left="720" w:hanging="720"/>
        <w:jc w:val="both"/>
        <w:rPr>
          <w:rFonts w:cs="Times New Roman"/>
          <w:color w:val="auto"/>
          <w:sz w:val="18"/>
          <w:szCs w:val="24"/>
        </w:rPr>
      </w:pPr>
    </w:p>
    <w:p w:rsidR="00EF672D" w:rsidRDefault="00EF672D" w:rsidP="00C8412F">
      <w:pPr>
        <w:spacing w:after="0"/>
        <w:ind w:left="720" w:hanging="720"/>
        <w:jc w:val="both"/>
        <w:rPr>
          <w:rFonts w:cs="Times New Roman"/>
          <w:color w:val="auto"/>
          <w:szCs w:val="24"/>
        </w:rPr>
      </w:pPr>
      <w:r w:rsidRPr="00C8412F">
        <w:rPr>
          <w:rFonts w:cs="Times New Roman"/>
          <w:color w:val="auto"/>
          <w:szCs w:val="24"/>
        </w:rPr>
        <w:t>Wan, G. G. (2011). How academic libraries reach users on Facebook. College &amp; Undergraduate Libraries, 18(4), 307–318.</w:t>
      </w:r>
    </w:p>
    <w:p w:rsidR="009F24E8" w:rsidRPr="00C8412F" w:rsidRDefault="009F24E8" w:rsidP="00C8412F">
      <w:pPr>
        <w:spacing w:after="0"/>
        <w:ind w:left="720" w:hanging="720"/>
        <w:jc w:val="both"/>
        <w:rPr>
          <w:rFonts w:cs="Times New Roman"/>
          <w:color w:val="auto"/>
          <w:szCs w:val="24"/>
        </w:rPr>
      </w:pPr>
    </w:p>
    <w:p w:rsidR="00EF672D" w:rsidRPr="00C8412F" w:rsidRDefault="00EF672D" w:rsidP="00C8412F">
      <w:pPr>
        <w:spacing w:after="0"/>
        <w:ind w:left="720" w:hanging="720"/>
        <w:jc w:val="both"/>
        <w:rPr>
          <w:rFonts w:cs="Times New Roman"/>
          <w:color w:val="auto"/>
          <w:szCs w:val="24"/>
        </w:rPr>
      </w:pPr>
      <w:r w:rsidRPr="00C8412F">
        <w:rPr>
          <w:rFonts w:cs="Times New Roman"/>
          <w:color w:val="auto"/>
          <w:szCs w:val="24"/>
        </w:rPr>
        <w:t>Wijetunge, P. (2010). Empowering 8: An information literacy model for developing countries. Sri Lanka Journal of Librarianship, 5(1), 12–25.</w:t>
      </w:r>
      <w:bookmarkStart w:id="0" w:name="_GoBack"/>
      <w:bookmarkEnd w:id="0"/>
    </w:p>
    <w:sectPr w:rsidR="00EF672D" w:rsidRPr="00C8412F" w:rsidSect="000346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0E44" w:rsidRDefault="00210E44" w:rsidP="00EF672D">
      <w:pPr>
        <w:spacing w:after="0" w:line="240" w:lineRule="auto"/>
      </w:pPr>
      <w:r>
        <w:separator/>
      </w:r>
    </w:p>
  </w:endnote>
  <w:endnote w:type="continuationSeparator" w:id="0">
    <w:p w:rsidR="00210E44" w:rsidRDefault="00210E44" w:rsidP="00EF6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0E44" w:rsidRDefault="00210E44" w:rsidP="00EF672D">
      <w:pPr>
        <w:spacing w:after="0" w:line="240" w:lineRule="auto"/>
      </w:pPr>
      <w:r>
        <w:separator/>
      </w:r>
    </w:p>
  </w:footnote>
  <w:footnote w:type="continuationSeparator" w:id="0">
    <w:p w:rsidR="00210E44" w:rsidRDefault="00210E44" w:rsidP="00EF67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0805E86"/>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F8A0CB3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D086A51"/>
    <w:multiLevelType w:val="hybridMultilevel"/>
    <w:tmpl w:val="BC1AC1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72D"/>
    <w:rsid w:val="000202B3"/>
    <w:rsid w:val="00080359"/>
    <w:rsid w:val="00092E00"/>
    <w:rsid w:val="000C4B02"/>
    <w:rsid w:val="001B1517"/>
    <w:rsid w:val="00210E44"/>
    <w:rsid w:val="00253ED5"/>
    <w:rsid w:val="003022D6"/>
    <w:rsid w:val="003E2814"/>
    <w:rsid w:val="00415C03"/>
    <w:rsid w:val="00427EE0"/>
    <w:rsid w:val="004A786A"/>
    <w:rsid w:val="004D0B76"/>
    <w:rsid w:val="005565EC"/>
    <w:rsid w:val="00571CC7"/>
    <w:rsid w:val="005F4045"/>
    <w:rsid w:val="006116E5"/>
    <w:rsid w:val="00622C25"/>
    <w:rsid w:val="00684ADD"/>
    <w:rsid w:val="00810A56"/>
    <w:rsid w:val="008733C7"/>
    <w:rsid w:val="00894A4D"/>
    <w:rsid w:val="009320AA"/>
    <w:rsid w:val="009A4F5B"/>
    <w:rsid w:val="009F24E8"/>
    <w:rsid w:val="00A672AC"/>
    <w:rsid w:val="00AC4BA3"/>
    <w:rsid w:val="00B305FE"/>
    <w:rsid w:val="00B84F77"/>
    <w:rsid w:val="00BA081C"/>
    <w:rsid w:val="00BB04D4"/>
    <w:rsid w:val="00BC497A"/>
    <w:rsid w:val="00BD5163"/>
    <w:rsid w:val="00BE75F1"/>
    <w:rsid w:val="00C13AA7"/>
    <w:rsid w:val="00C8412F"/>
    <w:rsid w:val="00D065C6"/>
    <w:rsid w:val="00D33E25"/>
    <w:rsid w:val="00D63D98"/>
    <w:rsid w:val="00DA4E7C"/>
    <w:rsid w:val="00DC2B01"/>
    <w:rsid w:val="00E36BB3"/>
    <w:rsid w:val="00E45552"/>
    <w:rsid w:val="00E70014"/>
    <w:rsid w:val="00EF672D"/>
    <w:rsid w:val="00FD70A7"/>
    <w:rsid w:val="00FF069B"/>
    <w:rsid w:val="00FF09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53696"/>
  <w15:chartTrackingRefBased/>
  <w15:docId w15:val="{BE54FA40-3665-4430-A76E-302F81E4A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72D"/>
    <w:pPr>
      <w:spacing w:after="120" w:line="276" w:lineRule="auto"/>
    </w:pPr>
    <w:rPr>
      <w:rFonts w:ascii="Times New Roman" w:eastAsiaTheme="minorEastAsia" w:hAnsi="Times New Roman"/>
      <w:color w:val="222222"/>
      <w:sz w:val="24"/>
      <w:lang w:val="en-US"/>
    </w:rPr>
  </w:style>
  <w:style w:type="paragraph" w:styleId="Heading1">
    <w:name w:val="heading 1"/>
    <w:basedOn w:val="Normal"/>
    <w:next w:val="Normal"/>
    <w:link w:val="Heading1Char"/>
    <w:uiPriority w:val="9"/>
    <w:qFormat/>
    <w:rsid w:val="00EF672D"/>
    <w:pPr>
      <w:keepNext/>
      <w:keepLines/>
      <w:spacing w:before="320"/>
      <w:outlineLvl w:val="0"/>
    </w:pPr>
    <w:rPr>
      <w:rFonts w:asciiTheme="majorHAnsi" w:eastAsiaTheme="majorEastAsia" w:hAnsiTheme="majorHAnsi" w:cstheme="majorBidi"/>
      <w:b/>
      <w:bCs/>
      <w:color w:val="003366"/>
      <w:sz w:val="32"/>
      <w:szCs w:val="28"/>
    </w:rPr>
  </w:style>
  <w:style w:type="paragraph" w:styleId="Heading2">
    <w:name w:val="heading 2"/>
    <w:basedOn w:val="Normal"/>
    <w:next w:val="Normal"/>
    <w:link w:val="Heading2Char"/>
    <w:uiPriority w:val="9"/>
    <w:unhideWhenUsed/>
    <w:qFormat/>
    <w:rsid w:val="00EF672D"/>
    <w:pPr>
      <w:keepNext/>
      <w:keepLines/>
      <w:spacing w:before="240" w:after="80"/>
      <w:outlineLvl w:val="1"/>
    </w:pPr>
    <w:rPr>
      <w:rFonts w:asciiTheme="majorHAnsi" w:eastAsiaTheme="majorEastAsia" w:hAnsiTheme="majorHAnsi" w:cstheme="majorBidi"/>
      <w:b/>
      <w:bCs/>
      <w:color w:val="33669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72D"/>
    <w:rPr>
      <w:rFonts w:asciiTheme="majorHAnsi" w:eastAsiaTheme="majorEastAsia" w:hAnsiTheme="majorHAnsi" w:cstheme="majorBidi"/>
      <w:b/>
      <w:bCs/>
      <w:color w:val="003366"/>
      <w:sz w:val="32"/>
      <w:szCs w:val="28"/>
      <w:lang w:val="en-US"/>
    </w:rPr>
  </w:style>
  <w:style w:type="character" w:customStyle="1" w:styleId="Heading2Char">
    <w:name w:val="Heading 2 Char"/>
    <w:basedOn w:val="DefaultParagraphFont"/>
    <w:link w:val="Heading2"/>
    <w:uiPriority w:val="9"/>
    <w:rsid w:val="00EF672D"/>
    <w:rPr>
      <w:rFonts w:asciiTheme="majorHAnsi" w:eastAsiaTheme="majorEastAsia" w:hAnsiTheme="majorHAnsi" w:cstheme="majorBidi"/>
      <w:b/>
      <w:bCs/>
      <w:color w:val="336699"/>
      <w:sz w:val="26"/>
      <w:szCs w:val="26"/>
      <w:lang w:val="en-US"/>
    </w:rPr>
  </w:style>
  <w:style w:type="paragraph" w:styleId="Header">
    <w:name w:val="header"/>
    <w:basedOn w:val="Normal"/>
    <w:link w:val="HeaderChar"/>
    <w:uiPriority w:val="99"/>
    <w:unhideWhenUsed/>
    <w:rsid w:val="00EF6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72D"/>
    <w:rPr>
      <w:rFonts w:ascii="Times New Roman" w:eastAsiaTheme="minorEastAsia" w:hAnsi="Times New Roman"/>
      <w:color w:val="222222"/>
      <w:sz w:val="24"/>
      <w:lang w:val="en-US"/>
    </w:rPr>
  </w:style>
  <w:style w:type="paragraph" w:styleId="Footer">
    <w:name w:val="footer"/>
    <w:basedOn w:val="Normal"/>
    <w:link w:val="FooterChar"/>
    <w:uiPriority w:val="99"/>
    <w:unhideWhenUsed/>
    <w:rsid w:val="00EF6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72D"/>
    <w:rPr>
      <w:rFonts w:ascii="Times New Roman" w:eastAsiaTheme="minorEastAsia" w:hAnsi="Times New Roman"/>
      <w:color w:val="222222"/>
      <w:sz w:val="24"/>
      <w:lang w:val="en-US"/>
    </w:rPr>
  </w:style>
  <w:style w:type="paragraph" w:styleId="ListBullet">
    <w:name w:val="List Bullet"/>
    <w:basedOn w:val="Normal"/>
    <w:uiPriority w:val="99"/>
    <w:unhideWhenUsed/>
    <w:rsid w:val="00EF672D"/>
    <w:pPr>
      <w:numPr>
        <w:numId w:val="1"/>
      </w:numPr>
      <w:contextualSpacing/>
    </w:pPr>
  </w:style>
  <w:style w:type="paragraph" w:styleId="ListNumber">
    <w:name w:val="List Number"/>
    <w:basedOn w:val="Normal"/>
    <w:uiPriority w:val="99"/>
    <w:unhideWhenUsed/>
    <w:rsid w:val="00EF672D"/>
    <w:pPr>
      <w:numPr>
        <w:numId w:val="2"/>
      </w:numPr>
      <w:contextualSpacing/>
    </w:pPr>
  </w:style>
  <w:style w:type="table" w:styleId="TableGrid">
    <w:name w:val="Table Grid"/>
    <w:basedOn w:val="TableNormal"/>
    <w:uiPriority w:val="59"/>
    <w:rsid w:val="00EF672D"/>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15"/>
    <w:basedOn w:val="DefaultParagraphFont"/>
    <w:rsid w:val="00BB04D4"/>
    <w:rPr>
      <w:rFonts w:ascii="Calibri" w:hAnsi="Calibri" w:cs="Calibri" w:hint="default"/>
      <w:color w:val="0000FF"/>
      <w:u w:val="single"/>
    </w:rPr>
  </w:style>
  <w:style w:type="character" w:styleId="Hyperlink">
    <w:name w:val="Hyperlink"/>
    <w:basedOn w:val="DefaultParagraphFont"/>
    <w:uiPriority w:val="99"/>
    <w:unhideWhenUsed/>
    <w:rsid w:val="001B1517"/>
    <w:rPr>
      <w:color w:val="0563C1" w:themeColor="hyperlink"/>
      <w:u w:val="single"/>
    </w:rPr>
  </w:style>
  <w:style w:type="paragraph" w:styleId="ListParagraph">
    <w:name w:val="List Paragraph"/>
    <w:basedOn w:val="Normal"/>
    <w:uiPriority w:val="34"/>
    <w:qFormat/>
    <w:rsid w:val="00894A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9062425">
      <w:bodyDiv w:val="1"/>
      <w:marLeft w:val="0"/>
      <w:marRight w:val="0"/>
      <w:marTop w:val="0"/>
      <w:marBottom w:val="0"/>
      <w:divBdr>
        <w:top w:val="none" w:sz="0" w:space="0" w:color="auto"/>
        <w:left w:val="none" w:sz="0" w:space="0" w:color="auto"/>
        <w:bottom w:val="none" w:sz="0" w:space="0" w:color="auto"/>
        <w:right w:val="none" w:sz="0" w:space="0" w:color="auto"/>
      </w:divBdr>
    </w:div>
    <w:div w:id="1927299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8299-95377"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onguhenryp@gmail.comm" TargetMode="External"/><Relationship Id="rId12" Type="http://schemas.openxmlformats.org/officeDocument/2006/relationships/hyperlink" Target="https://contentmarketinginstitut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ma.org/AboutAMA/Pages/Definition-of-Marketing.aspx" TargetMode="External"/><Relationship Id="rId5" Type="http://schemas.openxmlformats.org/officeDocument/2006/relationships/footnotes" Target="footnotes.xml"/><Relationship Id="rId10" Type="http://schemas.openxmlformats.org/officeDocument/2006/relationships/hyperlink" Target="mailto:abdulsalamaisha972@gmail.com" TargetMode="External"/><Relationship Id="rId4" Type="http://schemas.openxmlformats.org/officeDocument/2006/relationships/webSettings" Target="webSettings.xml"/><Relationship Id="rId9" Type="http://schemas.openxmlformats.org/officeDocument/2006/relationships/hyperlink" Target="mailto:sherifatsanusiab@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22</Pages>
  <Words>6334</Words>
  <Characters>36107</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42357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30</cp:revision>
  <dcterms:created xsi:type="dcterms:W3CDTF">2026-09-28T13:45:00Z</dcterms:created>
  <dcterms:modified xsi:type="dcterms:W3CDTF">2026-09-29T20:07:00Z</dcterms:modified>
</cp:coreProperties>
</file>