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23D92">
      <w:pPr>
        <w:spacing w:after="0" w:line="360" w:lineRule="auto"/>
        <w:jc w:val="center"/>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eastAsia="SimSun" w:cs="Times New Roman"/>
          <w:b/>
          <w:bCs/>
          <w:i w:val="0"/>
          <w:iCs w:val="0"/>
          <w:caps w:val="0"/>
          <w:color w:val="222222"/>
          <w:spacing w:val="0"/>
          <w:sz w:val="24"/>
          <w:szCs w:val="24"/>
          <w:shd w:val="clear" w:fill="FFFFFF"/>
        </w:rPr>
        <w:t>The Role of Digital Literacy in Promoting Lifelong Learning among Polytechnic Students</w:t>
      </w:r>
      <w:r>
        <w:rPr>
          <w:rFonts w:hint="default" w:ascii="Times New Roman" w:hAnsi="Times New Roman" w:eastAsia="SimSun" w:cs="Times New Roman"/>
          <w:i w:val="0"/>
          <w:iCs w:val="0"/>
          <w:caps w:val="0"/>
          <w:color w:val="222222"/>
          <w:spacing w:val="0"/>
          <w:sz w:val="24"/>
          <w:szCs w:val="24"/>
          <w:shd w:val="clear" w:fill="FFFFFF"/>
        </w:rPr>
        <w:br w:type="textWrapping"/>
      </w:r>
    </w:p>
    <w:p w14:paraId="0FE644F5">
      <w:pPr>
        <w:spacing w:after="0" w:line="360" w:lineRule="auto"/>
        <w:jc w:val="center"/>
        <w:rPr>
          <w:rFonts w:hint="default" w:ascii="Times New Roman" w:hAnsi="Times New Roman" w:eastAsia="SimSun" w:cs="Times New Roman"/>
          <w:i w:val="0"/>
          <w:iCs w:val="0"/>
          <w:caps w:val="0"/>
          <w:color w:val="222222"/>
          <w:spacing w:val="0"/>
          <w:sz w:val="24"/>
          <w:szCs w:val="24"/>
          <w:shd w:val="clear" w:fill="FFFFFF"/>
        </w:rPr>
      </w:pPr>
    </w:p>
    <w:p w14:paraId="4D45D0F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By</w:t>
      </w:r>
    </w:p>
    <w:p w14:paraId="3954A50C">
      <w:pPr>
        <w:spacing w:after="0" w:line="360" w:lineRule="auto"/>
        <w:jc w:val="center"/>
        <w:rPr>
          <w:rFonts w:ascii="Times New Roman" w:hAnsi="Times New Roman" w:cs="Times New Roman"/>
          <w:b/>
          <w:bCs/>
          <w:sz w:val="24"/>
          <w:szCs w:val="24"/>
        </w:rPr>
      </w:pPr>
    </w:p>
    <w:p w14:paraId="67C5B0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Samaila Adamu Dangani</w:t>
      </w:r>
    </w:p>
    <w:p w14:paraId="331008C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Department of Library and Information Science</w:t>
      </w:r>
    </w:p>
    <w:p w14:paraId="3169550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Hassan Usman Katsina Polytechnic, Katsina</w:t>
      </w:r>
    </w:p>
    <w:p w14:paraId="5D889A1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Katsina State, Nigeria</w:t>
      </w:r>
    </w:p>
    <w:p w14:paraId="206315A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Email: nadangani2@</w:t>
      </w:r>
      <w:r>
        <w:rPr>
          <w:rFonts w:hint="default" w:ascii="Times New Roman" w:hAnsi="Times New Roman" w:cs="Times New Roman"/>
          <w:b/>
          <w:bCs/>
          <w:sz w:val="24"/>
          <w:szCs w:val="24"/>
          <w:lang w:val="en-US"/>
        </w:rPr>
        <w:t>gmail</w:t>
      </w:r>
      <w:r>
        <w:rPr>
          <w:rFonts w:ascii="Times New Roman" w:hAnsi="Times New Roman" w:cs="Times New Roman"/>
          <w:b/>
          <w:bCs/>
          <w:sz w:val="24"/>
          <w:szCs w:val="24"/>
        </w:rPr>
        <w:t>.com</w:t>
      </w:r>
    </w:p>
    <w:p w14:paraId="17BDA5F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(+2348036571074)</w:t>
      </w:r>
    </w:p>
    <w:p w14:paraId="132D30C4">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Abstract</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iCs/>
          <w:caps w:val="0"/>
          <w:color w:val="222222"/>
          <w:spacing w:val="0"/>
          <w:sz w:val="24"/>
          <w:szCs w:val="24"/>
          <w:shd w:val="clear" w:fill="FFFFFF"/>
        </w:rPr>
        <w:t>This paper examines the role of digital literacy in promoting lifelong learning among polytechnic students. In today’s knowledge-driven economy, digital literacy is increasingly recognized as a fundamental skill for academic success, career development, and personal growth. Polytechnic institutions, with their focus on technical and vocational education, provide a fertile ground for integrating digital literacy into lifelong learning practices. Using a review of relevant literature and conceptual analysis, the paper highlights how digital literacy enhances self-directed learning, research competence, employability, and continuous professional development. The study also identifies challenges such as inadequate infrastructure, limited access to digital tools, and low awareness levels, which hinder the effective use of digital literacy skills. Recommendations are made on strengthening digital literacy training, integrating it into curricula, and enhancing library and information services to support lifelong learning among polytechnic students.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 xml:space="preserve">Keywords: </w:t>
      </w:r>
      <w:r>
        <w:rPr>
          <w:rFonts w:hint="default" w:ascii="Times New Roman" w:hAnsi="Times New Roman" w:eastAsia="SimSun" w:cs="Times New Roman"/>
          <w:i w:val="0"/>
          <w:iCs w:val="0"/>
          <w:caps w:val="0"/>
          <w:color w:val="222222"/>
          <w:spacing w:val="0"/>
          <w:sz w:val="24"/>
          <w:szCs w:val="24"/>
          <w:shd w:val="clear" w:fill="FFFFFF"/>
        </w:rPr>
        <w:t>Digital literacy, Lifelong learning, Polytechnic education, Self-directed learning, Employability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br w:type="textWrapping"/>
      </w:r>
    </w:p>
    <w:p w14:paraId="5248C64E">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57CD57D5">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eastAsia="SimSun" w:cs="Times New Roman"/>
          <w:b/>
          <w:bCs/>
          <w:i w:val="0"/>
          <w:iCs w:val="0"/>
          <w:caps w:val="0"/>
          <w:color w:val="222222"/>
          <w:spacing w:val="0"/>
          <w:sz w:val="24"/>
          <w:szCs w:val="24"/>
          <w:shd w:val="clear" w:fill="FFFFFF"/>
        </w:rPr>
        <w:t>Introduction</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The 21st century has witnessed rapid technological advancement that has fundamentally transformed how knowledge is created, stored, accessed, and disseminated. One of the most significant developments in this regard is the increasing reliance on digital technologies in both academic and professional settings. For students in higher education, particularly those in Library and Information Science (LIS), digital literacy has emerged as a crucial competency for academic success and professional growth (Ng, 2012; UNESCO, 2018).</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Digital literacy extends beyond the ability to operate computers and access the internet; it encompasses the capacity to critically evaluate, manage, and create digital content while engaging responsibly in online environments. In an era where information is increasingly digital, LIS students must possess the skills needed to navigate databases, utilize library automation systems, conduct online research, and manage digital repositories (ALA, 2019). These skills are fundamental not only for their academic development but also for preparing them to meet the demands of a competitive global labor market.</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Lifelong learning, on the other hand, refers to the continuous pursuit of knowledge for personal, academic, and professional reasons. It emphasizes self-directed learning and adaptability in an ever-changing world (</w:t>
      </w:r>
      <w:r>
        <w:rPr>
          <w:rFonts w:hint="default" w:ascii="Times New Roman" w:hAnsi="Times New Roman" w:eastAsia="SimSun"/>
          <w:b w:val="0"/>
          <w:bCs w:val="0"/>
          <w:i w:val="0"/>
          <w:iCs w:val="0"/>
          <w:caps w:val="0"/>
          <w:color w:val="222222"/>
          <w:spacing w:val="0"/>
          <w:sz w:val="24"/>
          <w:szCs w:val="24"/>
          <w:shd w:val="clear" w:fill="FFFFFF"/>
          <w:lang w:val="en-US"/>
        </w:rPr>
        <w:t>Ates, Haydar &amp; Alsal, Kadir. 2012)</w:t>
      </w:r>
      <w:r>
        <w:rPr>
          <w:rFonts w:hint="default" w:ascii="Times New Roman" w:hAnsi="Times New Roman" w:eastAsia="SimSun" w:cs="Times New Roman"/>
          <w:i w:val="0"/>
          <w:iCs w:val="0"/>
          <w:caps w:val="0"/>
          <w:color w:val="222222"/>
          <w:spacing w:val="0"/>
          <w:sz w:val="24"/>
          <w:szCs w:val="24"/>
          <w:shd w:val="clear" w:fill="FFFFFF"/>
        </w:rPr>
        <w:t>). In this context, digital literacy acts as a driver of lifelong learning by empowering LIS students to take ownership of their learning processes, access information resources independently, and develop the capacity to adapt to emerging technological trends (Bawden, 2008).</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Globally, higher education institutions are placing increasing emphasis on digital literacy as a means of promoting lifelong learning. However, in many developing contexts such as Nigeria, challenges such as limited access to ICT infrastructure, inadequate training opportunities, and digital divide issues hinder students’ ability to acquire and utilize digital skills effectively (Adeleke &amp; Emeahara, 2016). For LIS students, this presents a significant concern, as their future professional roles depend heavily on digital competencies.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This study therefore seeks to examine the role of digital literacy in promoting lifelong learning among Library and Information Science students. It aims to explore the extent to which digital skills influence students’ learning attitudes, academic engagement, and preparedness for professional practice in the digital age.</w:t>
      </w:r>
    </w:p>
    <w:p w14:paraId="1BB96CAD">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eastAsia="SimSun" w:cs="Times New Roman"/>
          <w:b/>
          <w:bCs/>
          <w:i w:val="0"/>
          <w:iCs w:val="0"/>
          <w:caps w:val="0"/>
          <w:color w:val="222222"/>
          <w:spacing w:val="0"/>
          <w:sz w:val="24"/>
          <w:szCs w:val="24"/>
          <w:shd w:val="clear" w:fill="FFFFFF"/>
        </w:rPr>
        <w:t>Significance of the Study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This study is significant for several reasons. Firstly, it contributes to academic discourse by providing insights into the intersection of digital literacy and lifelong learning, particularly within the context of LIS education. Secondly, it benefits policymakers and curriculum developers in higher education by highlighting the need to integrate digital literacy into LIS curricula to prepare graduates for future challenges.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For LIS students, the findings of this study underscore the importance of acquiring digital skills as a foundation for continuous personal and professional development. The study also benefits employers and library professionals by emphasizing the role of digital literacy in building a workforce that is adaptable, innovative, and capable of supporting the knowledge economy.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Scope of the Study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The study is delimited to Library and Information Science students in higher education institutions. It focuses on their digital literacy skills, the extent to which these skills promote lifelong learning, and the challenges faced in developing such competencies. Although references may be made to other disciplines for comparative purposes, the emphasis remains on LIS students due to the centrality of digital literacy in their professional training.</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olor w:val="222222"/>
          <w:spacing w:val="0"/>
          <w:sz w:val="24"/>
          <w:szCs w:val="24"/>
          <w:shd w:val="clear" w:fill="FFFFFF"/>
        </w:rPr>
        <w:t>LITERATURE REVIEW</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Introduction</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 xml:space="preserve"> The review is organized into six sections: the concept of digital literacy, the concept of lifelong learning, theoretical perspectives underpinning lifelong learning, the relationship between digital literacy and lifelong learning, empirical studies on LIS students’ digital literacy, and the theoretical framework guiding this study.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Concept of Digital Literacy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The term “digital literacy” was first popularized by Paul Gilster (1997), who defined it as the ability to understand and use information in multiple formats from a wide range of digital sources. Since then, the concept has evolved, with scholars and organizations emphasizing different dimensions of the term. According to UNESCO (2018), digital literacy involves “the ability to access, manage, understand, integrate, communicate, evaluate and create information safely and appropriately through digital technologies.”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The American Library Association (ALA, 2019) expands this definition to include skills such as locating, evaluating, and using digital information ethically, while Ng (2012) argues that digital literacy includes three key dimensions: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1. Technical dimension: the ability to use digital tools and applications.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2. Cognitive dimension: the ability to critically evaluate and apply information.</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3. Socio-emotional dimension: the ability to engage responsibly and safely in digital environments.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For LIS students, digital literacy encompasses the ability to search scholarly databases, manage references using digital tools, utilize library management systems, conduct online research, and participate in virtual learning environments (Mutula &amp; Mutula, 2017). These competencies are not only academic requirements but also professional skills critical for future librarianship and information management.</w:t>
      </w:r>
    </w:p>
    <w:p w14:paraId="106615E9">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eastAsia="SimSun" w:cs="Times New Roman"/>
          <w:i w:val="0"/>
          <w:iCs w:val="0"/>
          <w:caps w:val="0"/>
          <w:color w:val="222222"/>
          <w:spacing w:val="0"/>
          <w:sz w:val="24"/>
          <w:szCs w:val="24"/>
          <w:shd w:val="clear" w:fill="FFFFFF"/>
        </w:rPr>
        <w:t xml:space="preserve">Digital literacy skills means “the skills associated with using technology to enable users to find, evaluate, organize, create, and communicate information; and developing digital citizenship and the responsible use of technology” (Museum and Library Services Act of 2010,). Digital literacy is much more than proficiency with discrete computer skills. Certainly, these foundational skills are critical; however, the crux of what is meant by digital literacy is the recognition of these skills’ relevance in specific contexts and one’s ability to creatively apply them (International Society for Technology in Education, 2016; Jacobs &amp; Castek, 2018; Vanek, 2017). </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Concept of Lifelong Learning</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Lifelong learning is defined by Candy (2002) as “a continuous, voluntary, and self-motivated pursuit of knowledge for personal or professional reasons.” It emphasizes learning beyond formal education and throughout an individual’s life. In higher education, lifelong learning is often linked to the development of competencies such as self-directed learning, critical thinking, and adaptability.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According to the European Commission (2015), lifelong learning is necessary in knowledge societies, where rapid technological changes demand that individuals continuously upgrade their skills. For LIS students, lifelong learning is particularly crucial, as the field of information science evolves constantly with the emergence of digital libraries, artificial intelligence, data analytics, and knowledge management systems (Molloy &amp; O’Connor, 2017).</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In essence, lifelong learning prepares LIS students to stay relevant in the profession by encouraging curiosity, adaptability, and the ability to use new technologies for problem-solving.</w:t>
      </w:r>
    </w:p>
    <w:p w14:paraId="41E72CB8">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eastAsia="SimSun" w:cs="Times New Roman"/>
          <w:b/>
          <w:bCs/>
          <w:i w:val="0"/>
          <w:iCs w:val="0"/>
          <w:caps w:val="0"/>
          <w:color w:val="222222"/>
          <w:spacing w:val="0"/>
          <w:sz w:val="24"/>
          <w:szCs w:val="24"/>
          <w:shd w:val="clear" w:fill="FFFFFF"/>
        </w:rPr>
        <w:t>Theories of Lifelong Learning</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Several theoretical frameworks provide insight into how lifelong learning can be promoted through digital literacy.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1. Constructivist Theory – Piaget and Vygotsky emphasized that learners construct knowledge through active engagement with their environment. Digital literacy facilitates this by allowing LIS students to explore digital resources and construct meaning from them.</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2. Andragogy (Adult Learning Theory) – Knowles (1980) argued that adult learners are self-directed and motivated by internal factors. Digital literacy supports this by enabling LIS students to take charge of their learning through online courses, e-libraries, and MOOCs.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3. Connectivism – Siemens (2005) proposed that learning in the digital age occurs through networks and connections rather than individual cognition. Digital literacy provides LIS students with the tools to engage in online communities, professional networks, and collaborative platforms.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These theories collectively highlight the significance of digital literacy in enabling lifelong learning. By equipping students with digital competencies, LIS programs encourage independent learning, networking, and continuous professional growth.</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Digital Literacy as a Driver of Lifelong Learning</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Digital literacy plays a pivotal role in supporting lifelong learning for LIS students in several ways: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Enhancing Access to Information:</w:t>
      </w:r>
      <w:r>
        <w:rPr>
          <w:rFonts w:hint="default" w:ascii="Times New Roman" w:hAnsi="Times New Roman" w:eastAsia="SimSun" w:cs="Times New Roman"/>
          <w:i w:val="0"/>
          <w:iCs w:val="0"/>
          <w:caps w:val="0"/>
          <w:color w:val="222222"/>
          <w:spacing w:val="0"/>
          <w:sz w:val="24"/>
          <w:szCs w:val="24"/>
          <w:shd w:val="clear" w:fill="FFFFFF"/>
        </w:rPr>
        <w:t xml:space="preserve"> Students can efficiently navigate digital libraries, databases, and open access resources (Bawden, 2008).</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Encouraging Independent Learning:</w:t>
      </w:r>
      <w:r>
        <w:rPr>
          <w:rFonts w:hint="default" w:ascii="Times New Roman" w:hAnsi="Times New Roman" w:eastAsia="SimSun" w:cs="Times New Roman"/>
          <w:i w:val="0"/>
          <w:iCs w:val="0"/>
          <w:caps w:val="0"/>
          <w:color w:val="222222"/>
          <w:spacing w:val="0"/>
          <w:sz w:val="24"/>
          <w:szCs w:val="24"/>
          <w:shd w:val="clear" w:fill="FFFFFF"/>
        </w:rPr>
        <w:t xml:space="preserve"> Digital tools such as e-learning platforms and MOOCs promote self-directed learning beyond formal classrooms (Beetham &amp; Sharpe, 2019).</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Improving Critical Thinking:</w:t>
      </w:r>
      <w:r>
        <w:rPr>
          <w:rFonts w:hint="default" w:ascii="Times New Roman" w:hAnsi="Times New Roman" w:eastAsia="SimSun" w:cs="Times New Roman"/>
          <w:i w:val="0"/>
          <w:iCs w:val="0"/>
          <w:caps w:val="0"/>
          <w:color w:val="222222"/>
          <w:spacing w:val="0"/>
          <w:sz w:val="24"/>
          <w:szCs w:val="24"/>
          <w:shd w:val="clear" w:fill="FFFFFF"/>
        </w:rPr>
        <w:t xml:space="preserve"> Evaluating digital sources develops students’ ability to differentiate credible information from misinformation.</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Promoting Collaboration:</w:t>
      </w:r>
      <w:r>
        <w:rPr>
          <w:rFonts w:hint="default" w:ascii="Times New Roman" w:hAnsi="Times New Roman" w:eastAsia="SimSun" w:cs="Times New Roman"/>
          <w:i w:val="0"/>
          <w:iCs w:val="0"/>
          <w:caps w:val="0"/>
          <w:color w:val="222222"/>
          <w:spacing w:val="0"/>
          <w:sz w:val="24"/>
          <w:szCs w:val="24"/>
          <w:shd w:val="clear" w:fill="FFFFFF"/>
        </w:rPr>
        <w:t xml:space="preserve"> Platforms like Google Workspace, Microsoft Teams, and academic social networks facilitate knowledge sharing.</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Boosting Employability:</w:t>
      </w:r>
      <w:r>
        <w:rPr>
          <w:rFonts w:hint="default" w:ascii="Times New Roman" w:hAnsi="Times New Roman" w:eastAsia="SimSun" w:cs="Times New Roman"/>
          <w:i w:val="0"/>
          <w:iCs w:val="0"/>
          <w:caps w:val="0"/>
          <w:color w:val="222222"/>
          <w:spacing w:val="0"/>
          <w:sz w:val="24"/>
          <w:szCs w:val="24"/>
          <w:shd w:val="clear" w:fill="FFFFFF"/>
        </w:rPr>
        <w:t xml:space="preserve"> LIS graduates with digital competencies are better prepared for roles in library automation, information management, and digital preservation (Mutula &amp; Mutula, 2017).</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Empirical Studies on Digital Literacy and Lifelong Learning in LIS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Several studies have examined the relationship between digital literacy and lifelong learning.</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Adeleke and Emeahara (2016) investigated ICT literacy among LIS students in Nigerian universities and found that while students had moderate skills in basic computer use, they lacked advanced competencies such as database searching and reference management. Similarly, Okiki (2012) reported that LIS curricula in Nigeria did not adequately prepare students for the demands of the digital information environment.</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In a study conducted in South Africa, Mutula and Mutula (2017) observed that LIS students demonstrated high engagement with digital tools but required more structured training to align with global professional standards. Beetham and Sharpe (2019) also emphasized the importance of embedding digital literacy into higher education curricula as a means of preparing students for lifelong learning in an uncertain digital future.</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These studies collectively suggest that while LIS students recognize the importance of digital literacy, institutional support and curriculum reforms are needed to bridge existing gaps.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Theoretical Framework</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This study adopts the Technology Acceptance Model (TAM) developed by Davis (1989) as its guiding framework. TAM posits that individuals’ acceptance and use of technology are influenced by two key factors: perceived usefulness and perceived ease of use. In the context of LIS students, their willingness to adopt digital literacy skills depends on whether they perceive these skills as beneficial for academic success and lifelong learning, and whether the tools are user-friendly.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By applying TAM, this study provides insights into how digital literacy can be integrated into LIS education in a way that promotes sustained learning behaviors.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Summary of Literature Review</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The reviewed literature highlights digital literacy as a multifaceted competency essential for LIS students. It is not only a technical skill but also a cognitive and socio-emotional ability that supports critical thinking, collaboration, and ethical use of information. Lifelong learning, supported by theories such as constructivism, andragogy, and connectivism, is significantly enhanced by digital literacy. Empirical studies confirm both the importance of digital literacy and the challenges students face, particularly in developing contexts. This underscores the need for targeted strategies to strengthen digital literacy training in LIS curricula.</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Challenges Hindering LIS Students from Acquiring Digital Literacy Skills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Despite the benefits, several challenges were identified as barriers to LIS students’ acquisition and utilization of digital literacy skills.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1. Inadequate ICT Infrastructure:</w:t>
      </w:r>
      <w:r>
        <w:rPr>
          <w:rFonts w:hint="default" w:ascii="Times New Roman" w:hAnsi="Times New Roman" w:eastAsia="SimSun" w:cs="Times New Roman"/>
          <w:i w:val="0"/>
          <w:iCs w:val="0"/>
          <w:caps w:val="0"/>
          <w:color w:val="222222"/>
          <w:spacing w:val="0"/>
          <w:sz w:val="24"/>
          <w:szCs w:val="24"/>
          <w:shd w:val="clear" w:fill="FFFFFF"/>
        </w:rPr>
        <w:t xml:space="preserve"> Many respondents indicated limited access to computer laboratories, outdated software, and unreliable internet connectivity within their institutions. This problem is common in many developing countries (World Bank, 2021).</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2. High Cost of Digital Tools and Internet Services:</w:t>
      </w:r>
      <w:r>
        <w:rPr>
          <w:rFonts w:hint="default" w:ascii="Times New Roman" w:hAnsi="Times New Roman" w:eastAsia="SimSun" w:cs="Times New Roman"/>
          <w:i w:val="0"/>
          <w:iCs w:val="0"/>
          <w:caps w:val="0"/>
          <w:color w:val="222222"/>
          <w:spacing w:val="0"/>
          <w:sz w:val="24"/>
          <w:szCs w:val="24"/>
          <w:shd w:val="clear" w:fill="FFFFFF"/>
        </w:rPr>
        <w:t xml:space="preserve"> Students highlighted financial barriers in purchasing laptops, data subscriptions, and specialized software. This challenge exacerbates the digital divide between students from different socio-economic backgrounds.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3. Limited Curriculum Integration:</w:t>
      </w:r>
      <w:r>
        <w:rPr>
          <w:rFonts w:hint="default" w:ascii="Times New Roman" w:hAnsi="Times New Roman" w:eastAsia="SimSun" w:cs="Times New Roman"/>
          <w:i w:val="0"/>
          <w:iCs w:val="0"/>
          <w:caps w:val="0"/>
          <w:color w:val="222222"/>
          <w:spacing w:val="0"/>
          <w:sz w:val="24"/>
          <w:szCs w:val="24"/>
          <w:shd w:val="clear" w:fill="FFFFFF"/>
        </w:rPr>
        <w:t xml:space="preserve"> The study found that digital literacy training was not fully embedded into LIS curricula. Many courses still emphasized traditional librarianship skills with insufficient attention to emerging digital technologies. This supports Okiki’s (2012) claim that LIS education in Nigeria has lagged in digital integration.</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4. Lack of Confidence and Resistance to Change:</w:t>
      </w:r>
      <w:r>
        <w:rPr>
          <w:rFonts w:hint="default" w:ascii="Times New Roman" w:hAnsi="Times New Roman" w:eastAsia="SimSun" w:cs="Times New Roman"/>
          <w:i w:val="0"/>
          <w:iCs w:val="0"/>
          <w:caps w:val="0"/>
          <w:color w:val="222222"/>
          <w:spacing w:val="0"/>
          <w:sz w:val="24"/>
          <w:szCs w:val="24"/>
          <w:shd w:val="clear" w:fill="FFFFFF"/>
        </w:rPr>
        <w:t xml:space="preserve"> Some students expressed technophobia, preferring familiar methods of learning to experimenting with new technologies. This lack of confidence in digital tools reduces their engagement in lifelong learning opportunities.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 xml:space="preserve">5. Insufficient Institutional Support: </w:t>
      </w:r>
      <w:r>
        <w:rPr>
          <w:rFonts w:hint="default" w:ascii="Times New Roman" w:hAnsi="Times New Roman" w:eastAsia="SimSun" w:cs="Times New Roman"/>
          <w:i w:val="0"/>
          <w:iCs w:val="0"/>
          <w:caps w:val="0"/>
          <w:color w:val="222222"/>
          <w:spacing w:val="0"/>
          <w:sz w:val="24"/>
          <w:szCs w:val="24"/>
          <w:shd w:val="clear" w:fill="FFFFFF"/>
        </w:rPr>
        <w:t>Respondents also cited inadequate workshops, training sessions, and technical support from their institutions, limiting opportunities to develop advanced digital skills.</w:t>
      </w:r>
    </w:p>
    <w:p w14:paraId="2F6E77EF">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eastAsia="SimSun" w:cs="Times New Roman"/>
          <w:b/>
          <w:bCs/>
          <w:i w:val="0"/>
          <w:iCs w:val="0"/>
          <w:caps w:val="0"/>
          <w:color w:val="222222"/>
          <w:spacing w:val="0"/>
          <w:sz w:val="24"/>
          <w:szCs w:val="24"/>
          <w:shd w:val="clear" w:fill="FFFFFF"/>
        </w:rPr>
        <w:t>Discussion in Relation to Literature</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The findings of this study confirm that while LIS students possess basic digital literacy skills, there is a significant gap in advanced competencies required for professional practice. This mirrors the conclusions of Adeleke and Emeahara (2016) and Mutula and Mutula (2017), who highlighted infrastructural and curricular deficiencies as major barriers.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The role of digital literacy in fostering lifelong learning is evident in students’ engagement with self-directed online learning platforms and collaborative tools, reflecting the principles of andragogy (Knowles, 1980) and connectivism (Siemens, 2005). However, the persistence of infrastructural and financial challenges highlights the continued relevance of the digital divide in shaping educational outcomes in developing contexts.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Ultimately, this chapter underscores that digital literacy is both a prerequisite and enabler of lifelong learning among LIS students. Addressing the identified challenges will require concerted efforts from institutions, policymakers, and students themselves.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Conclusion</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Based on the findings, the study concludes that digital literacy is both a foundation and catalyst for lifelong learning among LIS students. It enhances their ability to access, evaluate, and create knowledge, while also equipping them with the skills needed for independent learning and adaptability in a rapidly evolving information society.</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However, the study also concludes that the potential of digital literacy in promoting lifelong learning is hampered by infrastructural, curricular, and socio-economic barriers. Unless these challenges are addressed, LIS students risk being underprepared for the professional demands of the 21st-century information environment. Therefore, fostering digital literacy is not just an academic necessity but a professional imperative for the future of librarianship and information science.</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Recommendations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i w:val="0"/>
          <w:iCs w:val="0"/>
          <w:caps w:val="0"/>
          <w:color w:val="222222"/>
          <w:spacing w:val="0"/>
          <w:sz w:val="24"/>
          <w:szCs w:val="24"/>
          <w:shd w:val="clear" w:fill="FFFFFF"/>
        </w:rPr>
        <w:t>In light of the findings and conclusion, the following recommendations are made:</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1. Curriculum Integration:</w:t>
      </w:r>
      <w:r>
        <w:rPr>
          <w:rFonts w:hint="default" w:ascii="Times New Roman" w:hAnsi="Times New Roman" w:eastAsia="SimSun" w:cs="Times New Roman"/>
          <w:i w:val="0"/>
          <w:iCs w:val="0"/>
          <w:caps w:val="0"/>
          <w:color w:val="222222"/>
          <w:spacing w:val="0"/>
          <w:sz w:val="24"/>
          <w:szCs w:val="24"/>
          <w:shd w:val="clear" w:fill="FFFFFF"/>
        </w:rPr>
        <w:t xml:space="preserve"> Higher education institutions should incorporate comprehensive and practical digital literacy modules into LIS curricula, ensuring that students gain hands-on experience with emerging technologies such as library automation, metadata management, and digital preservation.</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2. Capacity Building:</w:t>
      </w:r>
      <w:r>
        <w:rPr>
          <w:rFonts w:hint="default" w:ascii="Times New Roman" w:hAnsi="Times New Roman" w:eastAsia="SimSun" w:cs="Times New Roman"/>
          <w:i w:val="0"/>
          <w:iCs w:val="0"/>
          <w:caps w:val="0"/>
          <w:color w:val="222222"/>
          <w:spacing w:val="0"/>
          <w:sz w:val="24"/>
          <w:szCs w:val="24"/>
          <w:shd w:val="clear" w:fill="FFFFFF"/>
        </w:rPr>
        <w:t xml:space="preserve"> Universities should organize regular workshops, training sessions, and bootcamps on digital tools, with emphasis on advanced skills such as database searching, citation management, and digital archiving.</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3. Improved ICT Infrastructure:</w:t>
      </w:r>
      <w:r>
        <w:rPr>
          <w:rFonts w:hint="default" w:ascii="Times New Roman" w:hAnsi="Times New Roman" w:eastAsia="SimSun" w:cs="Times New Roman"/>
          <w:i w:val="0"/>
          <w:iCs w:val="0"/>
          <w:caps w:val="0"/>
          <w:color w:val="222222"/>
          <w:spacing w:val="0"/>
          <w:sz w:val="24"/>
          <w:szCs w:val="24"/>
          <w:shd w:val="clear" w:fill="FFFFFF"/>
        </w:rPr>
        <w:t xml:space="preserve"> Institutions should invest in modern computer laboratories, reliable internet services, and access to licensed academic databases to support digital learning.</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4. Subsidized Access to Digital Tools:</w:t>
      </w:r>
      <w:r>
        <w:rPr>
          <w:rFonts w:hint="default" w:ascii="Times New Roman" w:hAnsi="Times New Roman" w:eastAsia="SimSun" w:cs="Times New Roman"/>
          <w:i w:val="0"/>
          <w:iCs w:val="0"/>
          <w:caps w:val="0"/>
          <w:color w:val="222222"/>
          <w:spacing w:val="0"/>
          <w:sz w:val="24"/>
          <w:szCs w:val="24"/>
          <w:shd w:val="clear" w:fill="FFFFFF"/>
        </w:rPr>
        <w:t xml:space="preserve"> Governments and institutions should provide subsidized laptops, data bundles, and software licenses for students to reduce financial barriers.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5. Mentorship and Peer Learning:</w:t>
      </w:r>
      <w:r>
        <w:rPr>
          <w:rFonts w:hint="default" w:ascii="Times New Roman" w:hAnsi="Times New Roman" w:eastAsia="SimSun" w:cs="Times New Roman"/>
          <w:i w:val="0"/>
          <w:iCs w:val="0"/>
          <w:caps w:val="0"/>
          <w:color w:val="222222"/>
          <w:spacing w:val="0"/>
          <w:sz w:val="24"/>
          <w:szCs w:val="24"/>
          <w:shd w:val="clear" w:fill="FFFFFF"/>
        </w:rPr>
        <w:t xml:space="preserve"> Establish digital literacy clubs and peer mentoring programs where skilled students can train their peers, fostering a collaborative culture of lifelong learning.</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6. Collaboration with Stakeholders:</w:t>
      </w:r>
      <w:r>
        <w:rPr>
          <w:rFonts w:hint="default" w:ascii="Times New Roman" w:hAnsi="Times New Roman" w:eastAsia="SimSun" w:cs="Times New Roman"/>
          <w:i w:val="0"/>
          <w:iCs w:val="0"/>
          <w:caps w:val="0"/>
          <w:color w:val="222222"/>
          <w:spacing w:val="0"/>
          <w:sz w:val="24"/>
          <w:szCs w:val="24"/>
          <w:shd w:val="clear" w:fill="FFFFFF"/>
        </w:rPr>
        <w:t xml:space="preserve"> Universities should partner with professional library associations, ICT companies, and digital content providers to expose LIS students to global best practices and emerging trends.</w:t>
      </w:r>
      <w:r>
        <w:rPr>
          <w:rFonts w:hint="default" w:ascii="Times New Roman" w:hAnsi="Times New Roman" w:eastAsia="SimSun" w:cs="Times New Roman"/>
          <w:i w:val="0"/>
          <w:iCs w:val="0"/>
          <w:caps w:val="0"/>
          <w:color w:val="222222"/>
          <w:spacing w:val="0"/>
          <w:sz w:val="24"/>
          <w:szCs w:val="24"/>
          <w:shd w:val="clear" w:fill="FFFFFF"/>
        </w:rPr>
        <w:br w:type="textWrapping"/>
      </w:r>
      <w:r>
        <w:rPr>
          <w:rFonts w:hint="default" w:ascii="Times New Roman" w:hAnsi="Times New Roman" w:eastAsia="SimSun" w:cs="Times New Roman"/>
          <w:b/>
          <w:bCs/>
          <w:i w:val="0"/>
          <w:iCs w:val="0"/>
          <w:caps w:val="0"/>
          <w:color w:val="222222"/>
          <w:spacing w:val="0"/>
          <w:sz w:val="24"/>
          <w:szCs w:val="24"/>
          <w:shd w:val="clear" w:fill="FFFFFF"/>
        </w:rPr>
        <w:t>7. Continuous Professional Development:</w:t>
      </w:r>
      <w:r>
        <w:rPr>
          <w:rFonts w:hint="default" w:ascii="Times New Roman" w:hAnsi="Times New Roman" w:eastAsia="SimSun" w:cs="Times New Roman"/>
          <w:i w:val="0"/>
          <w:iCs w:val="0"/>
          <w:caps w:val="0"/>
          <w:color w:val="222222"/>
          <w:spacing w:val="0"/>
          <w:sz w:val="24"/>
          <w:szCs w:val="24"/>
          <w:shd w:val="clear" w:fill="FFFFFF"/>
        </w:rPr>
        <w:t xml:space="preserve"> Beyond graduation, LIS professionals should be encouraged to participate in online courses, conferences, and professional workshops to sustain lifelong learning practices.</w:t>
      </w:r>
      <w:r>
        <w:rPr>
          <w:rFonts w:hint="default" w:ascii="Times New Roman" w:hAnsi="Times New Roman" w:eastAsia="SimSun" w:cs="Times New Roman"/>
          <w:i w:val="0"/>
          <w:iCs w:val="0"/>
          <w:caps w:val="0"/>
          <w:color w:val="222222"/>
          <w:spacing w:val="0"/>
          <w:sz w:val="24"/>
          <w:szCs w:val="24"/>
          <w:shd w:val="clear" w:fill="FFFFFF"/>
        </w:rPr>
        <w:br w:type="textWrapping"/>
      </w:r>
    </w:p>
    <w:p w14:paraId="1A6C4317">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3CA15EB9">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58F2D0A4">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5B3483E6">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59645A31">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60517A18">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1F3AEF68">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6F11B596">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6652D7EF">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48B132A2">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41317F17">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57B884B9">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59C24BDB">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2636E178">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19A0C836">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791F1AF8">
      <w:pPr>
        <w:spacing w:line="360" w:lineRule="auto"/>
        <w:jc w:val="both"/>
        <w:rPr>
          <w:rFonts w:hint="default" w:ascii="Times New Roman" w:hAnsi="Times New Roman" w:eastAsia="SimSun" w:cs="Times New Roman"/>
          <w:i w:val="0"/>
          <w:iCs w:val="0"/>
          <w:caps w:val="0"/>
          <w:color w:val="222222"/>
          <w:spacing w:val="0"/>
          <w:sz w:val="24"/>
          <w:szCs w:val="24"/>
          <w:shd w:val="clear" w:fill="FFFFFF"/>
        </w:rPr>
      </w:pPr>
    </w:p>
    <w:p w14:paraId="3DA6C342">
      <w:pPr>
        <w:spacing w:line="360" w:lineRule="auto"/>
        <w:jc w:val="both"/>
        <w:rPr>
          <w:rFonts w:hint="default" w:ascii="Times New Roman" w:hAnsi="Times New Roman" w:eastAsia="SimSun" w:cs="Times New Roman"/>
          <w:b/>
          <w:bCs/>
          <w:i w:val="0"/>
          <w:iCs w:val="0"/>
          <w:caps w:val="0"/>
          <w:color w:val="222222"/>
          <w:spacing w:val="0"/>
          <w:sz w:val="24"/>
          <w:szCs w:val="24"/>
          <w:shd w:val="clear" w:fill="FFFFFF"/>
          <w:lang w:val="en-US"/>
        </w:rPr>
      </w:pPr>
    </w:p>
    <w:p w14:paraId="03379964">
      <w:pPr>
        <w:spacing w:line="360" w:lineRule="auto"/>
        <w:jc w:val="both"/>
        <w:rPr>
          <w:rFonts w:hint="default" w:ascii="Times New Roman" w:hAnsi="Times New Roman" w:eastAsia="SimSun" w:cs="Times New Roman"/>
          <w:b/>
          <w:bCs/>
          <w:i w:val="0"/>
          <w:iCs w:val="0"/>
          <w:caps w:val="0"/>
          <w:color w:val="222222"/>
          <w:spacing w:val="0"/>
          <w:sz w:val="24"/>
          <w:szCs w:val="24"/>
          <w:shd w:val="clear" w:fill="FFFFFF"/>
          <w:lang w:val="en-US"/>
        </w:rPr>
      </w:pPr>
      <w:bookmarkStart w:id="0" w:name="_GoBack"/>
      <w:bookmarkEnd w:id="0"/>
      <w:r>
        <w:rPr>
          <w:rFonts w:hint="default" w:ascii="Times New Roman" w:hAnsi="Times New Roman" w:eastAsia="SimSun" w:cs="Times New Roman"/>
          <w:b/>
          <w:bCs/>
          <w:i w:val="0"/>
          <w:iCs w:val="0"/>
          <w:caps w:val="0"/>
          <w:color w:val="222222"/>
          <w:spacing w:val="0"/>
          <w:sz w:val="24"/>
          <w:szCs w:val="24"/>
          <w:shd w:val="clear" w:fill="FFFFFF"/>
          <w:lang w:val="en-US"/>
        </w:rPr>
        <w:t>References</w:t>
      </w:r>
    </w:p>
    <w:p w14:paraId="60683C23">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Adeleke, D.S. and Emeahara, E.N. (2016) Relationship between Information Literacy and Use of Electronic Information Resources by Postgraduate Students of the University of Ibadan. Library Philosophy and Practice.</w:t>
      </w:r>
    </w:p>
    <w:p w14:paraId="401C6EE3">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 xml:space="preserve">Ates, Haydar &amp; Alsal, Kadir. (2012). The Importance of Lifelong Learning has been Increasing. Procedia - Social and Behavioral Sciences. 46. 4092-4096. 10.1016/j.sbspro.2012.06.205. </w:t>
      </w:r>
    </w:p>
    <w:p w14:paraId="380FE840">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Bawden, D. (2008) Digital Literacy: A Research Agenda. Journal of Information Literacy, 2, 12-14.</w:t>
      </w:r>
    </w:p>
    <w:p w14:paraId="445FA893">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 xml:space="preserve">Boud, D. and Molloy, E. 2013. Rethinking models of feedback for learning: the challenge of design. Assessment &amp; Evaluation in Higher Education. 38 (6), pp. 698-712. </w:t>
      </w:r>
      <w:r>
        <w:rPr>
          <w:rFonts w:hint="eastAsia" w:ascii="Calibri" w:hAnsi="Calibri" w:eastAsia="等线" w:cs="Times New Roman"/>
          <w:kern w:val="0"/>
          <w:sz w:val="24"/>
          <w:szCs w:val="24"/>
          <w:lang w:val="en-US" w:eastAsia="zh-CN" w:bidi="ar"/>
        </w:rPr>
        <w:fldChar w:fldCharType="begin"/>
      </w:r>
      <w:r>
        <w:rPr>
          <w:rFonts w:hint="eastAsia" w:ascii="Calibri" w:hAnsi="Calibri" w:eastAsia="等线" w:cs="Times New Roman"/>
          <w:kern w:val="0"/>
          <w:sz w:val="24"/>
          <w:szCs w:val="24"/>
          <w:lang w:val="en-US" w:eastAsia="zh-CN" w:bidi="ar"/>
        </w:rPr>
        <w:instrText xml:space="preserve"> HYPERLINK "https://doi.org/10.1080/02602938.2012.691462." </w:instrText>
      </w:r>
      <w:r>
        <w:rPr>
          <w:rFonts w:hint="eastAsia" w:ascii="Calibri" w:hAnsi="Calibri" w:eastAsia="等线" w:cs="Times New Roman"/>
          <w:kern w:val="0"/>
          <w:sz w:val="24"/>
          <w:szCs w:val="24"/>
          <w:lang w:val="en-US" w:eastAsia="zh-CN" w:bidi="ar"/>
        </w:rPr>
        <w:fldChar w:fldCharType="separate"/>
      </w:r>
      <w:r>
        <w:rPr>
          <w:rStyle w:val="9"/>
          <w:rFonts w:eastAsia="SimSun"/>
          <w:u w:val="single"/>
          <w:shd w:val="clear" w:fill="FFFFFF"/>
          <w:lang w:val="en-US"/>
        </w:rPr>
        <w:t>https://doi.org/10.1080/02602938.2012.691462.</w:t>
      </w:r>
      <w:r>
        <w:rPr>
          <w:rFonts w:hint="eastAsia" w:ascii="Calibri" w:hAnsi="Calibri" w:eastAsia="等线" w:cs="Times New Roman"/>
          <w:kern w:val="0"/>
          <w:sz w:val="24"/>
          <w:szCs w:val="24"/>
          <w:lang w:val="en-US" w:eastAsia="zh-CN" w:bidi="ar"/>
        </w:rPr>
        <w:fldChar w:fldCharType="end"/>
      </w:r>
    </w:p>
    <w:p w14:paraId="7A16E205">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Davis, F. (1989) Perceived Usefulness, Perceived Ease of Use, and User Acceptance of Information Technology. MIS Quarterly, 13, 319-340. https://doi.org/10.2307/249008</w:t>
      </w:r>
    </w:p>
    <w:p w14:paraId="6832F9D0">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Gilster, P. (1997). Digital Literacy. Wiley.</w:t>
      </w:r>
    </w:p>
    <w:p w14:paraId="3D9E0F36">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eastAsia" w:ascii="Calibri" w:hAnsi="Calibri" w:eastAsia="等线" w:cs="Times New Roman"/>
          <w:kern w:val="0"/>
          <w:sz w:val="24"/>
          <w:szCs w:val="24"/>
          <w:lang w:val="en-US" w:eastAsia="zh-CN" w:bidi="ar"/>
        </w:rPr>
        <w:fldChar w:fldCharType="begin"/>
      </w:r>
      <w:r>
        <w:rPr>
          <w:rFonts w:hint="eastAsia" w:ascii="Calibri" w:hAnsi="Calibri" w:eastAsia="等线" w:cs="Times New Roman"/>
          <w:kern w:val="0"/>
          <w:sz w:val="24"/>
          <w:szCs w:val="24"/>
          <w:lang w:val="en-US" w:eastAsia="zh-CN" w:bidi="ar"/>
        </w:rPr>
        <w:instrText xml:space="preserve"> HYPERLINK "https://www.taylorfrancis.com/search?contributorName=Helen Beetham&amp;contributorRole=editor&amp;redirectFromPDP=true&amp;context=ubx" </w:instrText>
      </w:r>
      <w:r>
        <w:rPr>
          <w:rFonts w:hint="eastAsia" w:ascii="Calibri" w:hAnsi="Calibri" w:eastAsia="等线" w:cs="Times New Roman"/>
          <w:kern w:val="0"/>
          <w:sz w:val="24"/>
          <w:szCs w:val="24"/>
          <w:lang w:val="en-US" w:eastAsia="zh-CN" w:bidi="ar"/>
        </w:rPr>
        <w:fldChar w:fldCharType="separate"/>
      </w:r>
      <w:r>
        <w:rPr>
          <w:rStyle w:val="9"/>
          <w:rFonts w:hint="default" w:ascii="Times New Roman" w:hAnsi="Times New Roman" w:eastAsia="SimSun" w:cs="Times New Roman"/>
          <w:color w:val="222222"/>
          <w:u w:val="single"/>
          <w:shd w:val="clear" w:fill="FFFFFF"/>
          <w:lang w:val="en-US"/>
        </w:rPr>
        <w:t>Helen Beetham</w:t>
      </w:r>
      <w:r>
        <w:rPr>
          <w:rFonts w:hint="eastAsia" w:ascii="Calibri" w:hAnsi="Calibri" w:eastAsia="等线" w:cs="Times New Roman"/>
          <w:kern w:val="0"/>
          <w:sz w:val="24"/>
          <w:szCs w:val="24"/>
          <w:lang w:val="en-US" w:eastAsia="zh-CN" w:bidi="ar"/>
        </w:rPr>
        <w:fldChar w:fldCharType="end"/>
      </w:r>
      <w:r>
        <w:rPr>
          <w:rFonts w:hint="default" w:ascii="Times New Roman" w:hAnsi="Times New Roman" w:eastAsia="SimSun" w:cs="Times New Roman"/>
          <w:color w:val="222222"/>
          <w:kern w:val="0"/>
          <w:sz w:val="24"/>
          <w:szCs w:val="24"/>
          <w:shd w:val="clear" w:fill="FFFFFF"/>
          <w:lang w:val="en-US" w:eastAsia="zh-CN" w:bidi="ar"/>
        </w:rPr>
        <w:t xml:space="preserve">, </w:t>
      </w:r>
      <w:r>
        <w:rPr>
          <w:rFonts w:hint="eastAsia" w:ascii="Calibri" w:hAnsi="Calibri" w:eastAsia="等线" w:cs="Times New Roman"/>
          <w:kern w:val="0"/>
          <w:sz w:val="24"/>
          <w:szCs w:val="24"/>
          <w:lang w:val="en-US" w:eastAsia="zh-CN" w:bidi="ar"/>
        </w:rPr>
        <w:fldChar w:fldCharType="begin"/>
      </w:r>
      <w:r>
        <w:rPr>
          <w:rFonts w:hint="eastAsia" w:ascii="Calibri" w:hAnsi="Calibri" w:eastAsia="等线" w:cs="Times New Roman"/>
          <w:kern w:val="0"/>
          <w:sz w:val="24"/>
          <w:szCs w:val="24"/>
          <w:lang w:val="en-US" w:eastAsia="zh-CN" w:bidi="ar"/>
        </w:rPr>
        <w:instrText xml:space="preserve"> HYPERLINK "https://www.taylorfrancis.com/search?contributorName=Rhona Sharpe&amp;contributorRole=editor&amp;redirectFromPDP=true&amp;context=ubx" </w:instrText>
      </w:r>
      <w:r>
        <w:rPr>
          <w:rFonts w:hint="eastAsia" w:ascii="Calibri" w:hAnsi="Calibri" w:eastAsia="等线" w:cs="Times New Roman"/>
          <w:kern w:val="0"/>
          <w:sz w:val="24"/>
          <w:szCs w:val="24"/>
          <w:lang w:val="en-US" w:eastAsia="zh-CN" w:bidi="ar"/>
        </w:rPr>
        <w:fldChar w:fldCharType="separate"/>
      </w:r>
      <w:r>
        <w:rPr>
          <w:rStyle w:val="9"/>
          <w:rFonts w:hint="default" w:ascii="Times New Roman" w:hAnsi="Times New Roman" w:eastAsia="SimSun" w:cs="Times New Roman"/>
          <w:color w:val="222222"/>
          <w:u w:val="single"/>
          <w:shd w:val="clear" w:fill="FFFFFF"/>
          <w:lang w:val="en-US"/>
        </w:rPr>
        <w:t>Rhona Sharpe</w:t>
      </w:r>
      <w:r>
        <w:rPr>
          <w:rFonts w:hint="eastAsia" w:ascii="Calibri" w:hAnsi="Calibri" w:eastAsia="等线" w:cs="Times New Roman"/>
          <w:kern w:val="0"/>
          <w:sz w:val="24"/>
          <w:szCs w:val="24"/>
          <w:lang w:val="en-US" w:eastAsia="zh-CN" w:bidi="ar"/>
        </w:rPr>
        <w:fldChar w:fldCharType="end"/>
      </w:r>
      <w:r>
        <w:rPr>
          <w:rFonts w:hint="default" w:ascii="Times New Roman" w:hAnsi="Times New Roman" w:eastAsia="SimSun" w:cs="Times New Roman"/>
          <w:color w:val="222222"/>
          <w:kern w:val="0"/>
          <w:sz w:val="24"/>
          <w:szCs w:val="24"/>
          <w:shd w:val="clear" w:fill="FFFFFF"/>
          <w:lang w:val="en-US" w:eastAsia="zh-CN" w:bidi="ar"/>
        </w:rPr>
        <w:t>, (2019) Rethinking Pedagogy for a Digital Age Principles and Practices of Design.</w:t>
      </w:r>
    </w:p>
    <w:p w14:paraId="28AA590E">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 xml:space="preserve">J Vanek, K Harris, A Belzer - ProLiteracy, June, 2020 </w:t>
      </w:r>
      <w:r>
        <w:rPr>
          <w:rFonts w:hint="eastAsia" w:ascii="Calibri" w:hAnsi="Calibri" w:eastAsia="等线" w:cs="Times New Roman"/>
          <w:kern w:val="0"/>
          <w:sz w:val="24"/>
          <w:szCs w:val="24"/>
          <w:lang w:val="en-US" w:eastAsia="zh-CN" w:bidi="ar"/>
        </w:rPr>
        <w:fldChar w:fldCharType="begin"/>
      </w:r>
      <w:r>
        <w:rPr>
          <w:rFonts w:hint="eastAsia" w:ascii="Calibri" w:hAnsi="Calibri" w:eastAsia="等线" w:cs="Times New Roman"/>
          <w:kern w:val="0"/>
          <w:sz w:val="24"/>
          <w:szCs w:val="24"/>
          <w:lang w:val="en-US" w:eastAsia="zh-CN" w:bidi="ar"/>
        </w:rPr>
        <w:instrText xml:space="preserve"> HYPERLINK "https://scholar.google.com/scholar?oi=bibs&amp;cluster=5116451462586869918&amp;btnI=1&amp;hl=en" </w:instrText>
      </w:r>
      <w:r>
        <w:rPr>
          <w:rFonts w:hint="eastAsia" w:ascii="Calibri" w:hAnsi="Calibri" w:eastAsia="等线" w:cs="Times New Roman"/>
          <w:kern w:val="0"/>
          <w:sz w:val="24"/>
          <w:szCs w:val="24"/>
          <w:lang w:val="en-US" w:eastAsia="zh-CN" w:bidi="ar"/>
        </w:rPr>
        <w:fldChar w:fldCharType="separate"/>
      </w:r>
      <w:r>
        <w:rPr>
          <w:rStyle w:val="9"/>
          <w:rFonts w:hint="default" w:ascii="Times New Roman" w:hAnsi="Times New Roman" w:eastAsia="SimSun" w:cs="Times New Roman"/>
          <w:color w:val="222222"/>
          <w:u w:val="single"/>
          <w:shd w:val="clear" w:fill="FFFFFF"/>
          <w:lang w:val="en-US"/>
        </w:rPr>
        <w:t>Digital literacy and technology integration in adult basic skills education: A review of the research</w:t>
      </w:r>
      <w:r>
        <w:rPr>
          <w:rFonts w:hint="eastAsia" w:ascii="Calibri" w:hAnsi="Calibri" w:eastAsia="等线" w:cs="Times New Roman"/>
          <w:kern w:val="0"/>
          <w:sz w:val="24"/>
          <w:szCs w:val="24"/>
          <w:lang w:val="en-US" w:eastAsia="zh-CN" w:bidi="ar"/>
        </w:rPr>
        <w:fldChar w:fldCharType="end"/>
      </w:r>
      <w:r>
        <w:rPr>
          <w:rFonts w:hint="default" w:ascii="Times New Roman" w:hAnsi="Times New Roman" w:eastAsia="SimSun" w:cs="Times New Roman"/>
          <w:color w:val="222222"/>
          <w:kern w:val="0"/>
          <w:sz w:val="24"/>
          <w:szCs w:val="24"/>
          <w:shd w:val="clear" w:fill="FFFFFF"/>
          <w:lang w:val="en-US" w:eastAsia="zh-CN" w:bidi="ar"/>
        </w:rPr>
        <w:t>.</w:t>
      </w:r>
    </w:p>
    <w:p w14:paraId="5E8014C0">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 xml:space="preserve">Jacobs, Gloria &amp; Castek, Jill. (2018). Digital Problem Solving: The Literacies of Navigating Life in the Digital Age. Journal of Adolescent &amp; Adult Literacy. 61. 681-685. 10.1002/jaal.745. </w:t>
      </w:r>
    </w:p>
    <w:p w14:paraId="5AA0556E">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Katuli-Munyoro, P., &amp; Mutula, S. M. (2017). Redefining Library and Information Science education and training in Zimbabwe to close the workforce skills gaps. Journal of Librarianship and Information Science, 51(4), 915–927.</w:t>
      </w:r>
    </w:p>
    <w:p w14:paraId="37F36928">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Knowles, M. S. (1980). The Modern Practice of Adult Education: From Pedagogy to Andragogy. Englewood Cliffs: Prentice Hall/Cambridge.</w:t>
      </w:r>
    </w:p>
    <w:p w14:paraId="0AE2992B">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 xml:space="preserve"> Museum and Library Services Act of 2010, An act to amend and extend the Museum and Library Services Act, and for other purposes.</w:t>
      </w:r>
    </w:p>
    <w:p w14:paraId="2FE0D12A">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Okiki, O. (2012) Electronic Information Resources Awareness, Attitude and Use by Academic Staff Members of University of Lagos, Nigeria. Library Philosophy and Practice.</w:t>
      </w:r>
      <w:r>
        <w:rPr>
          <w:rFonts w:hint="default" w:ascii="Times New Roman" w:hAnsi="Times New Roman" w:eastAsia="SimSun" w:cs="Times New Roman"/>
          <w:color w:val="222222"/>
          <w:kern w:val="0"/>
          <w:sz w:val="24"/>
          <w:szCs w:val="24"/>
          <w:shd w:val="clear" w:fill="FFFFFF"/>
          <w:lang w:val="en-US" w:eastAsia="zh-CN" w:bidi="ar"/>
        </w:rPr>
        <w:br w:type="textWrapping"/>
      </w:r>
      <w:r>
        <w:rPr>
          <w:rFonts w:hint="default" w:ascii="Times New Roman" w:hAnsi="Times New Roman" w:eastAsia="SimSun" w:cs="Times New Roman"/>
          <w:kern w:val="0"/>
          <w:sz w:val="24"/>
          <w:szCs w:val="24"/>
          <w:shd w:val="clear" w:fill="FFFFFF"/>
          <w:lang w:val="en-US" w:eastAsia="zh-CN" w:bidi="ar"/>
        </w:rPr>
        <w:fldChar w:fldCharType="begin"/>
      </w:r>
      <w:r>
        <w:rPr>
          <w:rFonts w:hint="default" w:ascii="Times New Roman" w:hAnsi="Times New Roman" w:eastAsia="SimSun" w:cs="Times New Roman"/>
          <w:kern w:val="0"/>
          <w:sz w:val="24"/>
          <w:szCs w:val="24"/>
          <w:shd w:val="clear" w:fill="FFFFFF"/>
          <w:lang w:val="en-US" w:eastAsia="zh-CN" w:bidi="ar"/>
        </w:rPr>
        <w:instrText xml:space="preserve"> HYPERLINK "http://digitalcommons.unl.edu/cgi/viewcontent.cgi?article=2110&amp;context=libphilprac" </w:instrText>
      </w:r>
      <w:r>
        <w:rPr>
          <w:rFonts w:hint="default" w:ascii="Times New Roman" w:hAnsi="Times New Roman" w:eastAsia="SimSun" w:cs="Times New Roman"/>
          <w:kern w:val="0"/>
          <w:sz w:val="24"/>
          <w:szCs w:val="24"/>
          <w:shd w:val="clear" w:fill="FFFFFF"/>
          <w:lang w:val="en-US" w:eastAsia="zh-CN" w:bidi="ar"/>
        </w:rPr>
        <w:fldChar w:fldCharType="separate"/>
      </w:r>
      <w:r>
        <w:rPr>
          <w:rStyle w:val="9"/>
          <w:rFonts w:hint="default" w:ascii="Times New Roman" w:hAnsi="Times New Roman" w:eastAsia="SimSun" w:cs="Times New Roman"/>
          <w:u w:val="single"/>
          <w:shd w:val="clear" w:fill="FFFFFF"/>
          <w:lang w:val="en-US"/>
        </w:rPr>
        <w:t>http://digitalcommons.unl.edu/cgi/viewcontent.cgi?article=2110&amp;context=libphilprac</w:t>
      </w:r>
      <w:r>
        <w:rPr>
          <w:rFonts w:hint="default" w:ascii="Times New Roman" w:hAnsi="Times New Roman" w:eastAsia="SimSun" w:cs="Times New Roman"/>
          <w:kern w:val="0"/>
          <w:sz w:val="24"/>
          <w:szCs w:val="24"/>
          <w:shd w:val="clear" w:fill="FFFFFF"/>
          <w:lang w:val="en-US" w:eastAsia="zh-CN" w:bidi="ar"/>
        </w:rPr>
        <w:fldChar w:fldCharType="end"/>
      </w:r>
    </w:p>
    <w:p w14:paraId="052840E9">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 xml:space="preserve">Reichert, Frank &amp; Pan, Qianqian &amp; Chen, Laure Lu. (2023). Digital Literacy Assessment (paper commissioned for UNESCO's 2023 Global Education Monitoring Report, Technology in education). </w:t>
      </w:r>
    </w:p>
    <w:p w14:paraId="32CA4070">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Siemens, G. (2005). Connectivism: A learning theory for the digital age. International Journal of Instructional Technology &amp; Distance Learning, 2, 3-10.</w:t>
      </w:r>
    </w:p>
    <w:p w14:paraId="7CA5E314">
      <w:pPr>
        <w:keepNext w:val="0"/>
        <w:keepLines w:val="0"/>
        <w:widowControl/>
        <w:suppressLineNumbers w:val="0"/>
        <w:spacing w:before="0" w:beforeAutospacing="0" w:after="0" w:afterAutospacing="0" w:line="360" w:lineRule="auto"/>
        <w:ind w:left="990" w:right="0" w:hanging="990"/>
        <w:jc w:val="both"/>
        <w:rPr>
          <w:rFonts w:hint="default" w:ascii="Times New Roman" w:hAnsi="Times New Roman" w:eastAsia="SimSun" w:cs="Times New Roman"/>
          <w:color w:val="222222"/>
          <w:shd w:val="clear" w:fill="FFFFFF"/>
          <w:lang w:val="en-US"/>
        </w:rPr>
      </w:pPr>
      <w:r>
        <w:rPr>
          <w:rFonts w:hint="default" w:ascii="Times New Roman" w:hAnsi="Times New Roman" w:eastAsia="SimSun" w:cs="Times New Roman"/>
          <w:color w:val="222222"/>
          <w:kern w:val="0"/>
          <w:sz w:val="24"/>
          <w:szCs w:val="24"/>
          <w:shd w:val="clear" w:fill="FFFFFF"/>
          <w:lang w:val="en-US" w:eastAsia="zh-CN" w:bidi="ar"/>
        </w:rPr>
        <w:t>Wonka, A. (2015). The European Commission. In European Union (pp. 83-106). Routledge.</w:t>
      </w:r>
    </w:p>
    <w:p w14:paraId="423439D6">
      <w:pPr>
        <w:spacing w:line="360" w:lineRule="auto"/>
        <w:jc w:val="both"/>
        <w:rPr>
          <w:rFonts w:hint="default" w:ascii="Times New Roman" w:hAnsi="Times New Roman" w:eastAsia="SimSun"/>
          <w:b w:val="0"/>
          <w:bCs w:val="0"/>
          <w:i w:val="0"/>
          <w:iCs w:val="0"/>
          <w:caps w:val="0"/>
          <w:color w:val="222222"/>
          <w:spacing w:val="0"/>
          <w:sz w:val="24"/>
          <w:szCs w:val="24"/>
          <w:shd w:val="clear" w:fill="FFFFFF"/>
          <w:lang w:val="en-US" w:eastAsia="zh-CN"/>
        </w:rPr>
      </w:pPr>
    </w:p>
    <w:p w14:paraId="530616A8">
      <w:pPr>
        <w:spacing w:line="360" w:lineRule="auto"/>
        <w:jc w:val="both"/>
        <w:rPr>
          <w:rFonts w:hint="default" w:ascii="Times New Roman" w:hAnsi="Times New Roman" w:eastAsia="SimSun"/>
          <w:b w:val="0"/>
          <w:bCs w:val="0"/>
          <w:i w:val="0"/>
          <w:iCs w:val="0"/>
          <w:caps w:val="0"/>
          <w:color w:val="222222"/>
          <w:spacing w:val="0"/>
          <w:sz w:val="24"/>
          <w:szCs w:val="24"/>
          <w:shd w:val="clear" w:fill="FFFFFF"/>
          <w:lang w:val="en-US" w:eastAsia="zh-CN"/>
        </w:rPr>
      </w:pPr>
    </w:p>
    <w:p w14:paraId="6A7F959E">
      <w:pPr>
        <w:spacing w:line="360" w:lineRule="auto"/>
        <w:jc w:val="both"/>
        <w:rPr>
          <w:rFonts w:hint="default" w:ascii="Times New Roman" w:hAnsi="Times New Roman" w:eastAsia="SimSun"/>
          <w:b w:val="0"/>
          <w:bCs w:val="0"/>
          <w:i w:val="0"/>
          <w:iCs w:val="0"/>
          <w:caps w:val="0"/>
          <w:color w:val="222222"/>
          <w:spacing w:val="0"/>
          <w:sz w:val="24"/>
          <w:szCs w:val="24"/>
          <w:shd w:val="clear" w:fill="FFFFFF"/>
          <w:lang w:val="en-US"/>
        </w:rPr>
      </w:pPr>
    </w:p>
    <w:p w14:paraId="72B63EA4">
      <w:pPr>
        <w:spacing w:line="360" w:lineRule="auto"/>
        <w:jc w:val="both"/>
        <w:rPr>
          <w:rFonts w:hint="default" w:ascii="Times New Roman" w:hAnsi="Times New Roman" w:eastAsia="SimSun" w:cs="Times New Roman"/>
          <w:i w:val="0"/>
          <w:iCs w:val="0"/>
          <w:caps w:val="0"/>
          <w:color w:val="222222"/>
          <w:spacing w:val="0"/>
          <w:sz w:val="24"/>
          <w:szCs w:val="24"/>
          <w:shd w:val="clear" w:fill="FFFFFF"/>
          <w:lang w:val="en-US"/>
        </w:rPr>
      </w:pPr>
    </w:p>
    <w:sectPr>
      <w:footerReference r:id="rId3" w:type="default"/>
      <w:pgSz w:w="11906" w:h="16838"/>
      <w:pgMar w:top="1296" w:right="1368" w:bottom="1296" w:left="136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Arial-Italic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imSun">
    <w:panose1 w:val="02010600030101010101"/>
    <w:charset w:val="86"/>
    <w:family w:val="auto"/>
    <w:pitch w:val="variable"/>
    <w:sig w:usb0="00000203" w:usb1="288F0000" w:usb2="00000006" w:usb3="00000000" w:csb0="00040001"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F897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B906E2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7B906E2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AC594F"/>
    <w:rsid w:val="5473466C"/>
    <w:rsid w:val="58E15A43"/>
    <w:rsid w:val="72AC5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iPriority w:val="0"/>
  </w:style>
  <w:style w:type="table" w:default="1" w:styleId="5">
    <w:name w:val="Normal Table"/>
    <w:semiHidden/>
    <w:qFormat/>
    <w:uiPriority w:val="0"/>
    <w:pPr>
      <w:keepNext w:val="0"/>
      <w:keepLines w:val="0"/>
      <w:widowControl/>
      <w:suppressLineNumbers w:val="0"/>
      <w:spacing w:before="0" w:beforeAutospacing="0" w:after="200" w:afterAutospacing="0" w:line="276" w:lineRule="auto"/>
      <w:ind w:left="0" w:right="0"/>
    </w:pPr>
    <w:rPr>
      <w:rFonts w:hint="eastAsia" w:ascii="Calibri" w:hAnsi="Calibri" w:cs="Times New Roman"/>
      <w:sz w:val="22"/>
      <w:szCs w:val="22"/>
    </w:rPr>
    <w:tblPr>
      <w:tblCellMar>
        <w:top w:w="0" w:type="dxa"/>
        <w:left w:w="108" w:type="dxa"/>
        <w:bottom w:w="0" w:type="dxa"/>
        <w:right w:w="108" w:type="dxa"/>
      </w:tblCellMar>
    </w:tblPr>
  </w:style>
  <w:style w:type="character" w:styleId="6">
    <w:name w:val="FollowedHyperlink"/>
    <w:uiPriority w:val="0"/>
    <w:rPr>
      <w:color w:val="800080"/>
      <w:u w:val="single"/>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tabs>
        <w:tab w:val="center" w:pos="4153"/>
        <w:tab w:val="right" w:pos="8306"/>
      </w:tabs>
      <w:snapToGrid w:val="0"/>
    </w:pPr>
    <w:rPr>
      <w:sz w:val="18"/>
      <w:szCs w:val="18"/>
    </w:rPr>
  </w:style>
  <w:style w:type="character" w:styleId="9">
    <w:name w:val="Hyperlink"/>
    <w:basedOn w:val="4"/>
    <w:uiPriority w:val="0"/>
    <w:rPr>
      <w:color w:val="0000FF"/>
      <w:u w:val="single"/>
    </w:rPr>
  </w:style>
  <w:style w:type="paragraph" w:styleId="10">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customStyle="1" w:styleId="11">
    <w:name w:val="15"/>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27</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2025-09-11T10:36:00Z</dcterms:created>
  <dc:creator>SAMAILA ADAMU DANGANI</dc:creator>
  <cp:lastModifiedBy>SAMAILA ADAMU DANGANI</cp:lastModifiedBy>
  <dcterms:modified xsi:type="dcterms:W3CDTF">2025-12-11T14:37:36Z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61944D63CD4D436DBD112EE9EEDEF60F_13</vt:lpwstr>
  </property>
</Properties>
</file>