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E8475">
      <w:pPr>
        <w:spacing w:after="0" w:line="360" w:lineRule="auto"/>
        <w:jc w:val="center"/>
        <w:rPr>
          <w:rFonts w:hint="default" w:ascii="Times New Roman" w:hAnsi="Times New Roman" w:cs="Times New Roman"/>
          <w:b/>
          <w:bCs/>
          <w:sz w:val="24"/>
          <w:szCs w:val="24"/>
        </w:rPr>
      </w:pPr>
      <w:r>
        <w:rPr>
          <w:rStyle w:val="13"/>
          <w:rFonts w:hint="default" w:ascii="Times New Roman" w:hAnsi="Times New Roman" w:cs="Times New Roman"/>
          <w:b/>
          <w:bCs/>
          <w:i w:val="0"/>
          <w:sz w:val="24"/>
          <w:szCs w:val="24"/>
        </w:rPr>
        <w:t>HUMAN–AI COLLABORATION IN RESEARCH ASSISTANCE SERVICES IN ACADEMIC LIBRARIES IN CROSS RIVER STATE, NIGERIA</w:t>
      </w:r>
    </w:p>
    <w:p w14:paraId="15464660">
      <w:pPr>
        <w:numPr>
          <w:ilvl w:val="0"/>
          <w:numId w:val="0"/>
        </w:numPr>
        <w:spacing w:after="0" w:line="360" w:lineRule="auto"/>
        <w:jc w:val="center"/>
        <w:rPr>
          <w:rStyle w:val="18"/>
          <w:rFonts w:hint="default" w:ascii="Times New Roman" w:hAnsi="Times New Roman" w:cs="Times New Roman"/>
        </w:rPr>
      </w:pPr>
    </w:p>
    <w:p w14:paraId="35E19767">
      <w:pPr>
        <w:numPr>
          <w:ilvl w:val="0"/>
          <w:numId w:val="0"/>
        </w:numPr>
        <w:spacing w:after="0" w:line="360" w:lineRule="auto"/>
        <w:jc w:val="center"/>
        <w:rPr>
          <w:rStyle w:val="18"/>
          <w:rFonts w:hint="default" w:ascii="Times New Roman" w:hAnsi="Times New Roman" w:cs="Times New Roman"/>
        </w:rPr>
      </w:pPr>
    </w:p>
    <w:p w14:paraId="7017A907">
      <w:pPr>
        <w:spacing w:line="360" w:lineRule="auto"/>
        <w:jc w:val="center"/>
        <w:rPr>
          <w:rFonts w:hint="default" w:ascii="Times New Roman" w:hAnsi="Times New Roman" w:cs="Times New Roman"/>
          <w:b/>
          <w:bCs/>
          <w:sz w:val="24"/>
          <w:szCs w:val="24"/>
          <w:lang w:val="en-GB"/>
        </w:rPr>
      </w:pPr>
      <w:r>
        <w:rPr>
          <w:rFonts w:hint="default" w:ascii="Times New Roman" w:hAnsi="Times New Roman" w:cs="Times New Roman"/>
          <w:b/>
          <w:bCs/>
          <w:sz w:val="24"/>
          <w:szCs w:val="24"/>
          <w:lang w:val="en-GB"/>
        </w:rPr>
        <w:t>BY</w:t>
      </w:r>
    </w:p>
    <w:p w14:paraId="38D8B859">
      <w:pPr>
        <w:spacing w:line="360" w:lineRule="auto"/>
        <w:jc w:val="center"/>
        <w:rPr>
          <w:rFonts w:hint="default" w:ascii="Times New Roman" w:hAnsi="Times New Roman" w:cs="Times New Roman"/>
          <w:b/>
          <w:bCs/>
          <w:sz w:val="24"/>
          <w:szCs w:val="24"/>
          <w:lang w:val="en-GB"/>
        </w:rPr>
      </w:pPr>
    </w:p>
    <w:p w14:paraId="14CF3072">
      <w:pPr>
        <w:spacing w:after="0" w:line="360" w:lineRule="auto"/>
        <w:jc w:val="center"/>
        <w:rPr>
          <w:rFonts w:hint="default" w:ascii="Times New Roman" w:hAnsi="Times New Roman" w:eastAsia="Times New Roman" w:cs="Times New Roman"/>
          <w:b/>
          <w:bCs/>
          <w:sz w:val="24"/>
          <w:szCs w:val="24"/>
          <w:vertAlign w:val="superscript"/>
          <w:lang w:val="en-GB"/>
        </w:rPr>
      </w:pPr>
      <w:r>
        <w:rPr>
          <w:rFonts w:hint="default" w:ascii="Times New Roman" w:hAnsi="Times New Roman" w:eastAsia="Times New Roman" w:cs="Times New Roman"/>
          <w:b/>
          <w:bCs/>
          <w:sz w:val="24"/>
          <w:szCs w:val="24"/>
        </w:rPr>
        <w:t>DR MARCUS</w:t>
      </w:r>
      <w:r>
        <w:rPr>
          <w:rFonts w:hint="default" w:ascii="Times New Roman" w:hAnsi="Times New Roman" w:eastAsia="Times New Roman" w:cs="Times New Roman"/>
          <w:b/>
          <w:bCs/>
          <w:sz w:val="24"/>
          <w:szCs w:val="24"/>
          <w:lang w:val="en-GB"/>
        </w:rPr>
        <w:t>,</w:t>
      </w:r>
      <w:r>
        <w:rPr>
          <w:rFonts w:hint="default" w:ascii="Times New Roman" w:hAnsi="Times New Roman" w:eastAsia="Times New Roman" w:cs="Times New Roman"/>
          <w:b/>
          <w:bCs/>
          <w:sz w:val="24"/>
          <w:szCs w:val="24"/>
        </w:rPr>
        <w:t xml:space="preserve"> OGBUJI</w:t>
      </w:r>
      <w:r>
        <w:rPr>
          <w:rFonts w:hint="default" w:ascii="Times New Roman" w:hAnsi="Times New Roman" w:eastAsia="Times New Roman" w:cs="Times New Roman"/>
          <w:b/>
          <w:bCs/>
          <w:sz w:val="24"/>
          <w:szCs w:val="24"/>
          <w:lang w:val="en-GB"/>
        </w:rPr>
        <w:t xml:space="preserve"> OGBUJI </w:t>
      </w:r>
      <w:r>
        <w:rPr>
          <w:rFonts w:hint="default" w:ascii="Times New Roman" w:hAnsi="Times New Roman" w:eastAsia="Times New Roman" w:cs="Times New Roman"/>
          <w:b/>
          <w:bCs/>
          <w:sz w:val="24"/>
          <w:szCs w:val="24"/>
          <w:vertAlign w:val="superscript"/>
          <w:lang w:val="en-GB"/>
        </w:rPr>
        <w:t>1</w:t>
      </w:r>
    </w:p>
    <w:p w14:paraId="6B824BFF">
      <w:pPr>
        <w:spacing w:after="0" w:line="360" w:lineRule="auto"/>
        <w:jc w:val="center"/>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DEPARTMENT OF LIBRARY SCIENCE</w:t>
      </w:r>
    </w:p>
    <w:p w14:paraId="00AA5387">
      <w:pPr>
        <w:spacing w:after="0" w:line="360" w:lineRule="auto"/>
        <w:jc w:val="center"/>
        <w:rPr>
          <w:rFonts w:hint="default" w:ascii="Times New Roman" w:hAnsi="Times New Roman" w:eastAsia="Times New Roman" w:cs="Times New Roman"/>
          <w:b/>
          <w:bCs/>
          <w:sz w:val="24"/>
          <w:szCs w:val="24"/>
          <w:lang w:val="en-GB"/>
        </w:rPr>
      </w:pPr>
      <w:r>
        <w:rPr>
          <w:rFonts w:hint="default" w:ascii="Times New Roman" w:hAnsi="Times New Roman" w:eastAsia="Times New Roman" w:cs="Times New Roman"/>
          <w:b/>
          <w:bCs/>
          <w:sz w:val="24"/>
          <w:szCs w:val="24"/>
        </w:rPr>
        <w:t>UNIVERSITY OF CALABAR</w:t>
      </w:r>
      <w:r>
        <w:rPr>
          <w:rFonts w:hint="default" w:ascii="Times New Roman" w:hAnsi="Times New Roman" w:eastAsia="Times New Roman" w:cs="Times New Roman"/>
          <w:b/>
          <w:bCs/>
          <w:sz w:val="24"/>
          <w:szCs w:val="24"/>
          <w:lang w:val="en-GB"/>
        </w:rPr>
        <w:t>,</w:t>
      </w:r>
    </w:p>
    <w:p w14:paraId="21530616">
      <w:pPr>
        <w:spacing w:after="0" w:line="360" w:lineRule="auto"/>
        <w:jc w:val="center"/>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CALABAR</w:t>
      </w:r>
    </w:p>
    <w:p w14:paraId="091D3BA2">
      <w:pPr>
        <w:spacing w:after="0" w:line="360" w:lineRule="auto"/>
        <w:jc w:val="center"/>
        <w:rPr>
          <w:rFonts w:hint="default" w:ascii="Times New Roman" w:hAnsi="Times New Roman" w:eastAsia="Times New Roman" w:cs="Times New Roman"/>
          <w:b/>
          <w:bCs/>
          <w:sz w:val="24"/>
          <w:szCs w:val="24"/>
          <w:lang w:val="en-GB"/>
        </w:rPr>
      </w:pPr>
      <w:r>
        <w:rPr>
          <w:rFonts w:hint="default" w:ascii="Times New Roman" w:hAnsi="Times New Roman" w:eastAsia="Times New Roman" w:cs="Times New Roman"/>
          <w:b/>
          <w:bCs/>
          <w:sz w:val="24"/>
          <w:szCs w:val="24"/>
          <w:lang w:val="en-GB"/>
        </w:rPr>
        <w:t xml:space="preserve">Email: </w:t>
      </w:r>
      <w:r>
        <w:rPr>
          <w:rFonts w:hint="default" w:ascii="Times New Roman" w:hAnsi="Times New Roman" w:eastAsia="Times New Roman" w:cs="Times New Roman"/>
          <w:b/>
          <w:bCs/>
          <w:sz w:val="24"/>
          <w:szCs w:val="24"/>
          <w:lang w:val="en-GB"/>
        </w:rPr>
        <w:fldChar w:fldCharType="begin"/>
      </w:r>
      <w:r>
        <w:rPr>
          <w:rFonts w:hint="default" w:ascii="Times New Roman" w:hAnsi="Times New Roman" w:eastAsia="Times New Roman" w:cs="Times New Roman"/>
          <w:b/>
          <w:bCs/>
          <w:sz w:val="24"/>
          <w:szCs w:val="24"/>
          <w:lang w:val="en-GB"/>
        </w:rPr>
        <w:instrText xml:space="preserve"> HYPERLINK "mailto:marcusogbuji@unical.edu.ng" </w:instrText>
      </w:r>
      <w:r>
        <w:rPr>
          <w:rFonts w:hint="default" w:ascii="Times New Roman" w:hAnsi="Times New Roman" w:eastAsia="Times New Roman" w:cs="Times New Roman"/>
          <w:b/>
          <w:bCs/>
          <w:sz w:val="24"/>
          <w:szCs w:val="24"/>
          <w:lang w:val="en-GB"/>
        </w:rPr>
        <w:fldChar w:fldCharType="separate"/>
      </w:r>
      <w:r>
        <w:rPr>
          <w:rStyle w:val="16"/>
          <w:rFonts w:hint="default" w:ascii="Times New Roman" w:hAnsi="Times New Roman" w:eastAsia="Times New Roman" w:cs="Times New Roman"/>
          <w:b/>
          <w:bCs/>
          <w:sz w:val="24"/>
          <w:szCs w:val="24"/>
          <w:lang w:val="en-GB"/>
        </w:rPr>
        <w:t>marcusogbuji@unical.edu.ng</w:t>
      </w:r>
      <w:r>
        <w:rPr>
          <w:rFonts w:hint="default" w:ascii="Times New Roman" w:hAnsi="Times New Roman" w:eastAsia="Times New Roman" w:cs="Times New Roman"/>
          <w:b/>
          <w:bCs/>
          <w:sz w:val="24"/>
          <w:szCs w:val="24"/>
          <w:lang w:val="en-GB"/>
        </w:rPr>
        <w:fldChar w:fldCharType="end"/>
      </w:r>
      <w:r>
        <w:rPr>
          <w:rFonts w:hint="default" w:ascii="Times New Roman" w:hAnsi="Times New Roman" w:eastAsia="Times New Roman" w:cs="Times New Roman"/>
          <w:b/>
          <w:bCs/>
          <w:sz w:val="24"/>
          <w:szCs w:val="24"/>
          <w:lang w:val="en-GB"/>
        </w:rPr>
        <w:t xml:space="preserve"> </w:t>
      </w:r>
    </w:p>
    <w:p w14:paraId="41857953">
      <w:pPr>
        <w:spacing w:after="0" w:line="360" w:lineRule="auto"/>
        <w:jc w:val="center"/>
        <w:rPr>
          <w:rFonts w:hint="default" w:ascii="Times New Roman" w:hAnsi="Times New Roman" w:eastAsia="Times New Roman" w:cs="Times New Roman"/>
          <w:b/>
          <w:bCs/>
          <w:sz w:val="24"/>
          <w:szCs w:val="24"/>
          <w:lang w:val="en-GB"/>
        </w:rPr>
      </w:pPr>
      <w:r>
        <w:rPr>
          <w:rFonts w:hint="default" w:ascii="Times New Roman" w:hAnsi="Times New Roman" w:eastAsia="Times New Roman" w:cs="Times New Roman"/>
          <w:b/>
          <w:bCs/>
          <w:sz w:val="24"/>
          <w:szCs w:val="24"/>
          <w:lang w:val="en-GB"/>
        </w:rPr>
        <w:t>+2348035882340</w:t>
      </w:r>
    </w:p>
    <w:p w14:paraId="77BC9371">
      <w:pPr>
        <w:spacing w:after="0" w:line="360" w:lineRule="auto"/>
        <w:jc w:val="center"/>
        <w:rPr>
          <w:rFonts w:hint="default" w:ascii="Times New Roman" w:hAnsi="Times New Roman" w:eastAsia="Times New Roman" w:cs="Times New Roman"/>
          <w:b/>
          <w:bCs/>
          <w:sz w:val="24"/>
          <w:szCs w:val="24"/>
        </w:rPr>
      </w:pPr>
    </w:p>
    <w:p w14:paraId="53CC0C96">
      <w:pPr>
        <w:spacing w:after="0" w:line="360" w:lineRule="auto"/>
        <w:jc w:val="center"/>
        <w:rPr>
          <w:rFonts w:hint="default" w:ascii="Times New Roman" w:hAnsi="Times New Roman" w:eastAsia="Times New Roman" w:cs="Times New Roman"/>
          <w:b/>
          <w:bCs/>
          <w:sz w:val="24"/>
          <w:szCs w:val="24"/>
        </w:rPr>
      </w:pPr>
    </w:p>
    <w:p w14:paraId="18715D99">
      <w:pPr>
        <w:spacing w:after="0" w:line="360" w:lineRule="auto"/>
        <w:jc w:val="center"/>
        <w:rPr>
          <w:rFonts w:hint="default" w:ascii="Times New Roman" w:hAnsi="Times New Roman" w:eastAsia="Times New Roman" w:cs="Times New Roman"/>
          <w:b/>
          <w:bCs/>
          <w:sz w:val="24"/>
          <w:szCs w:val="24"/>
          <w:lang w:val="en-GB"/>
        </w:rPr>
      </w:pPr>
      <w:r>
        <w:rPr>
          <w:rFonts w:hint="default" w:ascii="Times New Roman" w:hAnsi="Times New Roman" w:eastAsia="Times New Roman" w:cs="Times New Roman"/>
          <w:b/>
          <w:bCs/>
          <w:sz w:val="24"/>
          <w:szCs w:val="24"/>
          <w:lang w:val="en-GB"/>
        </w:rPr>
        <w:t xml:space="preserve">DR. OTTONG, UBONG JOSEPH </w:t>
      </w:r>
      <w:r>
        <w:rPr>
          <w:rFonts w:hint="default" w:ascii="Times New Roman" w:hAnsi="Times New Roman" w:eastAsia="Times New Roman" w:cs="Times New Roman"/>
          <w:b/>
          <w:bCs/>
          <w:sz w:val="24"/>
          <w:szCs w:val="24"/>
          <w:vertAlign w:val="superscript"/>
          <w:lang w:val="en-GB"/>
        </w:rPr>
        <w:t>2</w:t>
      </w:r>
    </w:p>
    <w:p w14:paraId="502080AF">
      <w:pPr>
        <w:spacing w:after="0" w:line="360" w:lineRule="auto"/>
        <w:jc w:val="center"/>
        <w:rPr>
          <w:rFonts w:hint="default" w:ascii="Times New Roman" w:hAnsi="Times New Roman" w:eastAsia="Times New Roman" w:cs="Times New Roman"/>
          <w:b/>
          <w:bCs/>
          <w:sz w:val="24"/>
          <w:szCs w:val="24"/>
          <w:lang w:val="en-GB"/>
        </w:rPr>
      </w:pPr>
      <w:r>
        <w:rPr>
          <w:rFonts w:hint="default" w:ascii="Times New Roman" w:hAnsi="Times New Roman" w:eastAsia="Times New Roman" w:cs="Times New Roman"/>
          <w:b/>
          <w:bCs/>
          <w:sz w:val="24"/>
          <w:szCs w:val="24"/>
          <w:lang w:val="en-GB"/>
        </w:rPr>
        <w:t>UNIVERSITY OF CALABAR, LIBRARY,</w:t>
      </w:r>
    </w:p>
    <w:p w14:paraId="09F5AC11">
      <w:pPr>
        <w:spacing w:after="0" w:line="360" w:lineRule="auto"/>
        <w:jc w:val="center"/>
        <w:rPr>
          <w:rFonts w:hint="default" w:ascii="Times New Roman" w:hAnsi="Times New Roman" w:eastAsia="Times New Roman" w:cs="Times New Roman"/>
          <w:b/>
          <w:bCs/>
          <w:sz w:val="24"/>
          <w:szCs w:val="24"/>
          <w:lang w:val="en-GB"/>
        </w:rPr>
      </w:pPr>
      <w:r>
        <w:rPr>
          <w:rFonts w:hint="default" w:ascii="Times New Roman" w:hAnsi="Times New Roman" w:eastAsia="Times New Roman" w:cs="Times New Roman"/>
          <w:b/>
          <w:bCs/>
          <w:sz w:val="24"/>
          <w:szCs w:val="24"/>
          <w:lang w:val="en-GB"/>
        </w:rPr>
        <w:t>CALABAR</w:t>
      </w:r>
    </w:p>
    <w:p w14:paraId="30D6D0A2">
      <w:pPr>
        <w:spacing w:after="0" w:line="360" w:lineRule="auto"/>
        <w:jc w:val="center"/>
        <w:rPr>
          <w:rFonts w:hint="default" w:ascii="Times New Roman" w:hAnsi="Times New Roman" w:eastAsia="Times New Roman" w:cs="Times New Roman"/>
          <w:b/>
          <w:bCs/>
          <w:sz w:val="24"/>
          <w:szCs w:val="24"/>
          <w:lang w:val="en-GB"/>
        </w:rPr>
      </w:pPr>
      <w:r>
        <w:rPr>
          <w:rFonts w:hint="default" w:ascii="Times New Roman" w:hAnsi="Times New Roman" w:eastAsia="Times New Roman" w:cs="Times New Roman"/>
          <w:b/>
          <w:bCs/>
          <w:sz w:val="24"/>
          <w:szCs w:val="24"/>
          <w:lang w:val="en-GB"/>
        </w:rPr>
        <w:t xml:space="preserve">Email: </w:t>
      </w:r>
      <w:r>
        <w:rPr>
          <w:rFonts w:hint="default" w:ascii="Times New Roman" w:hAnsi="Times New Roman" w:eastAsia="Times New Roman" w:cs="Times New Roman"/>
          <w:b/>
          <w:bCs/>
          <w:sz w:val="24"/>
          <w:szCs w:val="24"/>
          <w:lang w:val="en-GB"/>
        </w:rPr>
        <w:fldChar w:fldCharType="begin"/>
      </w:r>
      <w:r>
        <w:rPr>
          <w:rFonts w:hint="default" w:ascii="Times New Roman" w:hAnsi="Times New Roman" w:eastAsia="Times New Roman" w:cs="Times New Roman"/>
          <w:b/>
          <w:bCs/>
          <w:sz w:val="24"/>
          <w:szCs w:val="24"/>
          <w:lang w:val="en-GB"/>
        </w:rPr>
        <w:instrText xml:space="preserve"> HYPERLINK "mailto:ubgsouth@yahoo.com" </w:instrText>
      </w:r>
      <w:r>
        <w:rPr>
          <w:rFonts w:hint="default" w:ascii="Times New Roman" w:hAnsi="Times New Roman" w:eastAsia="Times New Roman" w:cs="Times New Roman"/>
          <w:b/>
          <w:bCs/>
          <w:sz w:val="24"/>
          <w:szCs w:val="24"/>
          <w:lang w:val="en-GB"/>
        </w:rPr>
        <w:fldChar w:fldCharType="separate"/>
      </w:r>
      <w:r>
        <w:rPr>
          <w:rStyle w:val="16"/>
          <w:rFonts w:hint="default" w:ascii="Times New Roman" w:hAnsi="Times New Roman" w:eastAsia="Times New Roman" w:cs="Times New Roman"/>
          <w:b/>
          <w:bCs/>
          <w:sz w:val="24"/>
          <w:szCs w:val="24"/>
          <w:lang w:val="en-GB"/>
        </w:rPr>
        <w:t>ubgsouth@yahoo.com</w:t>
      </w:r>
      <w:r>
        <w:rPr>
          <w:rFonts w:hint="default" w:ascii="Times New Roman" w:hAnsi="Times New Roman" w:eastAsia="Times New Roman" w:cs="Times New Roman"/>
          <w:b/>
          <w:bCs/>
          <w:sz w:val="24"/>
          <w:szCs w:val="24"/>
          <w:lang w:val="en-GB"/>
        </w:rPr>
        <w:fldChar w:fldCharType="end"/>
      </w:r>
      <w:r>
        <w:rPr>
          <w:rFonts w:hint="default" w:ascii="Times New Roman" w:hAnsi="Times New Roman" w:eastAsia="Times New Roman" w:cs="Times New Roman"/>
          <w:b/>
          <w:bCs/>
          <w:sz w:val="24"/>
          <w:szCs w:val="24"/>
          <w:lang w:val="en-GB"/>
        </w:rPr>
        <w:t xml:space="preserve"> </w:t>
      </w:r>
    </w:p>
    <w:p w14:paraId="3C0EA321">
      <w:pPr>
        <w:spacing w:after="0" w:line="360" w:lineRule="auto"/>
        <w:jc w:val="center"/>
        <w:rPr>
          <w:rFonts w:hint="default" w:ascii="Times New Roman" w:hAnsi="Times New Roman" w:eastAsia="Times New Roman" w:cs="Times New Roman"/>
          <w:b/>
          <w:bCs/>
          <w:sz w:val="24"/>
          <w:szCs w:val="24"/>
          <w:lang w:val="en-GB"/>
        </w:rPr>
      </w:pPr>
      <w:r>
        <w:rPr>
          <w:rFonts w:hint="default" w:ascii="Times New Roman" w:hAnsi="Times New Roman" w:eastAsia="Times New Roman" w:cs="Times New Roman"/>
          <w:b/>
          <w:bCs/>
          <w:sz w:val="24"/>
          <w:szCs w:val="24"/>
          <w:lang w:val="en-GB"/>
        </w:rPr>
        <w:t>+2348037102340</w:t>
      </w:r>
    </w:p>
    <w:p w14:paraId="156F425C">
      <w:pPr>
        <w:spacing w:after="0" w:line="360" w:lineRule="auto"/>
        <w:jc w:val="center"/>
        <w:rPr>
          <w:rFonts w:hint="default" w:ascii="Times New Roman" w:hAnsi="Times New Roman" w:eastAsia="Times New Roman" w:cs="Times New Roman"/>
          <w:b/>
          <w:bCs/>
          <w:sz w:val="24"/>
          <w:szCs w:val="24"/>
        </w:rPr>
      </w:pPr>
    </w:p>
    <w:p w14:paraId="38E40493">
      <w:pPr>
        <w:spacing w:after="0" w:line="360" w:lineRule="auto"/>
        <w:jc w:val="center"/>
        <w:rPr>
          <w:rFonts w:hint="default" w:ascii="Times New Roman" w:hAnsi="Times New Roman" w:eastAsia="Times New Roman" w:cs="Times New Roman"/>
          <w:b/>
          <w:bCs/>
          <w:sz w:val="24"/>
          <w:szCs w:val="24"/>
        </w:rPr>
      </w:pPr>
    </w:p>
    <w:p w14:paraId="68518069">
      <w:pPr>
        <w:spacing w:after="0" w:line="360" w:lineRule="auto"/>
        <w:jc w:val="center"/>
        <w:rPr>
          <w:rFonts w:hint="default" w:ascii="Times New Roman" w:hAnsi="Times New Roman" w:eastAsia="Times New Roman" w:cs="Times New Roman"/>
          <w:b/>
          <w:bCs/>
          <w:sz w:val="24"/>
          <w:szCs w:val="24"/>
          <w:lang w:val="en-GB"/>
        </w:rPr>
      </w:pPr>
      <w:r>
        <w:rPr>
          <w:rFonts w:hint="default" w:ascii="Times New Roman" w:hAnsi="Times New Roman" w:eastAsia="Times New Roman" w:cs="Times New Roman"/>
          <w:b/>
          <w:bCs/>
          <w:sz w:val="24"/>
          <w:szCs w:val="24"/>
        </w:rPr>
        <w:t xml:space="preserve">DR. AGATHA-AMBA INYANG WILLIAMS </w:t>
      </w:r>
      <w:r>
        <w:rPr>
          <w:rFonts w:hint="default" w:ascii="Times New Roman" w:hAnsi="Times New Roman" w:eastAsia="Times New Roman" w:cs="Times New Roman"/>
          <w:b/>
          <w:bCs/>
          <w:sz w:val="24"/>
          <w:szCs w:val="24"/>
          <w:vertAlign w:val="superscript"/>
          <w:lang w:val="en-GB"/>
        </w:rPr>
        <w:t>3</w:t>
      </w:r>
    </w:p>
    <w:p w14:paraId="19B836CE">
      <w:pPr>
        <w:spacing w:after="0" w:line="360" w:lineRule="auto"/>
        <w:jc w:val="center"/>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SENIOR LIBRARIAN</w:t>
      </w:r>
    </w:p>
    <w:p w14:paraId="4B1B3D93">
      <w:pPr>
        <w:spacing w:after="0" w:line="360" w:lineRule="auto"/>
        <w:jc w:val="center"/>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CROSS RIVER STATE COLLEGE OF HEALTH TECHNOLOGY LIBRARY, CALABAR</w:t>
      </w:r>
    </w:p>
    <w:p w14:paraId="6F1607D7">
      <w:pPr>
        <w:spacing w:after="0" w:line="360" w:lineRule="auto"/>
        <w:jc w:val="center"/>
        <w:rPr>
          <w:rFonts w:hint="default" w:ascii="Times New Roman" w:hAnsi="Times New Roman" w:eastAsia="Times New Roman" w:cs="Times New Roman"/>
          <w:b/>
          <w:bCs/>
          <w:sz w:val="24"/>
          <w:szCs w:val="24"/>
          <w:lang w:val="en-GB"/>
        </w:rPr>
      </w:pPr>
      <w:r>
        <w:rPr>
          <w:rFonts w:hint="default" w:ascii="Times New Roman" w:hAnsi="Times New Roman" w:eastAsia="Times New Roman" w:cs="Times New Roman"/>
          <w:b/>
          <w:bCs/>
          <w:sz w:val="24"/>
          <w:szCs w:val="24"/>
          <w:lang w:val="en-GB"/>
        </w:rPr>
        <w:t xml:space="preserve">Email: </w:t>
      </w:r>
      <w:r>
        <w:rPr>
          <w:rFonts w:hint="default" w:ascii="Times New Roman" w:hAnsi="Times New Roman" w:eastAsia="Times New Roman" w:cs="Times New Roman"/>
          <w:b/>
          <w:bCs/>
          <w:sz w:val="24"/>
          <w:szCs w:val="24"/>
        </w:rPr>
        <w:fldChar w:fldCharType="begin"/>
      </w:r>
      <w:r>
        <w:rPr>
          <w:rFonts w:hint="default" w:ascii="Times New Roman" w:hAnsi="Times New Roman" w:eastAsia="Times New Roman" w:cs="Times New Roman"/>
          <w:b/>
          <w:bCs/>
          <w:sz w:val="24"/>
          <w:szCs w:val="24"/>
        </w:rPr>
        <w:instrText xml:space="preserve"> HYPERLINK "mailto:williamsagathaamba@gmail.com" </w:instrText>
      </w:r>
      <w:r>
        <w:rPr>
          <w:rFonts w:hint="default" w:ascii="Times New Roman" w:hAnsi="Times New Roman" w:eastAsia="Times New Roman" w:cs="Times New Roman"/>
          <w:b/>
          <w:bCs/>
          <w:sz w:val="24"/>
          <w:szCs w:val="24"/>
        </w:rPr>
        <w:fldChar w:fldCharType="separate"/>
      </w:r>
      <w:r>
        <w:rPr>
          <w:rStyle w:val="16"/>
          <w:rFonts w:hint="default" w:ascii="Times New Roman" w:hAnsi="Times New Roman" w:eastAsia="Times New Roman" w:cs="Times New Roman"/>
          <w:b/>
          <w:bCs/>
          <w:sz w:val="24"/>
          <w:szCs w:val="24"/>
        </w:rPr>
        <w:t>williamsagathaamba@gmail.com</w:t>
      </w:r>
      <w:r>
        <w:rPr>
          <w:rFonts w:hint="default" w:ascii="Times New Roman" w:hAnsi="Times New Roman" w:eastAsia="Times New Roman" w:cs="Times New Roman"/>
          <w:b/>
          <w:bCs/>
          <w:sz w:val="24"/>
          <w:szCs w:val="24"/>
        </w:rPr>
        <w:fldChar w:fldCharType="end"/>
      </w:r>
      <w:r>
        <w:rPr>
          <w:rFonts w:hint="default" w:ascii="Times New Roman" w:hAnsi="Times New Roman" w:eastAsia="Times New Roman" w:cs="Times New Roman"/>
          <w:b/>
          <w:bCs/>
          <w:sz w:val="24"/>
          <w:szCs w:val="24"/>
          <w:lang w:val="en-GB"/>
        </w:rPr>
        <w:t xml:space="preserve"> </w:t>
      </w:r>
    </w:p>
    <w:p w14:paraId="3B37C256">
      <w:pPr>
        <w:spacing w:after="0" w:line="360" w:lineRule="auto"/>
        <w:jc w:val="center"/>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lang w:val="en-GB"/>
        </w:rPr>
        <w:t>+2349</w:t>
      </w:r>
      <w:r>
        <w:rPr>
          <w:rFonts w:hint="default" w:ascii="Times New Roman" w:hAnsi="Times New Roman" w:eastAsia="Times New Roman" w:cs="Times New Roman"/>
          <w:b/>
          <w:bCs/>
          <w:sz w:val="24"/>
          <w:szCs w:val="24"/>
        </w:rPr>
        <w:t>061650006</w:t>
      </w:r>
    </w:p>
    <w:p w14:paraId="435478D6">
      <w:pPr>
        <w:numPr>
          <w:ilvl w:val="0"/>
          <w:numId w:val="0"/>
        </w:numPr>
        <w:spacing w:after="0" w:line="360" w:lineRule="auto"/>
        <w:jc w:val="center"/>
        <w:rPr>
          <w:rStyle w:val="18"/>
          <w:rFonts w:hint="default" w:ascii="Times New Roman" w:hAnsi="Times New Roman" w:cs="Times New Roman"/>
        </w:rPr>
      </w:pPr>
    </w:p>
    <w:p w14:paraId="1277E5A5">
      <w:pPr>
        <w:numPr>
          <w:ilvl w:val="0"/>
          <w:numId w:val="0"/>
        </w:numPr>
        <w:spacing w:after="0" w:line="360" w:lineRule="auto"/>
        <w:jc w:val="both"/>
        <w:rPr>
          <w:rStyle w:val="18"/>
          <w:rFonts w:hint="default" w:ascii="Times New Roman" w:hAnsi="Times New Roman" w:cs="Times New Roman"/>
        </w:rPr>
      </w:pPr>
    </w:p>
    <w:p w14:paraId="037668CA">
      <w:pPr>
        <w:numPr>
          <w:ilvl w:val="0"/>
          <w:numId w:val="0"/>
        </w:numPr>
        <w:spacing w:after="0" w:line="360" w:lineRule="auto"/>
        <w:jc w:val="both"/>
        <w:rPr>
          <w:rStyle w:val="18"/>
          <w:rFonts w:hint="default" w:ascii="Times New Roman" w:hAnsi="Times New Roman" w:cs="Times New Roman"/>
        </w:rPr>
      </w:pPr>
    </w:p>
    <w:p w14:paraId="487C83F9">
      <w:pPr>
        <w:numPr>
          <w:ilvl w:val="0"/>
          <w:numId w:val="0"/>
        </w:numPr>
        <w:spacing w:after="0" w:line="360" w:lineRule="auto"/>
        <w:jc w:val="both"/>
        <w:rPr>
          <w:rFonts w:hint="default" w:ascii="Times New Roman" w:hAnsi="Times New Roman" w:cs="Times New Roman"/>
          <w:i/>
          <w:iCs/>
        </w:rPr>
      </w:pPr>
      <w:r>
        <w:rPr>
          <w:rStyle w:val="18"/>
          <w:rFonts w:hint="default" w:ascii="Times New Roman" w:hAnsi="Times New Roman" w:cs="Times New Roman"/>
        </w:rPr>
        <w:t>Abstract</w:t>
      </w:r>
      <w:r>
        <w:rPr>
          <w:rFonts w:hint="default" w:ascii="Times New Roman" w:hAnsi="Times New Roman" w:cs="Times New Roman"/>
        </w:rPr>
        <w:br w:type="textWrapping"/>
      </w:r>
      <w:r>
        <w:rPr>
          <w:rFonts w:hint="default" w:ascii="Times New Roman" w:hAnsi="Times New Roman" w:cs="Times New Roman"/>
          <w:i/>
          <w:iCs/>
        </w:rPr>
        <w:t>This research accessed human–AI collaboration in</w:t>
      </w:r>
      <w:r>
        <w:rPr>
          <w:rFonts w:hint="default" w:ascii="Times New Roman" w:hAnsi="Times New Roman" w:cs="Times New Roman"/>
          <w:i/>
          <w:iCs/>
          <w:lang w:val="en-GB"/>
        </w:rPr>
        <w:t xml:space="preserve"> </w:t>
      </w:r>
      <w:r>
        <w:rPr>
          <w:rFonts w:hint="default" w:ascii="Times New Roman" w:hAnsi="Times New Roman" w:cs="Times New Roman"/>
          <w:i/>
          <w:iCs/>
        </w:rPr>
        <w:t>research assistance</w:t>
      </w:r>
      <w:r>
        <w:rPr>
          <w:rFonts w:hint="default" w:ascii="Times New Roman" w:hAnsi="Times New Roman" w:cs="Times New Roman"/>
          <w:i/>
          <w:iCs/>
          <w:lang w:val="en-GB"/>
        </w:rPr>
        <w:t xml:space="preserve"> services in</w:t>
      </w:r>
      <w:r>
        <w:rPr>
          <w:rFonts w:hint="default" w:ascii="Times New Roman" w:hAnsi="Times New Roman" w:cs="Times New Roman"/>
          <w:i/>
          <w:iCs/>
        </w:rPr>
        <w:t xml:space="preserve"> academic libraries in Cross River State, Nigeria. Specifically, the study investigated how researchers and students use AI tools for research assistance, assessed librarians’ perceptions of AI integration in research support services, identified challenges associated with AI adoption,</w:t>
      </w:r>
      <w:r>
        <w:rPr>
          <w:rFonts w:hint="default" w:ascii="Times New Roman" w:hAnsi="Times New Roman" w:cs="Times New Roman"/>
          <w:i/>
          <w:iCs/>
          <w:lang w:val="en-GB"/>
        </w:rPr>
        <w:t xml:space="preserve"> </w:t>
      </w:r>
      <w:r>
        <w:rPr>
          <w:rFonts w:hint="default" w:ascii="Times New Roman" w:hAnsi="Times New Roman" w:eastAsia="Times New Roman" w:cs="Times New Roman"/>
          <w:i/>
          <w:iCs/>
          <w:sz w:val="24"/>
          <w:szCs w:val="24"/>
        </w:rPr>
        <w:t>suggest strategies for effective human–AI collaboration</w:t>
      </w:r>
      <w:r>
        <w:rPr>
          <w:rFonts w:hint="default" w:ascii="Times New Roman" w:hAnsi="Times New Roman" w:eastAsia="Times New Roman" w:cs="Times New Roman"/>
          <w:i/>
          <w:iCs/>
          <w:sz w:val="24"/>
          <w:szCs w:val="24"/>
          <w:lang w:val="en-GB"/>
        </w:rPr>
        <w:t>, and</w:t>
      </w:r>
      <w:r>
        <w:rPr>
          <w:rFonts w:hint="default" w:ascii="Times New Roman" w:hAnsi="Times New Roman" w:eastAsia="Times New Roman" w:cs="Times New Roman"/>
          <w:i/>
          <w:iCs/>
          <w:sz w:val="24"/>
          <w:szCs w:val="24"/>
        </w:rPr>
        <w:t xml:space="preserve"> develop recommendations for improving AI-supported research assistance services in academic libraries</w:t>
      </w:r>
      <w:r>
        <w:rPr>
          <w:rFonts w:hint="default" w:ascii="Times New Roman" w:hAnsi="Times New Roman" w:cs="Times New Roman"/>
          <w:i/>
          <w:iCs/>
        </w:rPr>
        <w:t xml:space="preserve"> and proposed a framework for effective human–AI collaboration in academic libraries. The study adopted a mixed-methods design, combining quantitative and qualitative approaches to provide a comprehensive understanding of the phenomenon. The population of the study comprised 161 academic librarians, postgraduate students, and faculty researchers drawn from the University of Calabar, University of Cross River State, Cross River State Institute of Technology and Management, Ugep, and the College of Education, Akamkpa. Using accidental sampling technique, 120 respondents consisting of </w:t>
      </w:r>
      <w:bookmarkStart w:id="0" w:name="_GoBack"/>
      <w:bookmarkEnd w:id="0"/>
      <w:r>
        <w:rPr>
          <w:rFonts w:hint="default" w:ascii="Times New Roman" w:hAnsi="Times New Roman" w:cs="Times New Roman"/>
          <w:i/>
          <w:iCs/>
        </w:rPr>
        <w:t>80 librarians and 40 students/researchers were selected for the study. Data were collected using questionnaires and interview guides validated by experts in Library and Information Science and Test and Measurement. Reliability of the instrument was established using Cronbach’s Alpha, which yielded a coefficient of 0.76. Quantitative data were analyzed using frequencies, percentages, and mean scores, while qualitative responses were analyzed thematically. Findings revealed that ChatGPT (27.5%) and Grammarly (22.5%) were the most frequently used AI tools among researchers and students. Librarians generally perceived AI positively, agreeing that AI can enhance research assistance (Mean = 4.00) and should complement rather than replace librarians (Mean = 4.04). The study further identified poor ICT infrastructure (31.7%) and lack of training (26.7%) as major barriers to effective AI integration in academic libraries. The study concluded that effective human–AI collaboration can significantly improve research support services when supported with adequate infrastructure, AI literacy training, ethical guidelines, and institutional support. The study recommended increased investment in digital infrastructure, continuous AI training for librarians, and the development of institutional policies for responsible AI usage in academic libraries.</w:t>
      </w:r>
    </w:p>
    <w:p w14:paraId="6BDFD0E1">
      <w:pPr>
        <w:spacing w:after="0" w:line="360" w:lineRule="auto"/>
        <w:jc w:val="both"/>
        <w:rPr>
          <w:rFonts w:hint="default" w:ascii="Times New Roman" w:hAnsi="Times New Roman" w:cs="Times New Roman"/>
          <w:sz w:val="24"/>
          <w:szCs w:val="24"/>
          <w:lang w:val="en-GB"/>
        </w:rPr>
      </w:pPr>
      <w:r>
        <w:rPr>
          <w:rFonts w:hint="default" w:ascii="Times New Roman" w:hAnsi="Times New Roman" w:cs="Times New Roman"/>
          <w:b/>
          <w:bCs/>
          <w:sz w:val="24"/>
          <w:szCs w:val="24"/>
          <w:lang w:val="en-GB"/>
        </w:rPr>
        <w:t xml:space="preserve">Keywords: </w:t>
      </w:r>
      <w:r>
        <w:rPr>
          <w:rFonts w:hint="default" w:ascii="Times New Roman" w:hAnsi="Times New Roman" w:cs="Times New Roman"/>
          <w:sz w:val="24"/>
          <w:szCs w:val="24"/>
        </w:rPr>
        <w:t>Artificial Intelligence (AI)</w:t>
      </w:r>
      <w:r>
        <w:rPr>
          <w:rFonts w:hint="default" w:ascii="Times New Roman" w:hAnsi="Times New Roman" w:cs="Times New Roman"/>
          <w:sz w:val="24"/>
          <w:szCs w:val="24"/>
          <w:lang w:val="en-GB"/>
        </w:rPr>
        <w:t xml:space="preserve">, </w:t>
      </w:r>
      <w:r>
        <w:rPr>
          <w:rFonts w:hint="default" w:ascii="Times New Roman" w:hAnsi="Times New Roman" w:cs="Times New Roman"/>
          <w:sz w:val="24"/>
          <w:szCs w:val="24"/>
        </w:rPr>
        <w:t>Research Assistance</w:t>
      </w:r>
      <w:r>
        <w:rPr>
          <w:rFonts w:hint="default" w:ascii="Times New Roman" w:hAnsi="Times New Roman" w:cs="Times New Roman"/>
          <w:sz w:val="24"/>
          <w:szCs w:val="24"/>
          <w:lang w:val="en-GB"/>
        </w:rPr>
        <w:t xml:space="preserve">, </w:t>
      </w:r>
      <w:r>
        <w:rPr>
          <w:rFonts w:hint="default" w:ascii="Times New Roman" w:hAnsi="Times New Roman" w:cs="Times New Roman"/>
          <w:sz w:val="24"/>
          <w:szCs w:val="24"/>
        </w:rPr>
        <w:t>Human–AI Collaboration</w:t>
      </w:r>
    </w:p>
    <w:p w14:paraId="045D3763">
      <w:pPr>
        <w:pStyle w:val="17"/>
        <w:spacing w:beforeAutospacing="0" w:afterAutospacing="0" w:line="360" w:lineRule="auto"/>
        <w:jc w:val="both"/>
        <w:rPr>
          <w:rFonts w:hint="default" w:ascii="Times New Roman" w:hAnsi="Times New Roman" w:cs="Times New Roman"/>
          <w:i/>
          <w:iCs/>
        </w:rPr>
      </w:pPr>
      <w:r>
        <w:rPr>
          <w:rFonts w:hint="default" w:ascii="Times New Roman" w:hAnsi="Times New Roman" w:cs="Times New Roman"/>
          <w:i/>
          <w:iCs/>
        </w:rPr>
        <w:t>Word Count: 338</w:t>
      </w:r>
    </w:p>
    <w:p w14:paraId="503A4C00">
      <w:pPr>
        <w:spacing w:after="0" w:line="360" w:lineRule="auto"/>
        <w:jc w:val="both"/>
        <w:rPr>
          <w:rFonts w:hint="default" w:ascii="Times New Roman" w:hAnsi="Times New Roman" w:cs="Times New Roman"/>
          <w:sz w:val="24"/>
          <w:szCs w:val="24"/>
          <w:lang w:val="en-GB"/>
        </w:rPr>
      </w:pPr>
      <w:r>
        <w:rPr>
          <w:rFonts w:hint="default" w:ascii="Times New Roman" w:hAnsi="Times New Roman" w:cs="Times New Roman"/>
          <w:i/>
          <w:iCs/>
        </w:rPr>
        <w:t>.</w:t>
      </w:r>
      <w:r>
        <w:rPr>
          <w:rFonts w:hint="default" w:ascii="Times New Roman" w:hAnsi="Times New Roman" w:cs="Times New Roman"/>
          <w:i/>
          <w:iCs/>
          <w:lang w:val="en-GB"/>
        </w:rPr>
        <w:t xml:space="preserve"> </w:t>
      </w:r>
    </w:p>
    <w:p w14:paraId="67828246">
      <w:pPr>
        <w:rPr>
          <w:rFonts w:hint="default" w:ascii="Times New Roman" w:hAnsi="Times New Roman" w:cs="Times New Roman"/>
          <w:b/>
          <w:bCs/>
          <w:sz w:val="24"/>
          <w:szCs w:val="24"/>
        </w:rPr>
      </w:pPr>
      <w:r>
        <w:rPr>
          <w:rFonts w:hint="default" w:ascii="Times New Roman" w:hAnsi="Times New Roman" w:cs="Times New Roman"/>
          <w:b/>
          <w:bCs/>
          <w:sz w:val="24"/>
          <w:szCs w:val="24"/>
        </w:rPr>
        <w:br w:type="page"/>
      </w:r>
    </w:p>
    <w:p w14:paraId="26970109">
      <w:pPr>
        <w:spacing w:after="0" w:line="360" w:lineRule="auto"/>
        <w:jc w:val="both"/>
        <w:rPr>
          <w:rFonts w:hint="default" w:ascii="Times New Roman" w:hAnsi="Times New Roman" w:cs="Times New Roman"/>
          <w:b/>
          <w:bCs/>
          <w:sz w:val="24"/>
          <w:szCs w:val="24"/>
        </w:rPr>
      </w:pPr>
    </w:p>
    <w:p w14:paraId="14CCB550">
      <w:pPr>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Introduction</w:t>
      </w:r>
    </w:p>
    <w:p w14:paraId="0C547789">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Academic libraries have long remained central to teaching, learning, and research in higher education institutions. Beyond serving as repositories of books and scholarly materials, they provide research assistance, information literacy training, and professional guidance that help students and researchers navigate increasingly complex information environments. Librarians, particularly reference and subject specialists, support users in locating credible information, evaluating sources, managing citations, and promoting ethical use of information resources. However, the rapid advancement of digital technologies, especially Artificial Intelligence (AI), is gradually transforming the traditional nature of research assistance in academic libraries.</w:t>
      </w:r>
    </w:p>
    <w:p w14:paraId="1F7A8276">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 xml:space="preserve">Artificial Intelligence refers to computer systems capable of simulating human intelligence through learning, reasoning, problem-solving, natural language processing, and decision-making. In recent years, AI-powered applications such as ChatGPT, Grammarly, Elicit, Semantic Scholar, ResearchRabbit, and Turnitin have become increasingly popular within academic environments. These technologies assist researchers and students in literature searching, text summarization, plagiarism detection, citation management, language editing, and data analysis (Dwivedi </w:t>
      </w:r>
      <w:r>
        <w:rPr>
          <w:rFonts w:hint="default" w:ascii="Times New Roman" w:hAnsi="Times New Roman" w:cs="Times New Roman"/>
          <w:i/>
          <w:iCs/>
          <w:sz w:val="24"/>
          <w:szCs w:val="24"/>
          <w:lang w:val="en-GB"/>
        </w:rPr>
        <w:t>et al.</w:t>
      </w:r>
      <w:r>
        <w:rPr>
          <w:rFonts w:hint="default" w:ascii="Times New Roman" w:hAnsi="Times New Roman" w:cs="Times New Roman"/>
          <w:sz w:val="24"/>
          <w:szCs w:val="24"/>
        </w:rPr>
        <w:t>, 2021). As a result, research processes that previously required extensive manual effort are becoming increasingly automated and technology-driven.</w:t>
      </w:r>
    </w:p>
    <w:p w14:paraId="39EBAB7B">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The growing acceptance of AI technologies in academic environments can be understood through the Technology Acceptance Model (TAM), developed by Fred Davis. The theory explains that individuals are more likely to adopt new technologies when they perceive them as useful and easy to use. In the context of academic libraries, students, researchers, and librarians may adopt AI tools when such technologies improve research efficiency, simplify information retrieval, and enhance academic productivity. Similarly, the Diffusion of Innovation Theory by Everett Rogers provides further explanation for varying levels of AI adoption among librarians and academic institutions. The theory emphasizes how innovations spread gradually across organizations and societies through categories such as innovators, early adopters, early majority, late majority, and laggards. These theories provide a useful foundation for understanding the growing but uneven adoption of AI technologies in academic libraries in Nigeria and other developing societies.</w:t>
      </w:r>
    </w:p>
    <w:p w14:paraId="211E5385">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Globally, universities and academic libraries are increasingly integrating AI into research support services. In developed countries, AI-driven systems are already being used for virtual reference services, intelligent cataloguing, automated indexing, research analytics, and personalized information retrieval. In Africa, however, the adoption of AI in academic libraries is still emerging and is often constrained by infrastructural deficiencies, inadequate funding, unstable internet connectivity, and low digital literacy levels. Nevertheless, studies from countries such as South Africa, Kenya, Ghana, and Nigeria reveal growing awareness of AI technologies among students, researchers, and information professionals.</w:t>
      </w:r>
    </w:p>
    <w:p w14:paraId="2376D3E2">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Within Nigeria, the increasing use of AI tools in higher education has generated significant scholarly and professional interest. Students and researchers now frequently rely on AI applications for academic writing support, idea generation, literature review assistance, plagiarism checking, and grammar correction. While these technologies improve research efficiency, they have also raised concerns relating to misinformation, plagiarism, overdependence on machine-generated content, ethical misuse, and declining critical thinking skills. Nigerian academic libraries are therefore under increasing pressure to adapt their services and redefine their relevance in an era where users can independently access AI-generated information without physically consulting librarians.</w:t>
      </w:r>
    </w:p>
    <w:p w14:paraId="20AB5248">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Within Cross River State, the integration of AI into academic research activities is gradually becoming visible across institutions such as the University of Calabar, University of Cross River State, Cross River State Institute of Technology and Management, Ugep, and the College of Education, Akamkpa. Many students and researchers now use tools such as ChatGPT and Grammarly for assignments, proposal writing, literature review, and language editing. However, despite this increasing adoption, academic libraries in the state still face significant challenges including poor ICT infrastructure, unstable power supply, inadequate internet access, limited institutional funding, insufficient AI literacy among librarians, and lack of clear institutional policies regulating AI use in research support services. Consequently, many libraries risk becoming less relevant if they fail to adapt to the changing digital research environment.</w:t>
      </w:r>
    </w:p>
    <w:p w14:paraId="67804B14">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The theoretical background of this study is anchored on the Technology Acceptance Model (TAM) developed by Fred Davis and the Diffusion of Innovation Theory propounded by Everett Rogers. The Technology Acceptance Model explains that individuals are more likely to adopt a technology when they perceive it as useful and easy to use. In the context of academic libraries, librarians, students, and researchers are more likely to embrace AI tools if such technologies improve research efficiency and information access. The theory further suggests that attitudes toward technology significantly influence its acceptance and usage within organizations. Similarly, the Diffusion of Innovation Theory explains how new technologies spread gradually across institutions and social systems over time. The theory identifies categories of adopters such as innovators, early adopters, early majority, late majority, and laggards, which helps explain varying levels of AI adoption among librarians and researchers in Cross River State. These theories are relevant to the study because they provide insight into factors influencing AI integration and human–AI collaboration in academic libraries. They also explain the importance of awareness, institutional support, training, and infrastructure in promoting the successful adoption of AI technologies. Therefore, the combination of both theories provides a suitable framework for understanding the future of research assistance through human–AI collaboration in academic libraries in Cross River State, Nigeria.</w:t>
      </w:r>
    </w:p>
    <w:p w14:paraId="3FCD1D93">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 xml:space="preserve">Despite concerns about AI replacing traditional professional roles, the future of academic research assistance is more likely to depend on collaboration between human expertise and intelligent technologies rather than outright replacement. AI can handle repetitive and time-consuming tasks such as information retrieval, indexing, summarization, and pattern recognition, while librarians provide contextual interpretation, ethical oversight, critical evaluation, and personalized research guidance. Cox </w:t>
      </w:r>
      <w:r>
        <w:rPr>
          <w:rFonts w:hint="default" w:ascii="Times New Roman" w:hAnsi="Times New Roman" w:cs="Times New Roman"/>
          <w:i/>
          <w:iCs/>
          <w:sz w:val="24"/>
          <w:szCs w:val="24"/>
          <w:lang w:val="en-GB"/>
        </w:rPr>
        <w:t>et al</w:t>
      </w:r>
      <w:r>
        <w:rPr>
          <w:rFonts w:hint="default" w:ascii="Times New Roman" w:hAnsi="Times New Roman" w:cs="Times New Roman"/>
          <w:sz w:val="24"/>
          <w:szCs w:val="24"/>
          <w:lang w:val="en-GB"/>
        </w:rPr>
        <w:t>.</w:t>
      </w:r>
      <w:r>
        <w:rPr>
          <w:rFonts w:hint="default" w:ascii="Times New Roman" w:hAnsi="Times New Roman" w:cs="Times New Roman"/>
          <w:sz w:val="24"/>
          <w:szCs w:val="24"/>
        </w:rPr>
        <w:t>(2019) argue that AI technologies are most effective when combined with human judgment and professional expertise. This suggests that librarians who develop AI-related competencies may become even more valuable within future academic research ecosystems.</w:t>
      </w:r>
    </w:p>
    <w:p w14:paraId="3AF46C0A">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Although several studies have examined AI awareness and technology adoption in Nigerian educational institutions, there is still limited empirical research specifically addressing human–AI collaboration in academic libraries within Cross River State. Existing studies have largely focused on AI in teaching, student learning, or educational administration, with little attention given to how librarians are responding to AI-driven transformations in research assistance services. Furthermore, there is inadequate evidence regarding librarians’ perceptions of AI integration, institutional readiness, challenges affecting adoption, and practical frameworks that can support sustainable human–AI collaboration in academic libraries in the state. This gap in knowledge creates the need for empirical investigation.</w:t>
      </w:r>
    </w:p>
    <w:p w14:paraId="7DD42193">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It is against this background that this study examines human–AI collaboration in</w:t>
      </w:r>
      <w:r>
        <w:rPr>
          <w:rFonts w:hint="default" w:ascii="Times New Roman" w:hAnsi="Times New Roman" w:cs="Times New Roman"/>
          <w:sz w:val="24"/>
          <w:szCs w:val="24"/>
          <w:lang w:val="en-GB"/>
        </w:rPr>
        <w:t xml:space="preserve"> research assistance in</w:t>
      </w:r>
      <w:r>
        <w:rPr>
          <w:rFonts w:hint="default" w:ascii="Times New Roman" w:hAnsi="Times New Roman" w:cs="Times New Roman"/>
          <w:sz w:val="24"/>
          <w:szCs w:val="24"/>
        </w:rPr>
        <w:t xml:space="preserve"> academic libraries in Cross River State, Nigeria. Specifically, the study investigates how researchers and students use AI tools for research assistance, assesses librarians’ perceptions of AI integration, identifies challenges associated with AI adoption, and proposes a framework for effective human–AI collaboration in academic libraries.</w:t>
      </w:r>
    </w:p>
    <w:p w14:paraId="7C42259F">
      <w:pPr>
        <w:spacing w:after="0" w:line="360" w:lineRule="auto"/>
        <w:ind w:firstLine="720"/>
        <w:jc w:val="both"/>
        <w:rPr>
          <w:rFonts w:hint="default" w:ascii="Times New Roman" w:hAnsi="Times New Roman" w:cs="Times New Roman"/>
          <w:sz w:val="24"/>
          <w:szCs w:val="24"/>
        </w:rPr>
      </w:pPr>
    </w:p>
    <w:p w14:paraId="383543AE">
      <w:pPr>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Statement of the Problem</w:t>
      </w:r>
    </w:p>
    <w:p w14:paraId="6E722E2B">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The emergence of Artificial Intelligence (AI) technologies has significantly transformed the landscape of academic research and information management across the world. In higher education institutions, AI-powered tools such as ChatGPT, Grammarly, Elicit, Semantic Scholar, ResearchRabbit, and Turnitin are increasingly being used by students and researchers for literature review, academic writing, citation management, plagiarism detection, data analysis, and information retrieval. The increasing accessibility, speed, and efficiency of these technologies have contributed to their growing acceptance within universities and research institutions. In Nigeria, recent studies indicate that students and researchers are rapidly adopting AI tools to simplify academic tasks, improve writing quality, and enhance research productivity. This trend suggests that AI is gradually becoming an indispensable component of contemporary academic research practices.</w:t>
      </w:r>
    </w:p>
    <w:p w14:paraId="2D621E29">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Despite the increasing adoption of AI technologies by researchers and students, many academic libraries in Nigeria appear inadequately prepared for the realities of AI-driven research support services. Traditionally, academic libraries have served as centers for information access, research guidance, knowledge organization, and information literacy development. Librarians have historically provided professional support in sourcing credible scholarly materials, evaluating information resources, guiding citation practices, and promoting ethical research behavior. However, the emergence of AI technologies is changing how users seek and interact with information. Many students and researchers now bypass traditional library consultation processes and rely directly on AI tools for instant responses, summaries, and research assistance. This shift poses a significant challenge to the relevance and sustainability of conventional library services if libraries fail to evolve alongside technological advancement.</w:t>
      </w:r>
    </w:p>
    <w:p w14:paraId="282BCC29">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In many Nigerian universities, including institutions in Cross River State, the integration of AI into academic library services remains largely informal, inconsistent, and poorly coordinated. Although some librarians are aware of AI technologies and their potential benefits, many still lack the technical competencies, digital literacy skills, and professional training required for effective AI integration into research support services. Furthermore, several academic libraries operate without structured institutional frameworks, implementation strategies, or clear ethical guidelines regulating the use of AI in academic research assistance. Consequently, librarians may find it difficult to effectively guide students and researchers in the responsible and ethical use of AI-generated information.</w:t>
      </w:r>
    </w:p>
    <w:p w14:paraId="3343FC64">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The problem is further complicated by infrastructural and institutional limitations common in many developing societies. Academic libraries in Cross River State continue to face challenges such as poor ICT infrastructure, unstable electricity supply, inadequate internet connectivity, insufficient funding, limited access to modern digital technologies, and inadequate staff development opportunities. These challenges significantly limit the ability of libraries to adopt and sustain AI-driven services. In addition, concerns relating to misinformation, plagiarism, algorithmic bias, copyright infringement, data privacy, and overdependence on AI-generated content continue to raise ethical questions regarding the use of AI in academic research environments. Without proper human oversight, AI-assisted research support may compromise research quality, originality, and academic integrity.</w:t>
      </w:r>
    </w:p>
    <w:p w14:paraId="52364458">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Although AI adoption in higher education has attracted increasing scholarly attention globally and within Nigeria, most existing studies have focused primarily on AI in teaching, learning, educational administration, and general technology adoption. Very limited empirical research has specifically examined human–AI collaboration in academic libraries, particularly within the context of Cross River State. Existing literature has not adequately explored librarians’ preparedness for AI integration, the extent to which researchers and students rely on AI tools for research assistance, the challenges hindering effective adoption, and the institutional preparedness required for sustainable human–AI collaboration in academic libraries. More importantly, there is limited evidence regarding practical frameworks that can guide academic libraries in balancing AI automation with human expertise, ethical judgment, and professional oversight.</w:t>
      </w:r>
    </w:p>
    <w:p w14:paraId="06E8D0C5">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This empirical gap is significant because failure to adapt to emerging AI-driven research environments may gradually reduce the relevance of academic libraries and marginalize librarians within higher education institutions. If librarians are unable to develop AI competencies and reposition their services to align with evolving user needs, students and researchers may increasingly depend solely on AI systems without professional guidance on information evaluation, ethical usage, and academic integrity. Consequently, there is an urgent need to investigate how academic libraries in Cross River State can strategically integrate AI technologies into research assistance services while maintaining the essential human roles of critical evaluation, contextual interpretation, ethical oversight, and personalized research support.</w:t>
      </w:r>
    </w:p>
    <w:p w14:paraId="2C9DBF27">
      <w:pPr>
        <w:spacing w:after="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The problem of this study therefore is: how can academic libraries in Cross River State, Nigeria effectively leverage human–AI collaboration to provide efficient, ethical, and sustainable research assistance services in the face of increasing AI adoption, inadequate institutional preparedness, and evolving user research behaviors?</w:t>
      </w:r>
    </w:p>
    <w:p w14:paraId="3ABB0DBD">
      <w:pPr>
        <w:spacing w:after="0" w:line="360" w:lineRule="auto"/>
        <w:ind w:firstLine="720"/>
        <w:jc w:val="both"/>
        <w:rPr>
          <w:rFonts w:hint="default" w:ascii="Times New Roman" w:hAnsi="Times New Roman" w:cs="Times New Roman"/>
          <w:b/>
          <w:bCs/>
          <w:sz w:val="24"/>
          <w:szCs w:val="24"/>
        </w:rPr>
      </w:pPr>
    </w:p>
    <w:p w14:paraId="350AEBF2">
      <w:pPr>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 Objectives of the Study</w:t>
      </w:r>
    </w:p>
    <w:p w14:paraId="7F0A660C">
      <w:pPr>
        <w:spacing w:after="0" w:line="360" w:lineRule="auto"/>
        <w:ind w:firstLine="720" w:firstLineChars="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main objective of the study is to examine human–AI collaboration in</w:t>
      </w:r>
      <w:r>
        <w:rPr>
          <w:rFonts w:hint="default" w:ascii="Times New Roman" w:hAnsi="Times New Roman" w:eastAsia="Times New Roman" w:cs="Times New Roman"/>
          <w:sz w:val="24"/>
          <w:szCs w:val="24"/>
          <w:lang w:val="en-GB"/>
        </w:rPr>
        <w:t xml:space="preserve"> research assistance in</w:t>
      </w:r>
      <w:r>
        <w:rPr>
          <w:rFonts w:hint="default" w:ascii="Times New Roman" w:hAnsi="Times New Roman" w:eastAsia="Times New Roman" w:cs="Times New Roman"/>
          <w:sz w:val="24"/>
          <w:szCs w:val="24"/>
        </w:rPr>
        <w:t xml:space="preserve"> academic libraries in Cross River State, Nigeria.</w:t>
      </w:r>
    </w:p>
    <w:p w14:paraId="4CF9D0F8">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specific objectives are to:</w:t>
      </w:r>
    </w:p>
    <w:p w14:paraId="26D2A89D">
      <w:pPr>
        <w:numPr>
          <w:ilvl w:val="0"/>
          <w:numId w:val="1"/>
        </w:num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Investigate how researchers and students in Cross River State use AI tools for research assistance.</w:t>
      </w:r>
    </w:p>
    <w:p w14:paraId="7A9B65CD">
      <w:pPr>
        <w:numPr>
          <w:ilvl w:val="0"/>
          <w:numId w:val="1"/>
        </w:num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Assess librarians’ perceptions of AI integration in academic research support services.</w:t>
      </w:r>
    </w:p>
    <w:p w14:paraId="369D505A">
      <w:pPr>
        <w:numPr>
          <w:ilvl w:val="0"/>
          <w:numId w:val="1"/>
        </w:num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Identify the challenges associated with integrating AI into research assistance services in academic libraries.</w:t>
      </w:r>
    </w:p>
    <w:p w14:paraId="4C204F4E">
      <w:pPr>
        <w:numPr>
          <w:ilvl w:val="0"/>
          <w:numId w:val="1"/>
        </w:num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Suggest strategies for effective human–AI collaboration in academic libraries in Cross River State.</w:t>
      </w:r>
    </w:p>
    <w:p w14:paraId="0E8F4F89">
      <w:pPr>
        <w:numPr>
          <w:ilvl w:val="0"/>
          <w:numId w:val="1"/>
        </w:num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Develop recommendations for improving AI-supported research assistance services in academic libraries in Cross River State.</w:t>
      </w:r>
    </w:p>
    <w:p w14:paraId="49B73B37">
      <w:pPr>
        <w:tabs>
          <w:tab w:val="left" w:pos="720"/>
        </w:tabs>
        <w:spacing w:after="0" w:line="360" w:lineRule="auto"/>
        <w:ind w:left="720"/>
        <w:jc w:val="both"/>
        <w:rPr>
          <w:rFonts w:hint="default" w:ascii="Times New Roman" w:hAnsi="Times New Roman" w:eastAsia="Times New Roman" w:cs="Times New Roman"/>
          <w:sz w:val="24"/>
          <w:szCs w:val="24"/>
        </w:rPr>
      </w:pPr>
    </w:p>
    <w:p w14:paraId="136C256C">
      <w:pPr>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Empirical Literature Review</w:t>
      </w:r>
    </w:p>
    <w:p w14:paraId="3DD48D2C">
      <w:pPr>
        <w:spacing w:after="0" w:line="360" w:lineRule="auto"/>
        <w:jc w:val="both"/>
        <w:rPr>
          <w:rFonts w:hint="default" w:ascii="Times New Roman" w:hAnsi="Times New Roman" w:cs="Times New Roman"/>
          <w:sz w:val="16"/>
          <w:szCs w:val="16"/>
        </w:rPr>
      </w:pPr>
    </w:p>
    <w:p w14:paraId="36E45728">
      <w:pPr>
        <w:pStyle w:val="4"/>
        <w:keepNext w:val="0"/>
        <w:keepLines w:val="0"/>
        <w:spacing w:before="0" w:after="0" w:line="360" w:lineRule="auto"/>
        <w:jc w:val="both"/>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Use of AI Tools by Researchers and Students in Cross River State</w:t>
      </w:r>
    </w:p>
    <w:p w14:paraId="70F078D6">
      <w:pPr>
        <w:pStyle w:val="4"/>
        <w:keepNext w:val="0"/>
        <w:keepLines w:val="0"/>
        <w:spacing w:before="0" w:after="0" w:line="360" w:lineRule="auto"/>
        <w:ind w:firstLine="72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Empirical studies indicate a growing adoption of Artificial Intelligence (AI) tools among students, researchers, and academic staff in tertiary institutions in Cross River State, particularly the University of Calabar, University of Cross River State, Cross River State Institute of Technology and Management, Ugep, and the College of Education, Akamkpa. AI </w:t>
      </w:r>
      <w:r>
        <w:rPr>
          <w:rFonts w:hint="default" w:ascii="Times New Roman" w:hAnsi="Times New Roman" w:cs="Times New Roman"/>
          <w:color w:val="auto"/>
          <w:sz w:val="24"/>
          <w:szCs w:val="24"/>
          <w:lang w:val="en-GB"/>
        </w:rPr>
        <w:t>tool</w:t>
      </w:r>
      <w:r>
        <w:rPr>
          <w:rFonts w:hint="default" w:ascii="Times New Roman" w:hAnsi="Times New Roman" w:cs="Times New Roman"/>
          <w:color w:val="auto"/>
          <w:sz w:val="24"/>
          <w:szCs w:val="24"/>
        </w:rPr>
        <w:t xml:space="preserve">s such as ChatGPT, Grammarly, Semantic Scholar, and other generative tools are increasingly used for literature search, summarization, paraphrasing, grammar correction, and citation assistance. This trend reflects a gradual shift toward AI-supported academic research practices in Nigerian higher education. Obi </w:t>
      </w:r>
      <w:r>
        <w:rPr>
          <w:rFonts w:hint="default" w:ascii="Times New Roman" w:hAnsi="Times New Roman" w:cs="Times New Roman"/>
          <w:i/>
          <w:iCs/>
          <w:color w:val="auto"/>
          <w:sz w:val="24"/>
          <w:szCs w:val="24"/>
          <w:lang w:val="en-GB"/>
        </w:rPr>
        <w:t xml:space="preserve">et al. </w:t>
      </w:r>
      <w:r>
        <w:rPr>
          <w:rFonts w:hint="default" w:ascii="Times New Roman" w:hAnsi="Times New Roman" w:cs="Times New Roman"/>
          <w:color w:val="auto"/>
          <w:sz w:val="24"/>
          <w:szCs w:val="24"/>
        </w:rPr>
        <w:t xml:space="preserve">(2025) found that final-year students in public universities in Cross River State exhibit high levels of AI usage, particularly for academic writing and assignment support, although this is often associated with ethical issues such as plagiarism, overdependence on AI-generated content, and reduced originality. Similarly, Kingsley </w:t>
      </w:r>
      <w:r>
        <w:rPr>
          <w:rFonts w:hint="default" w:ascii="Times New Roman" w:hAnsi="Times New Roman" w:cs="Times New Roman"/>
          <w:i/>
          <w:iCs/>
          <w:color w:val="auto"/>
          <w:sz w:val="24"/>
          <w:szCs w:val="24"/>
          <w:lang w:val="en-GB"/>
        </w:rPr>
        <w:t xml:space="preserve">et al. </w:t>
      </w:r>
      <w:r>
        <w:rPr>
          <w:rFonts w:hint="default" w:ascii="Times New Roman" w:hAnsi="Times New Roman" w:cs="Times New Roman"/>
          <w:color w:val="auto"/>
          <w:sz w:val="24"/>
          <w:szCs w:val="24"/>
        </w:rPr>
        <w:t xml:space="preserve">(2025) reported that AI tools enhance academic support systems but require structured training and institutional guidance for effective and ethical use. </w:t>
      </w:r>
    </w:p>
    <w:p w14:paraId="0D264069">
      <w:pPr>
        <w:pStyle w:val="4"/>
        <w:keepNext w:val="0"/>
        <w:keepLines w:val="0"/>
        <w:spacing w:before="0" w:after="0" w:line="360" w:lineRule="auto"/>
        <w:ind w:firstLine="72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A comparative reading of these studies reveals both convergence and divergence. While both studies agree on the increasing use of AI, Obi </w:t>
      </w:r>
      <w:r>
        <w:rPr>
          <w:rFonts w:hint="default" w:ascii="Times New Roman" w:hAnsi="Times New Roman" w:cs="Times New Roman"/>
          <w:i/>
          <w:iCs/>
          <w:color w:val="auto"/>
          <w:sz w:val="24"/>
          <w:szCs w:val="24"/>
          <w:lang w:val="en-GB"/>
        </w:rPr>
        <w:t>et al.</w:t>
      </w:r>
      <w:r>
        <w:rPr>
          <w:rFonts w:hint="default" w:ascii="Times New Roman" w:hAnsi="Times New Roman" w:cs="Times New Roman"/>
          <w:color w:val="auto"/>
          <w:sz w:val="24"/>
          <w:szCs w:val="24"/>
          <w:lang w:val="en-GB"/>
        </w:rPr>
        <w:t xml:space="preserve"> (2025)</w:t>
      </w:r>
      <w:r>
        <w:rPr>
          <w:rFonts w:hint="default" w:ascii="Times New Roman" w:hAnsi="Times New Roman" w:cs="Times New Roman"/>
          <w:color w:val="auto"/>
          <w:sz w:val="24"/>
          <w:szCs w:val="24"/>
        </w:rPr>
        <w:t xml:space="preserve"> emphasize uncontrolled student-driven adoption, whereas Kingsley </w:t>
      </w:r>
      <w:r>
        <w:rPr>
          <w:rFonts w:hint="default" w:ascii="Times New Roman" w:hAnsi="Times New Roman" w:cs="Times New Roman"/>
          <w:color w:val="auto"/>
          <w:sz w:val="24"/>
          <w:szCs w:val="24"/>
          <w:lang w:val="en-GB"/>
        </w:rPr>
        <w:t>et al.</w:t>
      </w:r>
      <w:r>
        <w:rPr>
          <w:rFonts w:hint="default" w:ascii="Times New Roman" w:hAnsi="Times New Roman" w:cs="Times New Roman"/>
          <w:color w:val="auto"/>
          <w:sz w:val="24"/>
          <w:szCs w:val="24"/>
        </w:rPr>
        <w:t>highlight institutional efforts toward structured integration. This indicates a tension between informal usage patterns and formal institutional regulation. However, a methodological limitation across these studies is their reliance on descriptive survey designs, which focus mainly on frequency of use rather than depth of competence, quality of academic output, or long-term impact on research skills. In addition, most findings are based on self-reported data, with limited triangulation using interviews or observational methods. The Cross River State Government’s AI literacy initiative (2025), although widely referenced, also lacks rigorous peer-reviewed evaluation, making it difficult to determine its actual effectiveness in improving academic research behavior.</w:t>
      </w:r>
    </w:p>
    <w:p w14:paraId="06AA28BB">
      <w:pPr>
        <w:pStyle w:val="4"/>
        <w:keepNext w:val="0"/>
        <w:keepLines w:val="0"/>
        <w:spacing w:before="0" w:after="0" w:line="360" w:lineRule="auto"/>
        <w:jc w:val="both"/>
        <w:rPr>
          <w:rFonts w:hint="default" w:ascii="Times New Roman" w:hAnsi="Times New Roman" w:cs="Times New Roman"/>
          <w:b/>
          <w:bCs/>
          <w:color w:val="auto"/>
          <w:sz w:val="15"/>
          <w:szCs w:val="15"/>
        </w:rPr>
      </w:pPr>
    </w:p>
    <w:p w14:paraId="655B4359">
      <w:pPr>
        <w:pStyle w:val="4"/>
        <w:keepNext w:val="0"/>
        <w:keepLines w:val="0"/>
        <w:spacing w:before="0" w:after="0" w:line="360" w:lineRule="auto"/>
        <w:jc w:val="both"/>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Librarians’ Awareness, Readiness, and Perceptions of AI Integration</w:t>
      </w:r>
    </w:p>
    <w:p w14:paraId="2E0186B6">
      <w:pPr>
        <w:pStyle w:val="4"/>
        <w:keepNext w:val="0"/>
        <w:keepLines w:val="0"/>
        <w:spacing w:before="0" w:after="0" w:line="360" w:lineRule="auto"/>
        <w:ind w:firstLine="72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Studies conducted among librarians in Cross River State and the broader South-South region of Nigeria reveal generally positive perceptions of AI, but low levels of readiness for effective integration. Ebaye </w:t>
      </w:r>
      <w:r>
        <w:rPr>
          <w:rFonts w:hint="default" w:ascii="Times New Roman" w:hAnsi="Times New Roman" w:cs="Times New Roman"/>
          <w:i/>
          <w:iCs/>
          <w:color w:val="auto"/>
          <w:sz w:val="24"/>
          <w:szCs w:val="24"/>
          <w:lang w:val="en-GB"/>
        </w:rPr>
        <w:t>et al.</w:t>
      </w:r>
      <w:r>
        <w:rPr>
          <w:rFonts w:hint="default" w:ascii="Times New Roman" w:hAnsi="Times New Roman" w:cs="Times New Roman"/>
          <w:color w:val="auto"/>
          <w:sz w:val="24"/>
          <w:szCs w:val="24"/>
          <w:lang w:val="en-GB"/>
        </w:rPr>
        <w:t xml:space="preserve"> </w:t>
      </w:r>
      <w:r>
        <w:rPr>
          <w:rFonts w:hint="default" w:ascii="Times New Roman" w:hAnsi="Times New Roman" w:cs="Times New Roman"/>
          <w:color w:val="auto"/>
          <w:sz w:val="24"/>
          <w:szCs w:val="24"/>
        </w:rPr>
        <w:t xml:space="preserve">(2024) reported that librarians recognize the usefulness of AI tools in improving research support services; however, adoption is constrained by inadequate ICT infrastructure, insufficient training, and weak institutional support systems. Orubebe </w:t>
      </w:r>
      <w:r>
        <w:rPr>
          <w:rFonts w:hint="default" w:ascii="Times New Roman" w:hAnsi="Times New Roman" w:cs="Times New Roman"/>
          <w:i/>
          <w:iCs/>
          <w:color w:val="auto"/>
          <w:sz w:val="24"/>
          <w:szCs w:val="24"/>
          <w:lang w:val="en-GB"/>
        </w:rPr>
        <w:t>et al.</w:t>
      </w:r>
      <w:r>
        <w:rPr>
          <w:rFonts w:hint="default" w:ascii="Times New Roman" w:hAnsi="Times New Roman" w:cs="Times New Roman"/>
          <w:color w:val="auto"/>
          <w:sz w:val="24"/>
          <w:szCs w:val="24"/>
          <w:lang w:val="en-GB"/>
        </w:rPr>
        <w:t xml:space="preserve"> </w:t>
      </w:r>
      <w:r>
        <w:rPr>
          <w:rFonts w:hint="default" w:ascii="Times New Roman" w:hAnsi="Times New Roman" w:cs="Times New Roman"/>
          <w:color w:val="auto"/>
          <w:sz w:val="24"/>
          <w:szCs w:val="24"/>
        </w:rPr>
        <w:t>(2025) similarly found that librarians in Rivers State are aware of AI technologies but express concerns about job displacement, lack of policy direction, and limited organizational preparedness. When these findings are compared, a clear contradiction emerges. While librarians acknowledge the potential benefits of AI, institutional environments are not sufficiently equipped to support its effective implementation. This creates a gap between awareness and practical application.</w:t>
      </w:r>
    </w:p>
    <w:p w14:paraId="24B60181">
      <w:pPr>
        <w:pStyle w:val="4"/>
        <w:keepNext w:val="0"/>
        <w:keepLines w:val="0"/>
        <w:spacing w:before="0" w:after="0" w:line="360" w:lineRule="auto"/>
        <w:ind w:firstLine="72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Methodologically, most studies in this area adopt cross-sectional survey designs, which capture perceptions at a single point in time. This limits understanding of how attitudes toward AI may change over time with exposure, training, or policy development. Furthermore, qualitative insights into librarians’ lived experiences with AI systems remain limited, reducing the depth of interpretation.</w:t>
      </w:r>
    </w:p>
    <w:p w14:paraId="535AC8F5">
      <w:pPr>
        <w:pStyle w:val="4"/>
        <w:keepNext w:val="0"/>
        <w:keepLines w:val="0"/>
        <w:spacing w:before="0" w:after="0" w:line="360" w:lineRule="auto"/>
        <w:jc w:val="both"/>
        <w:rPr>
          <w:rFonts w:hint="default" w:ascii="Times New Roman" w:hAnsi="Times New Roman" w:cs="Times New Roman"/>
          <w:b/>
          <w:bCs/>
          <w:color w:val="auto"/>
          <w:sz w:val="18"/>
          <w:szCs w:val="18"/>
        </w:rPr>
      </w:pPr>
    </w:p>
    <w:p w14:paraId="37F15B78">
      <w:pPr>
        <w:pStyle w:val="4"/>
        <w:keepNext w:val="0"/>
        <w:keepLines w:val="0"/>
        <w:spacing w:before="0" w:after="0" w:line="360" w:lineRule="auto"/>
        <w:jc w:val="both"/>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Challenges of AI Integration in Academic Library Services</w:t>
      </w:r>
    </w:p>
    <w:p w14:paraId="6134C291">
      <w:pPr>
        <w:pStyle w:val="4"/>
        <w:keepNext w:val="0"/>
        <w:keepLines w:val="0"/>
        <w:spacing w:before="0" w:after="0" w:line="360" w:lineRule="auto"/>
        <w:ind w:firstLine="72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Existing literature consistently identifies infrastructural, institutional, and ethical factors as major challenges to AI integration in academic libraries in Nigeria. Emumejakpor and Ovie (2024) highlight poor ICT infrastructure, unstable electricity supply, inadequate funding, and low digital literacy as major barriers to effective AI adoption. Agboke and Oladokun (2025) further emphasize ethical concerns such as plagiarism, privacy risks, and algorithmic bias, while Whong (2025) identifies shortage of skilled personnel and weak regulatory frameworks as additional constraints. A critical observation across these studies is that challenges are often discussed independently rather than as interconnected problems. For example, poor infrastructure limits access to AI tools, which reduces staff training opportunities and ultimately increases ethical misuse of AI outputs. This fragmented approach limits a holistic understanding of the AI integration problem in academic libraries.</w:t>
      </w:r>
    </w:p>
    <w:p w14:paraId="40190DB1">
      <w:pPr>
        <w:pStyle w:val="4"/>
        <w:spacing w:before="0" w:after="0" w:line="360" w:lineRule="auto"/>
        <w:ind w:firstLine="72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Another inconsistency in the literature is the differing interpretation of AI challenges: some studies frame them as technological issues, while others emphasize human and organizational factors. This indicates that AI integration is not purely technical but a socio-technical issue requiring coordinated institutional response.</w:t>
      </w:r>
    </w:p>
    <w:p w14:paraId="1C2F110D">
      <w:pPr>
        <w:pStyle w:val="17"/>
        <w:spacing w:beforeAutospacing="0" w:afterAutospacing="0" w:line="360" w:lineRule="auto"/>
        <w:ind w:firstLine="720"/>
        <w:jc w:val="both"/>
        <w:rPr>
          <w:rFonts w:hint="default" w:ascii="Times New Roman" w:hAnsi="Times New Roman" w:cs="Times New Roman"/>
        </w:rPr>
      </w:pPr>
      <w:r>
        <w:rPr>
          <w:rFonts w:hint="default" w:ascii="Times New Roman" w:hAnsi="Times New Roman" w:cs="Times New Roman"/>
        </w:rPr>
        <w:t>The empirical literature affirms that AI is reshaping research assistance in academic libraries, including those in Cross River State. While students and researchers are increasingly using AI tools, librarians must evolve to remain relevant. Addressing infrastructural, ethical, and educational challenges is key to fostering a sustainable human–AI partnership. A robust framework grounded in AI literacy, professional competencies, and contextual adaptation will ensure that academic libraries continue to serve as vital research hubs in the digital age.</w:t>
      </w:r>
    </w:p>
    <w:p w14:paraId="380989D0">
      <w:pPr>
        <w:pStyle w:val="17"/>
        <w:spacing w:beforeAutospacing="0" w:afterAutospacing="0" w:line="360" w:lineRule="auto"/>
        <w:jc w:val="both"/>
        <w:rPr>
          <w:rFonts w:hint="default" w:ascii="Times New Roman" w:hAnsi="Times New Roman" w:cs="Times New Roman" w:eastAsiaTheme="majorEastAsia"/>
          <w:b/>
          <w:bCs/>
        </w:rPr>
      </w:pPr>
    </w:p>
    <w:p w14:paraId="1D84DB1F">
      <w:pPr>
        <w:pStyle w:val="17"/>
        <w:spacing w:beforeAutospacing="0" w:afterAutospacing="0" w:line="360" w:lineRule="auto"/>
        <w:jc w:val="both"/>
        <w:rPr>
          <w:rFonts w:hint="default" w:ascii="Times New Roman" w:hAnsi="Times New Roman" w:cs="Times New Roman" w:eastAsiaTheme="majorEastAsia"/>
          <w:b/>
          <w:bCs/>
        </w:rPr>
      </w:pPr>
    </w:p>
    <w:p w14:paraId="54ADD9B7">
      <w:pPr>
        <w:pStyle w:val="17"/>
        <w:spacing w:beforeAutospacing="0" w:afterAutospacing="0" w:line="360" w:lineRule="auto"/>
        <w:jc w:val="both"/>
        <w:rPr>
          <w:rFonts w:hint="default" w:ascii="Times New Roman" w:hAnsi="Times New Roman" w:cs="Times New Roman" w:eastAsiaTheme="majorEastAsia"/>
          <w:b/>
          <w:bCs/>
        </w:rPr>
      </w:pPr>
      <w:r>
        <w:rPr>
          <w:rFonts w:hint="default" w:ascii="Times New Roman" w:hAnsi="Times New Roman" w:cs="Times New Roman" w:eastAsiaTheme="majorEastAsia"/>
          <w:b/>
          <w:bCs/>
        </w:rPr>
        <w:t>Conceptual Review: Human–AI Collaboration in Academic Libraries</w:t>
      </w:r>
    </w:p>
    <w:p w14:paraId="2C8631F3">
      <w:pPr>
        <w:pStyle w:val="17"/>
        <w:spacing w:beforeAutospacing="0" w:afterAutospacing="0" w:line="360" w:lineRule="auto"/>
        <w:ind w:firstLine="720" w:firstLineChars="0"/>
        <w:jc w:val="both"/>
        <w:rPr>
          <w:rFonts w:hint="default" w:ascii="Times New Roman" w:hAnsi="Times New Roman" w:cs="Times New Roman" w:eastAsiaTheme="majorEastAsia"/>
        </w:rPr>
      </w:pPr>
      <w:r>
        <w:rPr>
          <w:rFonts w:hint="default" w:ascii="Times New Roman" w:hAnsi="Times New Roman" w:cs="Times New Roman" w:eastAsiaTheme="majorEastAsia"/>
        </w:rPr>
        <w:t>Human–AI collaboration in academic libraries refers to a synergistic relationship in which artificial intelligence systems and human librarians work together to enhance research support services. In this arrangement, AI handles repetitive and data-intensive tasks such as information retrieval, indexing, summarization, and pattern recognition, while librarians provide contextual interpretation, ethical oversight, critical evaluation, and user-centered guidance. This concept redefines the role of librarians from traditional information gatekeepers to active collaborators in digital knowledge production environments. It also emphasizes that AI should complement rather than replace human expertise in academic research support services. However, in developing contexts such as Nigeria, this conceptual ideal is still evolving due to infrastructural limitations, low digital literacy, and weak institutional frameworks.</w:t>
      </w:r>
    </w:p>
    <w:p w14:paraId="0FC4013D">
      <w:pPr>
        <w:pStyle w:val="4"/>
        <w:keepNext w:val="0"/>
        <w:keepLines w:val="0"/>
        <w:spacing w:before="0" w:after="0" w:line="360" w:lineRule="auto"/>
        <w:jc w:val="both"/>
        <w:rPr>
          <w:rFonts w:hint="default" w:ascii="Times New Roman" w:hAnsi="Times New Roman" w:cs="Times New Roman"/>
          <w:b/>
          <w:bCs/>
          <w:color w:val="auto"/>
          <w:sz w:val="18"/>
          <w:szCs w:val="18"/>
        </w:rPr>
      </w:pPr>
    </w:p>
    <w:p w14:paraId="33370368">
      <w:pPr>
        <w:pStyle w:val="17"/>
        <w:spacing w:beforeAutospacing="0" w:afterAutospacing="0" w:line="360" w:lineRule="auto"/>
        <w:jc w:val="both"/>
        <w:rPr>
          <w:rFonts w:hint="default" w:ascii="Times New Roman" w:hAnsi="Times New Roman" w:cs="Times New Roman" w:eastAsiaTheme="majorEastAsia"/>
          <w:b/>
          <w:bCs/>
        </w:rPr>
      </w:pPr>
      <w:r>
        <w:rPr>
          <w:rFonts w:hint="default" w:ascii="Times New Roman" w:hAnsi="Times New Roman" w:cs="Times New Roman" w:eastAsiaTheme="majorEastAsia"/>
          <w:b/>
          <w:bCs/>
        </w:rPr>
        <w:t>Theoretical Framework</w:t>
      </w:r>
    </w:p>
    <w:p w14:paraId="4DD2A301">
      <w:pPr>
        <w:pStyle w:val="17"/>
        <w:spacing w:beforeAutospacing="0" w:afterAutospacing="0" w:line="360" w:lineRule="auto"/>
        <w:ind w:firstLine="720"/>
        <w:jc w:val="both"/>
        <w:rPr>
          <w:rFonts w:hint="default" w:ascii="Times New Roman" w:hAnsi="Times New Roman" w:cs="Times New Roman" w:eastAsiaTheme="majorEastAsia"/>
        </w:rPr>
      </w:pPr>
      <w:r>
        <w:rPr>
          <w:rFonts w:hint="default" w:ascii="Times New Roman" w:hAnsi="Times New Roman" w:cs="Times New Roman" w:eastAsiaTheme="majorEastAsia"/>
        </w:rPr>
        <w:t>This study is anchored on three interrelated theories. The first is the Technology Acceptance Model (TAM) by Fred Davis, which explains technology adoption based on perceived usefulness and perceived ease of use. The second is the Diffusion of Innovations Theory by Everett Rogers, which explains how innovations spread across social systems through categories of adopters over time. The third is the Human–AI Collaboration perspective, which emphasizes the complementary interaction between human expertise and artificial intelligence systems.</w:t>
      </w:r>
    </w:p>
    <w:p w14:paraId="299EA931">
      <w:pPr>
        <w:pStyle w:val="17"/>
        <w:spacing w:beforeAutospacing="0" w:afterAutospacing="0" w:line="360" w:lineRule="auto"/>
        <w:ind w:firstLine="720"/>
        <w:jc w:val="both"/>
        <w:rPr>
          <w:rFonts w:hint="default" w:cs="Times New Roman"/>
          <w:color w:val="auto"/>
          <w:sz w:val="24"/>
          <w:szCs w:val="24"/>
          <w:lang w:val="en-GB"/>
        </w:rPr>
      </w:pPr>
      <w:r>
        <w:rPr>
          <w:rFonts w:hint="default" w:ascii="Times New Roman" w:hAnsi="Times New Roman" w:cs="Times New Roman"/>
          <w:color w:val="auto"/>
          <w:sz w:val="24"/>
          <w:szCs w:val="24"/>
        </w:rPr>
        <w:t>These theories collectively explain how AI tools are adopted, resisted, or partially integrated within academic library environments. They also highlight the importance of institutional support, user perception, training, and infrastructure in determining successful AI integration in research assistance services.</w:t>
      </w:r>
      <w:r>
        <w:rPr>
          <w:rFonts w:hint="default" w:cs="Times New Roman"/>
          <w:color w:val="auto"/>
          <w:sz w:val="24"/>
          <w:szCs w:val="24"/>
          <w:lang w:val="en-GB"/>
        </w:rPr>
        <w:t xml:space="preserve"> </w:t>
      </w:r>
    </w:p>
    <w:p w14:paraId="03CCAC15">
      <w:pPr>
        <w:pStyle w:val="17"/>
        <w:spacing w:beforeAutospacing="0" w:afterAutospacing="0" w:line="360" w:lineRule="auto"/>
        <w:ind w:firstLine="72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 review of existing theories and literature reveals that most studies on AI in Nigerian academic environments focus primarily on awareness, usage patterns, and general perceptions among students and librarians. There is limited comparative analysis across studies, and contradictions between high student usage and low institutional readiness are not adequately explored. Furthermore, methodological limitations are evident, as most studies rely heavily on descriptive survey designs without triangulation or in-depth qualitative exploration. This limits the explanatory depth of findings.</w:t>
      </w:r>
    </w:p>
    <w:p w14:paraId="280E248C">
      <w:pPr>
        <w:pStyle w:val="4"/>
        <w:spacing w:before="0" w:after="0" w:line="360" w:lineRule="auto"/>
        <w:ind w:firstLine="72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Most importantly, there is a noticeable absence of studies that develop or empirically test structured human–AI collaboration frameworks in academic libraries, particularly in Cross River State. Existing literature largely overlooks how libraries can systematically integrate AI into research assistance services while balancing ethical considerations, human oversight, and institutional readiness. Therefore, the major gap in the literature is that existing studies focus largely on AI awareness and adoption, while limited attention has been paid to structured human–AI collaboration frameworks in academic libraries in Cross River State</w:t>
      </w:r>
    </w:p>
    <w:p w14:paraId="3ADCB7E9">
      <w:pPr>
        <w:pStyle w:val="4"/>
        <w:spacing w:before="0" w:after="0" w:line="360" w:lineRule="auto"/>
        <w:ind w:firstLine="720"/>
        <w:jc w:val="both"/>
        <w:rPr>
          <w:rFonts w:hint="default" w:ascii="Times New Roman" w:hAnsi="Times New Roman" w:cs="Times New Roman"/>
          <w:color w:val="auto"/>
          <w:sz w:val="24"/>
          <w:szCs w:val="24"/>
        </w:rPr>
      </w:pPr>
      <w:r>
        <w:rPr>
          <w:rFonts w:hint="default" w:ascii="Times New Roman" w:hAnsi="Times New Roman" w:cs="Times New Roman"/>
          <w:b/>
          <w:bCs/>
          <w:lang w:val="en-GB"/>
        </w:rPr>
        <w:tab/>
      </w:r>
    </w:p>
    <w:p w14:paraId="408839F0">
      <w:pPr>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Methodology</w:t>
      </w:r>
    </w:p>
    <w:p w14:paraId="4523934A">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The study adopted a mixed-methods research design, combining both quantitative and qualitative approaches to provide a comprehensive and in-depth understanding of the future of research assistance through human–AI collaboration in academic libraries in Cross River State, Nigeria. The quantitative component was used to examine patterns of AI tool usage and perceptions among students, researchers, and librarians, while the qualitative component provided deeper insights into librarians’ awareness, readiness, challenges, and concerns regarding AI integration in research support services.</w:t>
      </w:r>
    </w:p>
    <w:p w14:paraId="00D65554">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The population of the study consisted of 161 respondents made up of 122 academic librarians and 39 postgraduate students/faculty researchers who regularly utilize research assistance services in selected tertiary institutions in Cross River State, namely: University of Calabar (UNICAL), University of Cross River State (UNICROSS), Cross River State Institute of Technology and Management (CRITM), Ugep, and College of Education, Akamkpa. These categories of respondents were considered appropriate because they are directly involved in the provision and utilization of academic research support services within library environments.</w:t>
      </w:r>
    </w:p>
    <w:p w14:paraId="39942A05">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 stratified random sampling technique was adopted to ensure proportional representation of the two major groups in the study population (academic librarians and students/researchers). The population was first stratified into librarians and students/researchers, and respondents were then selected proportionately from each stratum to ensure fairness and reduce sampling bias. Although the population size was relatively small (161), a sample size of 120 respondents was used due to accessibility constraints and the need for timely data collection. The sample comprised 80 academic librarians and 40 postgraduate students/faculty researchers. A total of 140 instruments were distributed to improve response coverage; however, 120 were retrieved, properly completed, and found suitable for analysis, representing a high and acceptable response rate.</w:t>
      </w:r>
    </w:p>
    <w:p w14:paraId="041CC5A2">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Two instruments were used for data collection. The first was a structured questionnaire designed for students and researchers, divided into three sections: Section A captured demographic information of respondents; Section B examined the frequency and types of AI tools used for research assistance; while Section C assessed respondents’ perceptions of AI integration in academic research support using a 5-point Likert scale ranging from Strongly Agree (5) to Strongly Disagree (1). The second instrument was a semi-structured interview guide administered to academic librarians to obtain qualitative data on their awareness, preparedness, perceived benefits, challenges, and institutional readiness for AI integration in library-based research assistance services. The instruments were subjected to face and content validation by experts in Library and Information Science as well as Test and Measurement at the University of Calabar to ensure clarity, relevance, and adequacy of items. A pilot test was conducted on a small group of respondents outside the study area to determine the reliability of the instrument. The internal consistency of the questionnaire was tested using Cronbach’s Alpha reliability coefficient, which yielded a value of 0.76, indicating an acceptable level of reliability for social science research.</w:t>
      </w:r>
    </w:p>
    <w:p w14:paraId="5ED67F30">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Data collection was carried out through both face-to-face administration and electronic distribution of questionnaires to respondents, while interviews were conducted with selected librarians with the assistance of trained research personnel. All responses were properly coded, organized, and prepared for analysis. Data were analyzed using both quantitative and qualitative methods. Quantitative data were analyzed using descriptive statistics such as frequencies, percentages, and mean scores to answer the research questions. Qualitative data obtained from interviews were analyzed thematically through systematic coding, categorization, and interpretation of recurring patterns relating to AI awareness, readiness, challenges, and institutional support. The combination of both methods provided a robust and triangulated understanding of human–AI collaboration in academic library research assistance services in Cross River State</w:t>
      </w:r>
    </w:p>
    <w:p w14:paraId="42A603D9">
      <w:pPr>
        <w:pStyle w:val="4"/>
        <w:keepNext w:val="0"/>
        <w:keepLines w:val="0"/>
        <w:spacing w:before="0" w:after="0" w:line="360" w:lineRule="auto"/>
        <w:jc w:val="both"/>
        <w:rPr>
          <w:rFonts w:hint="default" w:ascii="Times New Roman" w:hAnsi="Times New Roman" w:cs="Times New Roman"/>
          <w:b/>
          <w:bCs/>
          <w:color w:val="auto"/>
          <w:sz w:val="18"/>
          <w:szCs w:val="18"/>
        </w:rPr>
      </w:pPr>
    </w:p>
    <w:p w14:paraId="65DA3C23">
      <w:pPr>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Presentation and </w:t>
      </w:r>
      <w:r>
        <w:rPr>
          <w:rFonts w:hint="default" w:ascii="Times New Roman" w:hAnsi="Times New Roman" w:cs="Times New Roman"/>
          <w:b/>
          <w:bCs/>
          <w:sz w:val="24"/>
          <w:szCs w:val="24"/>
          <w:lang w:val="en-GB"/>
        </w:rPr>
        <w:t>Discussion</w:t>
      </w:r>
      <w:r>
        <w:rPr>
          <w:rFonts w:hint="default" w:ascii="Times New Roman" w:hAnsi="Times New Roman" w:cs="Times New Roman"/>
          <w:b/>
          <w:bCs/>
          <w:sz w:val="24"/>
          <w:szCs w:val="24"/>
        </w:rPr>
        <w:t xml:space="preserve"> of Research Questions</w:t>
      </w:r>
    </w:p>
    <w:p w14:paraId="0041F38B">
      <w:pPr>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Research Question One</w:t>
      </w:r>
    </w:p>
    <w:p w14:paraId="7D28D364">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How are AI tools currently being used by researchers and students in Cross River State for research assistance?</w:t>
      </w:r>
    </w:p>
    <w:p w14:paraId="328BEEF1">
      <w:pP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br w:type="page"/>
      </w:r>
    </w:p>
    <w:p w14:paraId="47157147">
      <w:pPr>
        <w:rPr>
          <w:rFonts w:hint="default"/>
        </w:rPr>
      </w:pPr>
    </w:p>
    <w:p w14:paraId="22429081">
      <w:pPr>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Table 1</w:t>
      </w:r>
      <w:r>
        <w:rPr>
          <w:rFonts w:hint="default" w:ascii="Times New Roman" w:hAnsi="Times New Roman" w:cs="Times New Roman"/>
          <w:b/>
          <w:bCs/>
          <w:sz w:val="24"/>
          <w:szCs w:val="24"/>
          <w:lang w:val="en-GB"/>
        </w:rPr>
        <w:t>:</w:t>
      </w:r>
      <w:r>
        <w:rPr>
          <w:rFonts w:hint="default" w:ascii="Times New Roman" w:hAnsi="Times New Roman" w:cs="Times New Roman"/>
          <w:b/>
          <w:bCs/>
          <w:sz w:val="24"/>
          <w:szCs w:val="24"/>
        </w:rPr>
        <w:t xml:space="preserve"> Distribution of AI Tools Used by Librarians, Students, and Researchers in Cross River State</w:t>
      </w:r>
    </w:p>
    <w:p w14:paraId="3B6B53F7">
      <w:pPr>
        <w:spacing w:after="0" w:line="360" w:lineRule="auto"/>
        <w:jc w:val="both"/>
        <w:rPr>
          <w:rFonts w:hint="default" w:ascii="Times New Roman" w:hAnsi="Times New Roman" w:cs="Times New Roman"/>
          <w:b/>
          <w:bCs/>
          <w:sz w:val="18"/>
          <w:szCs w:val="18"/>
        </w:rPr>
      </w:pPr>
    </w:p>
    <w:tbl>
      <w:tblPr>
        <w:tblStyle w:val="12"/>
        <w:tblW w:w="0" w:type="auto"/>
        <w:tblInd w:w="15"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50"/>
      </w:tblGrid>
      <w:tr w14:paraId="4088CC9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7650" w:type="dxa"/>
          </w:tcPr>
          <w:p w14:paraId="6AEA7B4B">
            <w:pPr>
              <w:spacing w:after="0" w:line="240" w:lineRule="auto"/>
              <w:jc w:val="both"/>
              <w:rPr>
                <w:rFonts w:hint="default" w:ascii="Times New Roman" w:hAnsi="Times New Roman" w:cs="Times New Roman"/>
                <w:sz w:val="8"/>
                <w:szCs w:val="8"/>
              </w:rPr>
            </w:pPr>
          </w:p>
        </w:tc>
      </w:tr>
    </w:tbl>
    <w:p w14:paraId="6EAE5963">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(i) Librarians (n = 80)</w:t>
      </w:r>
    </w:p>
    <w:tbl>
      <w:tblPr>
        <w:tblStyle w:val="12"/>
        <w:tblW w:w="8325" w:type="dxa"/>
        <w:tblCellSpacing w:w="15" w:type="dxa"/>
        <w:tblInd w:w="0" w:type="dxa"/>
        <w:tblLayout w:type="autofit"/>
        <w:tblCellMar>
          <w:top w:w="15" w:type="dxa"/>
          <w:left w:w="15" w:type="dxa"/>
          <w:bottom w:w="15" w:type="dxa"/>
          <w:right w:w="15" w:type="dxa"/>
        </w:tblCellMar>
      </w:tblPr>
      <w:tblGrid>
        <w:gridCol w:w="2482"/>
        <w:gridCol w:w="3293"/>
        <w:gridCol w:w="2550"/>
      </w:tblGrid>
      <w:tr w14:paraId="5D6135E4">
        <w:tblPrEx>
          <w:tblCellMar>
            <w:top w:w="15" w:type="dxa"/>
            <w:left w:w="15" w:type="dxa"/>
            <w:bottom w:w="15" w:type="dxa"/>
            <w:right w:w="15" w:type="dxa"/>
          </w:tblCellMar>
        </w:tblPrEx>
        <w:trPr>
          <w:tblCellSpacing w:w="15" w:type="dxa"/>
        </w:trPr>
        <w:tc>
          <w:tcPr>
            <w:tcW w:w="0" w:type="auto"/>
            <w:tcBorders>
              <w:top w:val="single" w:color="auto" w:sz="4" w:space="0"/>
            </w:tcBorders>
            <w:vAlign w:val="center"/>
          </w:tcPr>
          <w:p w14:paraId="31A81178">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AI Tool</w:t>
            </w:r>
          </w:p>
        </w:tc>
        <w:tc>
          <w:tcPr>
            <w:tcW w:w="3263" w:type="dxa"/>
            <w:tcBorders>
              <w:top w:val="single" w:color="auto" w:sz="4" w:space="0"/>
            </w:tcBorders>
            <w:vAlign w:val="center"/>
          </w:tcPr>
          <w:p w14:paraId="17B2EEA8">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Frequency of Use</w:t>
            </w:r>
          </w:p>
        </w:tc>
        <w:tc>
          <w:tcPr>
            <w:tcW w:w="2505" w:type="dxa"/>
            <w:tcBorders>
              <w:top w:val="single" w:color="auto" w:sz="4" w:space="0"/>
            </w:tcBorders>
            <w:vAlign w:val="center"/>
          </w:tcPr>
          <w:p w14:paraId="467A5023">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Percentage (%)</w:t>
            </w:r>
          </w:p>
        </w:tc>
      </w:tr>
      <w:tr w14:paraId="38902C2E">
        <w:tblPrEx>
          <w:tblCellMar>
            <w:top w:w="15" w:type="dxa"/>
            <w:left w:w="15" w:type="dxa"/>
            <w:bottom w:w="15" w:type="dxa"/>
            <w:right w:w="15" w:type="dxa"/>
          </w:tblCellMar>
        </w:tblPrEx>
        <w:trPr>
          <w:tblCellSpacing w:w="15" w:type="dxa"/>
        </w:trPr>
        <w:tc>
          <w:tcPr>
            <w:tcW w:w="0" w:type="auto"/>
            <w:vAlign w:val="center"/>
          </w:tcPr>
          <w:p w14:paraId="755D4A3C">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Grammarly</w:t>
            </w:r>
          </w:p>
        </w:tc>
        <w:tc>
          <w:tcPr>
            <w:tcW w:w="3263" w:type="dxa"/>
            <w:vAlign w:val="center"/>
          </w:tcPr>
          <w:p w14:paraId="16F5DAE8">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22</w:t>
            </w:r>
          </w:p>
        </w:tc>
        <w:tc>
          <w:tcPr>
            <w:tcW w:w="2505" w:type="dxa"/>
            <w:vAlign w:val="center"/>
          </w:tcPr>
          <w:p w14:paraId="70DBBA8A">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27.5%</w:t>
            </w:r>
          </w:p>
        </w:tc>
      </w:tr>
      <w:tr w14:paraId="2D51C10E">
        <w:tblPrEx>
          <w:tblCellMar>
            <w:top w:w="15" w:type="dxa"/>
            <w:left w:w="15" w:type="dxa"/>
            <w:bottom w:w="15" w:type="dxa"/>
            <w:right w:w="15" w:type="dxa"/>
          </w:tblCellMar>
        </w:tblPrEx>
        <w:trPr>
          <w:tblCellSpacing w:w="15" w:type="dxa"/>
        </w:trPr>
        <w:tc>
          <w:tcPr>
            <w:tcW w:w="0" w:type="auto"/>
            <w:vAlign w:val="center"/>
          </w:tcPr>
          <w:p w14:paraId="0DFBB7DB">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Turnitin</w:t>
            </w:r>
          </w:p>
        </w:tc>
        <w:tc>
          <w:tcPr>
            <w:tcW w:w="3263" w:type="dxa"/>
            <w:vAlign w:val="center"/>
          </w:tcPr>
          <w:p w14:paraId="0CC9098E">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20</w:t>
            </w:r>
          </w:p>
        </w:tc>
        <w:tc>
          <w:tcPr>
            <w:tcW w:w="2505" w:type="dxa"/>
            <w:vAlign w:val="center"/>
          </w:tcPr>
          <w:p w14:paraId="17803A85">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25.0%</w:t>
            </w:r>
          </w:p>
        </w:tc>
      </w:tr>
      <w:tr w14:paraId="7B73ACBD">
        <w:tblPrEx>
          <w:tblCellMar>
            <w:top w:w="15" w:type="dxa"/>
            <w:left w:w="15" w:type="dxa"/>
            <w:bottom w:w="15" w:type="dxa"/>
            <w:right w:w="15" w:type="dxa"/>
          </w:tblCellMar>
        </w:tblPrEx>
        <w:trPr>
          <w:tblCellSpacing w:w="15" w:type="dxa"/>
        </w:trPr>
        <w:tc>
          <w:tcPr>
            <w:tcW w:w="0" w:type="auto"/>
            <w:vAlign w:val="center"/>
          </w:tcPr>
          <w:p w14:paraId="34680D87">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ChatGPT</w:t>
            </w:r>
          </w:p>
        </w:tc>
        <w:tc>
          <w:tcPr>
            <w:tcW w:w="3263" w:type="dxa"/>
            <w:vAlign w:val="center"/>
          </w:tcPr>
          <w:p w14:paraId="16DBCCE9">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18</w:t>
            </w:r>
          </w:p>
        </w:tc>
        <w:tc>
          <w:tcPr>
            <w:tcW w:w="2505" w:type="dxa"/>
            <w:vAlign w:val="center"/>
          </w:tcPr>
          <w:p w14:paraId="0950CA75">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22.5%</w:t>
            </w:r>
          </w:p>
        </w:tc>
      </w:tr>
      <w:tr w14:paraId="3B346B33">
        <w:tblPrEx>
          <w:tblCellMar>
            <w:top w:w="15" w:type="dxa"/>
            <w:left w:w="15" w:type="dxa"/>
            <w:bottom w:w="15" w:type="dxa"/>
            <w:right w:w="15" w:type="dxa"/>
          </w:tblCellMar>
        </w:tblPrEx>
        <w:trPr>
          <w:tblCellSpacing w:w="15" w:type="dxa"/>
        </w:trPr>
        <w:tc>
          <w:tcPr>
            <w:tcW w:w="0" w:type="auto"/>
            <w:vAlign w:val="center"/>
          </w:tcPr>
          <w:p w14:paraId="1FB6BE61">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Google Bard</w:t>
            </w:r>
          </w:p>
        </w:tc>
        <w:tc>
          <w:tcPr>
            <w:tcW w:w="3263" w:type="dxa"/>
            <w:vAlign w:val="center"/>
          </w:tcPr>
          <w:p w14:paraId="40B2627C">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10</w:t>
            </w:r>
          </w:p>
        </w:tc>
        <w:tc>
          <w:tcPr>
            <w:tcW w:w="2505" w:type="dxa"/>
            <w:vAlign w:val="center"/>
          </w:tcPr>
          <w:p w14:paraId="16790152">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12.5%</w:t>
            </w:r>
          </w:p>
        </w:tc>
      </w:tr>
      <w:tr w14:paraId="2AE17DC2">
        <w:tblPrEx>
          <w:tblCellMar>
            <w:top w:w="15" w:type="dxa"/>
            <w:left w:w="15" w:type="dxa"/>
            <w:bottom w:w="15" w:type="dxa"/>
            <w:right w:w="15" w:type="dxa"/>
          </w:tblCellMar>
        </w:tblPrEx>
        <w:trPr>
          <w:tblCellSpacing w:w="15" w:type="dxa"/>
        </w:trPr>
        <w:tc>
          <w:tcPr>
            <w:tcW w:w="0" w:type="auto"/>
            <w:vAlign w:val="center"/>
          </w:tcPr>
          <w:p w14:paraId="65015725">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Elicit</w:t>
            </w:r>
          </w:p>
        </w:tc>
        <w:tc>
          <w:tcPr>
            <w:tcW w:w="3263" w:type="dxa"/>
            <w:vAlign w:val="center"/>
          </w:tcPr>
          <w:p w14:paraId="7F791B8D">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6</w:t>
            </w:r>
          </w:p>
        </w:tc>
        <w:tc>
          <w:tcPr>
            <w:tcW w:w="2505" w:type="dxa"/>
            <w:vAlign w:val="center"/>
          </w:tcPr>
          <w:p w14:paraId="6422ECC0">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7.5%</w:t>
            </w:r>
          </w:p>
        </w:tc>
      </w:tr>
      <w:tr w14:paraId="0309763E">
        <w:tblPrEx>
          <w:tblCellMar>
            <w:top w:w="15" w:type="dxa"/>
            <w:left w:w="15" w:type="dxa"/>
            <w:bottom w:w="15" w:type="dxa"/>
            <w:right w:w="15" w:type="dxa"/>
          </w:tblCellMar>
        </w:tblPrEx>
        <w:trPr>
          <w:tblCellSpacing w:w="15" w:type="dxa"/>
        </w:trPr>
        <w:tc>
          <w:tcPr>
            <w:tcW w:w="0" w:type="auto"/>
            <w:vAlign w:val="center"/>
          </w:tcPr>
          <w:p w14:paraId="27A2468E">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Semantic Scholar</w:t>
            </w:r>
          </w:p>
        </w:tc>
        <w:tc>
          <w:tcPr>
            <w:tcW w:w="3263" w:type="dxa"/>
            <w:vAlign w:val="center"/>
          </w:tcPr>
          <w:p w14:paraId="17798F94">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4</w:t>
            </w:r>
          </w:p>
        </w:tc>
        <w:tc>
          <w:tcPr>
            <w:tcW w:w="2505" w:type="dxa"/>
            <w:vAlign w:val="center"/>
          </w:tcPr>
          <w:p w14:paraId="2D85DA03">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5.0%</w:t>
            </w:r>
          </w:p>
        </w:tc>
      </w:tr>
      <w:tr w14:paraId="14779280">
        <w:tblPrEx>
          <w:tblCellMar>
            <w:top w:w="15" w:type="dxa"/>
            <w:left w:w="15" w:type="dxa"/>
            <w:bottom w:w="15" w:type="dxa"/>
            <w:right w:w="15" w:type="dxa"/>
          </w:tblCellMar>
        </w:tblPrEx>
        <w:trPr>
          <w:tblCellSpacing w:w="15" w:type="dxa"/>
        </w:trPr>
        <w:tc>
          <w:tcPr>
            <w:tcW w:w="0" w:type="auto"/>
            <w:tcBorders>
              <w:bottom w:val="single" w:color="auto" w:sz="4" w:space="0"/>
            </w:tcBorders>
            <w:vAlign w:val="center"/>
          </w:tcPr>
          <w:p w14:paraId="1D09D123">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Total</w:t>
            </w:r>
          </w:p>
        </w:tc>
        <w:tc>
          <w:tcPr>
            <w:tcW w:w="3263" w:type="dxa"/>
            <w:tcBorders>
              <w:bottom w:val="single" w:color="auto" w:sz="4" w:space="0"/>
            </w:tcBorders>
            <w:vAlign w:val="center"/>
          </w:tcPr>
          <w:p w14:paraId="1CA8F06E">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80</w:t>
            </w:r>
          </w:p>
        </w:tc>
        <w:tc>
          <w:tcPr>
            <w:tcW w:w="2505" w:type="dxa"/>
            <w:tcBorders>
              <w:bottom w:val="single" w:color="auto" w:sz="4" w:space="0"/>
            </w:tcBorders>
            <w:vAlign w:val="center"/>
          </w:tcPr>
          <w:p w14:paraId="181C65BC">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100%</w:t>
            </w:r>
          </w:p>
        </w:tc>
      </w:tr>
    </w:tbl>
    <w:p w14:paraId="4A3BEAA0">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(ii) Students (n = 40)</w:t>
      </w:r>
    </w:p>
    <w:tbl>
      <w:tblPr>
        <w:tblStyle w:val="12"/>
        <w:tblW w:w="0" w:type="auto"/>
        <w:tblCellSpacing w:w="15" w:type="dxa"/>
        <w:tblInd w:w="0" w:type="dxa"/>
        <w:tblLayout w:type="autofit"/>
        <w:tblCellMar>
          <w:top w:w="15" w:type="dxa"/>
          <w:left w:w="15" w:type="dxa"/>
          <w:bottom w:w="15" w:type="dxa"/>
          <w:right w:w="15" w:type="dxa"/>
        </w:tblCellMar>
      </w:tblPr>
      <w:tblGrid>
        <w:gridCol w:w="2482"/>
        <w:gridCol w:w="2487"/>
        <w:gridCol w:w="2268"/>
      </w:tblGrid>
      <w:tr w14:paraId="4C254707">
        <w:tblPrEx>
          <w:tblCellMar>
            <w:top w:w="15" w:type="dxa"/>
            <w:left w:w="15" w:type="dxa"/>
            <w:bottom w:w="15" w:type="dxa"/>
            <w:right w:w="15" w:type="dxa"/>
          </w:tblCellMar>
        </w:tblPrEx>
        <w:trPr>
          <w:tblCellSpacing w:w="15" w:type="dxa"/>
        </w:trPr>
        <w:tc>
          <w:tcPr>
            <w:tcW w:w="0" w:type="auto"/>
            <w:tcBorders>
              <w:top w:val="single" w:color="auto" w:sz="4" w:space="0"/>
            </w:tcBorders>
            <w:vAlign w:val="center"/>
          </w:tcPr>
          <w:p w14:paraId="77A4E9D1">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AI Tool</w:t>
            </w:r>
          </w:p>
        </w:tc>
        <w:tc>
          <w:tcPr>
            <w:tcW w:w="0" w:type="auto"/>
            <w:tcBorders>
              <w:top w:val="single" w:color="auto" w:sz="4" w:space="0"/>
            </w:tcBorders>
            <w:vAlign w:val="center"/>
          </w:tcPr>
          <w:p w14:paraId="0CAAF422">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Frequency of Use</w:t>
            </w:r>
          </w:p>
        </w:tc>
        <w:tc>
          <w:tcPr>
            <w:tcW w:w="0" w:type="auto"/>
            <w:tcBorders>
              <w:top w:val="single" w:color="auto" w:sz="4" w:space="0"/>
            </w:tcBorders>
            <w:vAlign w:val="center"/>
          </w:tcPr>
          <w:p w14:paraId="156483E9">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Percentage (%)</w:t>
            </w:r>
          </w:p>
        </w:tc>
      </w:tr>
      <w:tr w14:paraId="0E9D3733">
        <w:tblPrEx>
          <w:tblCellMar>
            <w:top w:w="15" w:type="dxa"/>
            <w:left w:w="15" w:type="dxa"/>
            <w:bottom w:w="15" w:type="dxa"/>
            <w:right w:w="15" w:type="dxa"/>
          </w:tblCellMar>
        </w:tblPrEx>
        <w:trPr>
          <w:tblCellSpacing w:w="15" w:type="dxa"/>
        </w:trPr>
        <w:tc>
          <w:tcPr>
            <w:tcW w:w="0" w:type="auto"/>
            <w:vAlign w:val="center"/>
          </w:tcPr>
          <w:p w14:paraId="4D22B906">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ChatGPT</w:t>
            </w:r>
          </w:p>
        </w:tc>
        <w:tc>
          <w:tcPr>
            <w:tcW w:w="0" w:type="auto"/>
            <w:vAlign w:val="center"/>
          </w:tcPr>
          <w:p w14:paraId="48210115">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18</w:t>
            </w:r>
          </w:p>
        </w:tc>
        <w:tc>
          <w:tcPr>
            <w:tcW w:w="0" w:type="auto"/>
            <w:vAlign w:val="center"/>
          </w:tcPr>
          <w:p w14:paraId="35335DAB">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45.0%</w:t>
            </w:r>
          </w:p>
        </w:tc>
      </w:tr>
      <w:tr w14:paraId="2DC4DE9A">
        <w:tblPrEx>
          <w:tblCellMar>
            <w:top w:w="15" w:type="dxa"/>
            <w:left w:w="15" w:type="dxa"/>
            <w:bottom w:w="15" w:type="dxa"/>
            <w:right w:w="15" w:type="dxa"/>
          </w:tblCellMar>
        </w:tblPrEx>
        <w:trPr>
          <w:tblCellSpacing w:w="15" w:type="dxa"/>
        </w:trPr>
        <w:tc>
          <w:tcPr>
            <w:tcW w:w="0" w:type="auto"/>
            <w:vAlign w:val="center"/>
          </w:tcPr>
          <w:p w14:paraId="405B5D58">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Grammarly</w:t>
            </w:r>
          </w:p>
        </w:tc>
        <w:tc>
          <w:tcPr>
            <w:tcW w:w="0" w:type="auto"/>
            <w:vAlign w:val="center"/>
          </w:tcPr>
          <w:p w14:paraId="0C18CD31">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10</w:t>
            </w:r>
          </w:p>
        </w:tc>
        <w:tc>
          <w:tcPr>
            <w:tcW w:w="0" w:type="auto"/>
            <w:vAlign w:val="center"/>
          </w:tcPr>
          <w:p w14:paraId="2E848A92">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25.0%</w:t>
            </w:r>
          </w:p>
        </w:tc>
      </w:tr>
      <w:tr w14:paraId="6FFE82E0">
        <w:tblPrEx>
          <w:tblCellMar>
            <w:top w:w="15" w:type="dxa"/>
            <w:left w:w="15" w:type="dxa"/>
            <w:bottom w:w="15" w:type="dxa"/>
            <w:right w:w="15" w:type="dxa"/>
          </w:tblCellMar>
        </w:tblPrEx>
        <w:trPr>
          <w:tblCellSpacing w:w="15" w:type="dxa"/>
        </w:trPr>
        <w:tc>
          <w:tcPr>
            <w:tcW w:w="0" w:type="auto"/>
            <w:vAlign w:val="center"/>
          </w:tcPr>
          <w:p w14:paraId="749C926F">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Turnitin</w:t>
            </w:r>
          </w:p>
        </w:tc>
        <w:tc>
          <w:tcPr>
            <w:tcW w:w="0" w:type="auto"/>
            <w:vAlign w:val="center"/>
          </w:tcPr>
          <w:p w14:paraId="35AA9A05">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6</w:t>
            </w:r>
          </w:p>
        </w:tc>
        <w:tc>
          <w:tcPr>
            <w:tcW w:w="0" w:type="auto"/>
            <w:vAlign w:val="center"/>
          </w:tcPr>
          <w:p w14:paraId="6CE388A8">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15.0%</w:t>
            </w:r>
          </w:p>
        </w:tc>
      </w:tr>
      <w:tr w14:paraId="7FA83592">
        <w:tblPrEx>
          <w:tblCellMar>
            <w:top w:w="15" w:type="dxa"/>
            <w:left w:w="15" w:type="dxa"/>
            <w:bottom w:w="15" w:type="dxa"/>
            <w:right w:w="15" w:type="dxa"/>
          </w:tblCellMar>
        </w:tblPrEx>
        <w:trPr>
          <w:tblCellSpacing w:w="15" w:type="dxa"/>
        </w:trPr>
        <w:tc>
          <w:tcPr>
            <w:tcW w:w="0" w:type="auto"/>
            <w:vAlign w:val="center"/>
          </w:tcPr>
          <w:p w14:paraId="11EFB04E">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Google Bard</w:t>
            </w:r>
          </w:p>
        </w:tc>
        <w:tc>
          <w:tcPr>
            <w:tcW w:w="0" w:type="auto"/>
            <w:vAlign w:val="center"/>
          </w:tcPr>
          <w:p w14:paraId="334B6D97">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3</w:t>
            </w:r>
          </w:p>
        </w:tc>
        <w:tc>
          <w:tcPr>
            <w:tcW w:w="0" w:type="auto"/>
            <w:vAlign w:val="center"/>
          </w:tcPr>
          <w:p w14:paraId="6FB7F7BE">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7.5%</w:t>
            </w:r>
          </w:p>
        </w:tc>
      </w:tr>
      <w:tr w14:paraId="02CF06A9">
        <w:tblPrEx>
          <w:tblCellMar>
            <w:top w:w="15" w:type="dxa"/>
            <w:left w:w="15" w:type="dxa"/>
            <w:bottom w:w="15" w:type="dxa"/>
            <w:right w:w="15" w:type="dxa"/>
          </w:tblCellMar>
        </w:tblPrEx>
        <w:trPr>
          <w:tblCellSpacing w:w="15" w:type="dxa"/>
        </w:trPr>
        <w:tc>
          <w:tcPr>
            <w:tcW w:w="0" w:type="auto"/>
            <w:vAlign w:val="center"/>
          </w:tcPr>
          <w:p w14:paraId="731C247D">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Elicit</w:t>
            </w:r>
          </w:p>
        </w:tc>
        <w:tc>
          <w:tcPr>
            <w:tcW w:w="0" w:type="auto"/>
            <w:vAlign w:val="center"/>
          </w:tcPr>
          <w:p w14:paraId="19B0B265">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2</w:t>
            </w:r>
          </w:p>
        </w:tc>
        <w:tc>
          <w:tcPr>
            <w:tcW w:w="0" w:type="auto"/>
            <w:vAlign w:val="center"/>
          </w:tcPr>
          <w:p w14:paraId="2AB87E38">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5.0%</w:t>
            </w:r>
          </w:p>
        </w:tc>
      </w:tr>
      <w:tr w14:paraId="1993DD8C">
        <w:tblPrEx>
          <w:tblCellMar>
            <w:top w:w="15" w:type="dxa"/>
            <w:left w:w="15" w:type="dxa"/>
            <w:bottom w:w="15" w:type="dxa"/>
            <w:right w:w="15" w:type="dxa"/>
          </w:tblCellMar>
        </w:tblPrEx>
        <w:trPr>
          <w:tblCellSpacing w:w="15" w:type="dxa"/>
        </w:trPr>
        <w:tc>
          <w:tcPr>
            <w:tcW w:w="0" w:type="auto"/>
            <w:vAlign w:val="center"/>
          </w:tcPr>
          <w:p w14:paraId="5B3F2C7A">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Semantic Scholar</w:t>
            </w:r>
          </w:p>
        </w:tc>
        <w:tc>
          <w:tcPr>
            <w:tcW w:w="0" w:type="auto"/>
            <w:vAlign w:val="center"/>
          </w:tcPr>
          <w:p w14:paraId="219A2F2C">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w:t>
            </w:r>
          </w:p>
        </w:tc>
        <w:tc>
          <w:tcPr>
            <w:tcW w:w="0" w:type="auto"/>
            <w:vAlign w:val="center"/>
          </w:tcPr>
          <w:p w14:paraId="33107637">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2.5%</w:t>
            </w:r>
          </w:p>
        </w:tc>
      </w:tr>
      <w:tr w14:paraId="79B6E996">
        <w:tblPrEx>
          <w:tblCellMar>
            <w:top w:w="15" w:type="dxa"/>
            <w:left w:w="15" w:type="dxa"/>
            <w:bottom w:w="15" w:type="dxa"/>
            <w:right w:w="15" w:type="dxa"/>
          </w:tblCellMar>
        </w:tblPrEx>
        <w:trPr>
          <w:tblCellSpacing w:w="15" w:type="dxa"/>
        </w:trPr>
        <w:tc>
          <w:tcPr>
            <w:tcW w:w="0" w:type="auto"/>
            <w:tcBorders>
              <w:bottom w:val="single" w:color="auto" w:sz="4" w:space="0"/>
            </w:tcBorders>
            <w:vAlign w:val="center"/>
          </w:tcPr>
          <w:p w14:paraId="58A6F4DC">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Total</w:t>
            </w:r>
          </w:p>
        </w:tc>
        <w:tc>
          <w:tcPr>
            <w:tcW w:w="0" w:type="auto"/>
            <w:tcBorders>
              <w:bottom w:val="single" w:color="auto" w:sz="4" w:space="0"/>
            </w:tcBorders>
            <w:vAlign w:val="center"/>
          </w:tcPr>
          <w:p w14:paraId="180C942F">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40</w:t>
            </w:r>
          </w:p>
        </w:tc>
        <w:tc>
          <w:tcPr>
            <w:tcW w:w="0" w:type="auto"/>
            <w:tcBorders>
              <w:bottom w:val="single" w:color="auto" w:sz="4" w:space="0"/>
            </w:tcBorders>
            <w:vAlign w:val="center"/>
          </w:tcPr>
          <w:p w14:paraId="359D9702">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100%</w:t>
            </w:r>
          </w:p>
        </w:tc>
      </w:tr>
    </w:tbl>
    <w:p w14:paraId="792C12BB">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(iii) Researchers (n = 40)</w:t>
      </w:r>
    </w:p>
    <w:tbl>
      <w:tblPr>
        <w:tblStyle w:val="12"/>
        <w:tblW w:w="0" w:type="auto"/>
        <w:tblCellSpacing w:w="15" w:type="dxa"/>
        <w:tblInd w:w="0" w:type="dxa"/>
        <w:tblLayout w:type="autofit"/>
        <w:tblCellMar>
          <w:top w:w="15" w:type="dxa"/>
          <w:left w:w="15" w:type="dxa"/>
          <w:bottom w:w="15" w:type="dxa"/>
          <w:right w:w="15" w:type="dxa"/>
        </w:tblCellMar>
      </w:tblPr>
      <w:tblGrid>
        <w:gridCol w:w="2482"/>
        <w:gridCol w:w="2487"/>
        <w:gridCol w:w="2268"/>
      </w:tblGrid>
      <w:tr w14:paraId="47884C7A">
        <w:tblPrEx>
          <w:tblCellMar>
            <w:top w:w="15" w:type="dxa"/>
            <w:left w:w="15" w:type="dxa"/>
            <w:bottom w:w="15" w:type="dxa"/>
            <w:right w:w="15" w:type="dxa"/>
          </w:tblCellMar>
        </w:tblPrEx>
        <w:trPr>
          <w:tblCellSpacing w:w="15" w:type="dxa"/>
        </w:trPr>
        <w:tc>
          <w:tcPr>
            <w:tcW w:w="0" w:type="auto"/>
            <w:tcBorders>
              <w:top w:val="single" w:color="auto" w:sz="4" w:space="0"/>
            </w:tcBorders>
            <w:vAlign w:val="center"/>
          </w:tcPr>
          <w:p w14:paraId="2AD777DC">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AI Tool</w:t>
            </w:r>
          </w:p>
        </w:tc>
        <w:tc>
          <w:tcPr>
            <w:tcW w:w="0" w:type="auto"/>
            <w:tcBorders>
              <w:top w:val="single" w:color="auto" w:sz="4" w:space="0"/>
            </w:tcBorders>
            <w:vAlign w:val="center"/>
          </w:tcPr>
          <w:p w14:paraId="271E0A5D">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Frequency of Use</w:t>
            </w:r>
          </w:p>
        </w:tc>
        <w:tc>
          <w:tcPr>
            <w:tcW w:w="0" w:type="auto"/>
            <w:tcBorders>
              <w:top w:val="single" w:color="auto" w:sz="4" w:space="0"/>
            </w:tcBorders>
            <w:vAlign w:val="center"/>
          </w:tcPr>
          <w:p w14:paraId="46806AA6">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Percentage (%)</w:t>
            </w:r>
          </w:p>
        </w:tc>
      </w:tr>
      <w:tr w14:paraId="0AD7B259">
        <w:tblPrEx>
          <w:tblCellMar>
            <w:top w:w="15" w:type="dxa"/>
            <w:left w:w="15" w:type="dxa"/>
            <w:bottom w:w="15" w:type="dxa"/>
            <w:right w:w="15" w:type="dxa"/>
          </w:tblCellMar>
        </w:tblPrEx>
        <w:trPr>
          <w:tblCellSpacing w:w="15" w:type="dxa"/>
        </w:trPr>
        <w:tc>
          <w:tcPr>
            <w:tcW w:w="0" w:type="auto"/>
            <w:vAlign w:val="center"/>
          </w:tcPr>
          <w:p w14:paraId="52EACCEB">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ChatGPT</w:t>
            </w:r>
          </w:p>
        </w:tc>
        <w:tc>
          <w:tcPr>
            <w:tcW w:w="0" w:type="auto"/>
            <w:vAlign w:val="center"/>
          </w:tcPr>
          <w:p w14:paraId="14C44318">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15</w:t>
            </w:r>
          </w:p>
        </w:tc>
        <w:tc>
          <w:tcPr>
            <w:tcW w:w="0" w:type="auto"/>
            <w:vAlign w:val="center"/>
          </w:tcPr>
          <w:p w14:paraId="484E9C87">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37.5%</w:t>
            </w:r>
          </w:p>
        </w:tc>
      </w:tr>
      <w:tr w14:paraId="00707FA0">
        <w:tblPrEx>
          <w:tblCellMar>
            <w:top w:w="15" w:type="dxa"/>
            <w:left w:w="15" w:type="dxa"/>
            <w:bottom w:w="15" w:type="dxa"/>
            <w:right w:w="15" w:type="dxa"/>
          </w:tblCellMar>
        </w:tblPrEx>
        <w:trPr>
          <w:tblCellSpacing w:w="15" w:type="dxa"/>
        </w:trPr>
        <w:tc>
          <w:tcPr>
            <w:tcW w:w="0" w:type="auto"/>
            <w:vAlign w:val="center"/>
          </w:tcPr>
          <w:p w14:paraId="0FE1C8DE">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Elicit</w:t>
            </w:r>
          </w:p>
        </w:tc>
        <w:tc>
          <w:tcPr>
            <w:tcW w:w="0" w:type="auto"/>
            <w:vAlign w:val="center"/>
          </w:tcPr>
          <w:p w14:paraId="63E39987">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9</w:t>
            </w:r>
          </w:p>
        </w:tc>
        <w:tc>
          <w:tcPr>
            <w:tcW w:w="0" w:type="auto"/>
            <w:vAlign w:val="center"/>
          </w:tcPr>
          <w:p w14:paraId="2D85C8AE">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22.5%</w:t>
            </w:r>
          </w:p>
        </w:tc>
      </w:tr>
      <w:tr w14:paraId="426329BC">
        <w:tblPrEx>
          <w:tblCellMar>
            <w:top w:w="15" w:type="dxa"/>
            <w:left w:w="15" w:type="dxa"/>
            <w:bottom w:w="15" w:type="dxa"/>
            <w:right w:w="15" w:type="dxa"/>
          </w:tblCellMar>
        </w:tblPrEx>
        <w:trPr>
          <w:tblCellSpacing w:w="15" w:type="dxa"/>
        </w:trPr>
        <w:tc>
          <w:tcPr>
            <w:tcW w:w="0" w:type="auto"/>
            <w:vAlign w:val="center"/>
          </w:tcPr>
          <w:p w14:paraId="76DCCA61">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Semantic Scholar</w:t>
            </w:r>
          </w:p>
        </w:tc>
        <w:tc>
          <w:tcPr>
            <w:tcW w:w="0" w:type="auto"/>
            <w:vAlign w:val="center"/>
          </w:tcPr>
          <w:p w14:paraId="0F4CE05B">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6</w:t>
            </w:r>
          </w:p>
        </w:tc>
        <w:tc>
          <w:tcPr>
            <w:tcW w:w="0" w:type="auto"/>
            <w:vAlign w:val="center"/>
          </w:tcPr>
          <w:p w14:paraId="1347BE7B">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15.0%</w:t>
            </w:r>
          </w:p>
        </w:tc>
      </w:tr>
      <w:tr w14:paraId="354801BD">
        <w:tblPrEx>
          <w:tblCellMar>
            <w:top w:w="15" w:type="dxa"/>
            <w:left w:w="15" w:type="dxa"/>
            <w:bottom w:w="15" w:type="dxa"/>
            <w:right w:w="15" w:type="dxa"/>
          </w:tblCellMar>
        </w:tblPrEx>
        <w:trPr>
          <w:tblCellSpacing w:w="15" w:type="dxa"/>
        </w:trPr>
        <w:tc>
          <w:tcPr>
            <w:tcW w:w="0" w:type="auto"/>
            <w:vAlign w:val="center"/>
          </w:tcPr>
          <w:p w14:paraId="7144DBD9">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Grammarly</w:t>
            </w:r>
          </w:p>
        </w:tc>
        <w:tc>
          <w:tcPr>
            <w:tcW w:w="0" w:type="auto"/>
            <w:vAlign w:val="center"/>
          </w:tcPr>
          <w:p w14:paraId="79B309C4">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5</w:t>
            </w:r>
          </w:p>
        </w:tc>
        <w:tc>
          <w:tcPr>
            <w:tcW w:w="0" w:type="auto"/>
            <w:vAlign w:val="center"/>
          </w:tcPr>
          <w:p w14:paraId="648AA0CF">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12.5%</w:t>
            </w:r>
          </w:p>
        </w:tc>
      </w:tr>
      <w:tr w14:paraId="5C96D525">
        <w:tblPrEx>
          <w:tblCellMar>
            <w:top w:w="15" w:type="dxa"/>
            <w:left w:w="15" w:type="dxa"/>
            <w:bottom w:w="15" w:type="dxa"/>
            <w:right w:w="15" w:type="dxa"/>
          </w:tblCellMar>
        </w:tblPrEx>
        <w:trPr>
          <w:tblCellSpacing w:w="15" w:type="dxa"/>
        </w:trPr>
        <w:tc>
          <w:tcPr>
            <w:tcW w:w="0" w:type="auto"/>
            <w:vAlign w:val="center"/>
          </w:tcPr>
          <w:p w14:paraId="26776FA7">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Turnitin</w:t>
            </w:r>
          </w:p>
        </w:tc>
        <w:tc>
          <w:tcPr>
            <w:tcW w:w="0" w:type="auto"/>
            <w:vAlign w:val="center"/>
          </w:tcPr>
          <w:p w14:paraId="4F0311CA">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3</w:t>
            </w:r>
          </w:p>
        </w:tc>
        <w:tc>
          <w:tcPr>
            <w:tcW w:w="0" w:type="auto"/>
            <w:vAlign w:val="center"/>
          </w:tcPr>
          <w:p w14:paraId="43CE4E18">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7.5%</w:t>
            </w:r>
          </w:p>
        </w:tc>
      </w:tr>
      <w:tr w14:paraId="7D0CEA6F">
        <w:tblPrEx>
          <w:tblCellMar>
            <w:top w:w="15" w:type="dxa"/>
            <w:left w:w="15" w:type="dxa"/>
            <w:bottom w:w="15" w:type="dxa"/>
            <w:right w:w="15" w:type="dxa"/>
          </w:tblCellMar>
        </w:tblPrEx>
        <w:trPr>
          <w:tblCellSpacing w:w="15" w:type="dxa"/>
        </w:trPr>
        <w:tc>
          <w:tcPr>
            <w:tcW w:w="0" w:type="auto"/>
            <w:vAlign w:val="center"/>
          </w:tcPr>
          <w:p w14:paraId="217BD1E6">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Google Bard</w:t>
            </w:r>
          </w:p>
        </w:tc>
        <w:tc>
          <w:tcPr>
            <w:tcW w:w="0" w:type="auto"/>
            <w:vAlign w:val="center"/>
          </w:tcPr>
          <w:p w14:paraId="263015C9">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2</w:t>
            </w:r>
          </w:p>
        </w:tc>
        <w:tc>
          <w:tcPr>
            <w:tcW w:w="0" w:type="auto"/>
            <w:vAlign w:val="center"/>
          </w:tcPr>
          <w:p w14:paraId="1DC08076">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5.0%</w:t>
            </w:r>
          </w:p>
        </w:tc>
      </w:tr>
      <w:tr w14:paraId="4655100C">
        <w:tblPrEx>
          <w:tblCellMar>
            <w:top w:w="15" w:type="dxa"/>
            <w:left w:w="15" w:type="dxa"/>
            <w:bottom w:w="15" w:type="dxa"/>
            <w:right w:w="15" w:type="dxa"/>
          </w:tblCellMar>
        </w:tblPrEx>
        <w:trPr>
          <w:tblCellSpacing w:w="15" w:type="dxa"/>
        </w:trPr>
        <w:tc>
          <w:tcPr>
            <w:tcW w:w="0" w:type="auto"/>
            <w:tcBorders>
              <w:bottom w:val="single" w:color="auto" w:sz="4" w:space="0"/>
            </w:tcBorders>
            <w:vAlign w:val="center"/>
          </w:tcPr>
          <w:p w14:paraId="738A8DAC">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Total</w:t>
            </w:r>
          </w:p>
        </w:tc>
        <w:tc>
          <w:tcPr>
            <w:tcW w:w="0" w:type="auto"/>
            <w:tcBorders>
              <w:bottom w:val="single" w:color="auto" w:sz="4" w:space="0"/>
            </w:tcBorders>
            <w:vAlign w:val="center"/>
          </w:tcPr>
          <w:p w14:paraId="2569E850">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40</w:t>
            </w:r>
          </w:p>
        </w:tc>
        <w:tc>
          <w:tcPr>
            <w:tcW w:w="0" w:type="auto"/>
            <w:tcBorders>
              <w:bottom w:val="single" w:color="auto" w:sz="4" w:space="0"/>
            </w:tcBorders>
            <w:vAlign w:val="center"/>
          </w:tcPr>
          <w:p w14:paraId="6B01FD08">
            <w:pPr>
              <w:spacing w:after="0" w:line="24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100%</w:t>
            </w:r>
          </w:p>
        </w:tc>
      </w:tr>
    </w:tbl>
    <w:p w14:paraId="485564D1">
      <w:pPr>
        <w:spacing w:after="0" w:line="360" w:lineRule="auto"/>
        <w:ind w:firstLine="720"/>
        <w:jc w:val="both"/>
        <w:rPr>
          <w:rFonts w:hint="default" w:ascii="Times New Roman" w:hAnsi="Times New Roman" w:cs="Times New Roman"/>
          <w:b/>
          <w:bCs/>
          <w:sz w:val="24"/>
          <w:szCs w:val="24"/>
        </w:rPr>
      </w:pPr>
    </w:p>
    <w:p w14:paraId="0F097235">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The disaggregated presentation in Table 1 provides a clearer and more methodologically appropriate understanding of AI tool usage among librarians, students, and researchers in Cross River State. The separation of respondents into distinct categories addresses the methodological concern that each group performs different academic roles and therefore engages AI tools for different purposes and intensities.</w:t>
      </w:r>
    </w:p>
    <w:p w14:paraId="786F0B48">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Among librarians (n = 80), Grammarly (27.5%) and Turnitin (25.0%) are the most frequently used AI tools. This indicates that librarians predominantly utilize AI for editing support, plagiarism detection, and quality assurance functions. ChatGPT (22.5%) is moderately used, suggesting a cautious but growing engagement with generative AI for reference support and information clarification rather than content creation. In contrast, Elicit (7.5%) and Semantic Scholar (5.0%) record low usage, reflecting limited integration of advanced research discovery tools into library workflows.</w:t>
      </w:r>
    </w:p>
    <w:p w14:paraId="5710B38E">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Among students (n = 40), ChatGPT dominates usage at 45.0%, indicating strong dependence on generative AI tools for assignment writing, summarization, idea generation, and quick academic assistance. Grammarly (25.0%) follows, reflecting students’ concern with grammar accuracy and presentation quality. However, the very low usage of Elicit (5.0%) and Semantic Scholar (2.5%) suggests limited exposure to specialized academic research tools, likely due to inadequate training, low awareness, or lack of structured library instruction on advanced research databases.</w:t>
      </w:r>
    </w:p>
    <w:p w14:paraId="36C525BA">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Among researchers (n = 40), AI usage is more balanced and academically oriented. ChatGPT (37.5%) remains the most used tool, but Elicit (22.5%) and Semantic Scholar (15.0%) show significantly higher usage compared to other groups. This reflects a stronger orientation toward literature exploration, research synthesis, and scholarly inquiry. Grammarly (12.5%) and Turnitin (7.5%) are moderately used, indicating continued emphasis on writing quality and academic integrity.</w:t>
      </w:r>
    </w:p>
    <w:p w14:paraId="444533ED">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 cross-group comparison reveals a clear role-based pattern of AI adoption. Students exhibit the highest dependence on generative AI tools, particularly ChatGPT, indicating task-oriented and convenience-driven usage. Librarians demonstrate a more controlled and evaluative usage pattern, focusing on writing refinement and plagiarism detection tools. Researchers, on the other hand, show a more balanced and research-intensive use of AI tools, combining generative, analytical, and scholarly platforms.</w:t>
      </w:r>
    </w:p>
    <w:p w14:paraId="2DE5DF65">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This pattern suggests that AI adoption in academic libraries in Cross River State is not uniform but strongly influenced by users’ academic roles and research responsibilities. It also indicates that AI tools are being used in a fragmented manner rather than as part of an integrated institutional research support system.</w:t>
      </w:r>
    </w:p>
    <w:p w14:paraId="66B7E66D">
      <w:pPr>
        <w:spacing w:after="0" w:line="360" w:lineRule="auto"/>
        <w:jc w:val="both"/>
        <w:rPr>
          <w:rFonts w:hint="default" w:ascii="Times New Roman" w:hAnsi="Times New Roman" w:cs="Times New Roman"/>
          <w:sz w:val="24"/>
          <w:szCs w:val="24"/>
        </w:rPr>
      </w:pPr>
    </w:p>
    <w:p w14:paraId="380FE167">
      <w:pPr>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Research Question Two</w:t>
      </w:r>
    </w:p>
    <w:p w14:paraId="54470548">
      <w:pPr>
        <w:spacing w:after="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What is the perception of academic librarians towards AI integration in research assistance?</w:t>
      </w:r>
    </w:p>
    <w:p w14:paraId="43A28554">
      <w:pPr>
        <w:pStyle w:val="4"/>
        <w:keepNext w:val="0"/>
        <w:keepLines w:val="0"/>
        <w:spacing w:before="0" w:after="0" w:line="360" w:lineRule="auto"/>
        <w:ind w:left="1440" w:hanging="1440"/>
        <w:jc w:val="both"/>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lang w:val="en-GB"/>
        </w:rPr>
        <w:t>Table 2:</w:t>
      </w:r>
      <w:r>
        <w:rPr>
          <w:rFonts w:hint="default" w:ascii="Times New Roman" w:hAnsi="Times New Roman" w:cs="Times New Roman"/>
          <w:b/>
          <w:bCs/>
          <w:color w:val="auto"/>
          <w:sz w:val="24"/>
          <w:szCs w:val="24"/>
          <w:lang w:val="en-GB"/>
        </w:rPr>
        <w:t xml:space="preserve"> </w:t>
      </w:r>
      <w:r>
        <w:rPr>
          <w:rFonts w:hint="default" w:ascii="Times New Roman" w:hAnsi="Times New Roman" w:cs="Times New Roman"/>
          <w:b/>
          <w:bCs/>
          <w:color w:val="auto"/>
          <w:sz w:val="24"/>
          <w:szCs w:val="24"/>
          <w:lang w:val="en-GB"/>
        </w:rPr>
        <w:tab/>
      </w:r>
      <w:r>
        <w:rPr>
          <w:rFonts w:hint="default" w:ascii="Times New Roman" w:hAnsi="Times New Roman" w:cs="Times New Roman"/>
          <w:b/>
          <w:bCs/>
          <w:color w:val="auto"/>
          <w:sz w:val="24"/>
          <w:szCs w:val="24"/>
          <w:lang w:val="en-GB"/>
        </w:rPr>
        <w:t xml:space="preserve">Data </w:t>
      </w:r>
      <w:r>
        <w:rPr>
          <w:rStyle w:val="18"/>
          <w:rFonts w:hint="default" w:ascii="Times New Roman" w:hAnsi="Times New Roman" w:cs="Times New Roman"/>
          <w:b/>
          <w:bCs/>
          <w:color w:val="auto"/>
          <w:sz w:val="24"/>
          <w:szCs w:val="24"/>
        </w:rPr>
        <w:t>presentation and analysis</w:t>
      </w:r>
      <w:r>
        <w:rPr>
          <w:rFonts w:hint="default" w:ascii="Times New Roman" w:hAnsi="Times New Roman" w:cs="Times New Roman"/>
          <w:b/>
          <w:bCs/>
          <w:color w:val="auto"/>
          <w:sz w:val="24"/>
          <w:szCs w:val="24"/>
        </w:rPr>
        <w:t xml:space="preserve"> of academic librarians’ perceptions toward AI integration in research assistance (Likert Scale Responses</w:t>
      </w:r>
      <w:r>
        <w:rPr>
          <w:rFonts w:hint="default" w:ascii="Times New Roman" w:hAnsi="Times New Roman" w:cs="Times New Roman"/>
          <w:b/>
          <w:bCs/>
          <w:color w:val="auto"/>
          <w:sz w:val="24"/>
          <w:szCs w:val="24"/>
          <w:lang w:val="en-GB"/>
        </w:rPr>
        <w:t xml:space="preserve"> of </w:t>
      </w:r>
      <w:r>
        <w:rPr>
          <w:rFonts w:hint="default" w:ascii="Times New Roman" w:hAnsi="Times New Roman" w:cs="Times New Roman"/>
          <w:b/>
          <w:bCs/>
          <w:color w:val="auto"/>
          <w:sz w:val="24"/>
          <w:szCs w:val="24"/>
        </w:rPr>
        <w:t>sample size: 120 respondents</w:t>
      </w:r>
    </w:p>
    <w:tbl>
      <w:tblPr>
        <w:tblStyle w:val="20"/>
        <w:tblW w:w="11100" w:type="dxa"/>
        <w:tblInd w:w="-47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49"/>
        <w:gridCol w:w="1276"/>
        <w:gridCol w:w="1320"/>
        <w:gridCol w:w="1368"/>
        <w:gridCol w:w="1286"/>
        <w:gridCol w:w="1450"/>
        <w:gridCol w:w="951"/>
      </w:tblGrid>
      <w:tr w14:paraId="56B030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449" w:type="dxa"/>
            <w:tcBorders>
              <w:top w:val="single" w:color="auto" w:sz="4" w:space="0"/>
              <w:bottom w:val="single" w:color="auto" w:sz="4" w:space="0"/>
            </w:tcBorders>
          </w:tcPr>
          <w:p w14:paraId="4CE1D01D">
            <w:pPr>
              <w:pStyle w:val="17"/>
              <w:widowControl/>
              <w:spacing w:beforeAutospacing="0" w:afterAutospacing="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Statement</w:t>
            </w:r>
          </w:p>
        </w:tc>
        <w:tc>
          <w:tcPr>
            <w:tcW w:w="1276" w:type="dxa"/>
            <w:tcBorders>
              <w:top w:val="single" w:color="auto" w:sz="4" w:space="0"/>
              <w:bottom w:val="single" w:color="auto" w:sz="4" w:space="0"/>
            </w:tcBorders>
          </w:tcPr>
          <w:p w14:paraId="0DF9D842">
            <w:pPr>
              <w:pStyle w:val="17"/>
              <w:widowControl/>
              <w:spacing w:beforeAutospacing="0" w:afterAutospacing="0"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Strongly Agree (5)</w:t>
            </w:r>
          </w:p>
        </w:tc>
        <w:tc>
          <w:tcPr>
            <w:tcW w:w="1320" w:type="dxa"/>
            <w:tcBorders>
              <w:top w:val="single" w:color="auto" w:sz="4" w:space="0"/>
              <w:bottom w:val="single" w:color="auto" w:sz="4" w:space="0"/>
            </w:tcBorders>
          </w:tcPr>
          <w:p w14:paraId="44EA08C9">
            <w:pPr>
              <w:pStyle w:val="17"/>
              <w:widowControl/>
              <w:spacing w:beforeAutospacing="0" w:afterAutospacing="0"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Agree (4)</w:t>
            </w:r>
          </w:p>
        </w:tc>
        <w:tc>
          <w:tcPr>
            <w:tcW w:w="1368" w:type="dxa"/>
            <w:tcBorders>
              <w:top w:val="single" w:color="auto" w:sz="4" w:space="0"/>
              <w:bottom w:val="single" w:color="auto" w:sz="4" w:space="0"/>
            </w:tcBorders>
          </w:tcPr>
          <w:p w14:paraId="615FD252">
            <w:pPr>
              <w:pStyle w:val="17"/>
              <w:widowControl/>
              <w:spacing w:beforeAutospacing="0" w:afterAutospacing="0"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Neutral (3)</w:t>
            </w:r>
          </w:p>
        </w:tc>
        <w:tc>
          <w:tcPr>
            <w:tcW w:w="1286" w:type="dxa"/>
            <w:tcBorders>
              <w:top w:val="single" w:color="auto" w:sz="4" w:space="0"/>
              <w:bottom w:val="single" w:color="auto" w:sz="4" w:space="0"/>
            </w:tcBorders>
          </w:tcPr>
          <w:p w14:paraId="341482AF">
            <w:pPr>
              <w:pStyle w:val="17"/>
              <w:widowControl/>
              <w:spacing w:beforeAutospacing="0" w:afterAutospacing="0"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Disagree (2)</w:t>
            </w:r>
          </w:p>
        </w:tc>
        <w:tc>
          <w:tcPr>
            <w:tcW w:w="1450" w:type="dxa"/>
            <w:tcBorders>
              <w:top w:val="single" w:color="auto" w:sz="4" w:space="0"/>
              <w:bottom w:val="single" w:color="auto" w:sz="4" w:space="0"/>
            </w:tcBorders>
          </w:tcPr>
          <w:p w14:paraId="11E646D3">
            <w:pPr>
              <w:pStyle w:val="17"/>
              <w:widowControl/>
              <w:spacing w:beforeAutospacing="0" w:afterAutospacing="0"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Strongly Disagree (1)</w:t>
            </w:r>
          </w:p>
        </w:tc>
        <w:tc>
          <w:tcPr>
            <w:tcW w:w="951" w:type="dxa"/>
            <w:tcBorders>
              <w:top w:val="single" w:color="auto" w:sz="4" w:space="0"/>
              <w:bottom w:val="single" w:color="auto" w:sz="4" w:space="0"/>
            </w:tcBorders>
          </w:tcPr>
          <w:p w14:paraId="4A37B88F">
            <w:pPr>
              <w:pStyle w:val="17"/>
              <w:widowControl/>
              <w:spacing w:beforeAutospacing="0" w:afterAutospacing="0"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Mean Score</w:t>
            </w:r>
          </w:p>
        </w:tc>
      </w:tr>
      <w:tr w14:paraId="7CAC93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449" w:type="dxa"/>
            <w:tcBorders>
              <w:top w:val="single" w:color="auto" w:sz="4" w:space="0"/>
            </w:tcBorders>
          </w:tcPr>
          <w:p w14:paraId="4049FCD4">
            <w:pPr>
              <w:pStyle w:val="17"/>
              <w:widowControl/>
              <w:spacing w:beforeAutospacing="0" w:afterAutospacing="0"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AI can enhance research assistance</w:t>
            </w:r>
          </w:p>
        </w:tc>
        <w:tc>
          <w:tcPr>
            <w:tcW w:w="1276" w:type="dxa"/>
            <w:tcBorders>
              <w:top w:val="single" w:color="auto" w:sz="4" w:space="0"/>
            </w:tcBorders>
          </w:tcPr>
          <w:p w14:paraId="71751FC3">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40</w:t>
            </w:r>
          </w:p>
        </w:tc>
        <w:tc>
          <w:tcPr>
            <w:tcW w:w="1320" w:type="dxa"/>
            <w:tcBorders>
              <w:top w:val="single" w:color="auto" w:sz="4" w:space="0"/>
            </w:tcBorders>
          </w:tcPr>
          <w:p w14:paraId="3550785F">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40</w:t>
            </w:r>
          </w:p>
        </w:tc>
        <w:tc>
          <w:tcPr>
            <w:tcW w:w="1368" w:type="dxa"/>
            <w:tcBorders>
              <w:top w:val="single" w:color="auto" w:sz="4" w:space="0"/>
            </w:tcBorders>
          </w:tcPr>
          <w:p w14:paraId="6B26AA27">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15</w:t>
            </w:r>
          </w:p>
        </w:tc>
        <w:tc>
          <w:tcPr>
            <w:tcW w:w="1286" w:type="dxa"/>
            <w:tcBorders>
              <w:top w:val="single" w:color="auto" w:sz="4" w:space="0"/>
            </w:tcBorders>
          </w:tcPr>
          <w:p w14:paraId="455A8B9C">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10</w:t>
            </w:r>
          </w:p>
        </w:tc>
        <w:tc>
          <w:tcPr>
            <w:tcW w:w="1450" w:type="dxa"/>
            <w:tcBorders>
              <w:top w:val="single" w:color="auto" w:sz="4" w:space="0"/>
            </w:tcBorders>
          </w:tcPr>
          <w:p w14:paraId="3DAAB9D0">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5</w:t>
            </w:r>
          </w:p>
        </w:tc>
        <w:tc>
          <w:tcPr>
            <w:tcW w:w="951" w:type="dxa"/>
            <w:tcBorders>
              <w:top w:val="single" w:color="auto" w:sz="4" w:space="0"/>
            </w:tcBorders>
          </w:tcPr>
          <w:p w14:paraId="59A727BE">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4.00</w:t>
            </w:r>
          </w:p>
        </w:tc>
      </w:tr>
      <w:tr w14:paraId="2A97D8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449" w:type="dxa"/>
          </w:tcPr>
          <w:p w14:paraId="039B73F9">
            <w:pPr>
              <w:pStyle w:val="17"/>
              <w:widowControl/>
              <w:spacing w:beforeAutospacing="0" w:afterAutospacing="0"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AI threatens librarians’ roles</w:t>
            </w:r>
          </w:p>
        </w:tc>
        <w:tc>
          <w:tcPr>
            <w:tcW w:w="1276" w:type="dxa"/>
          </w:tcPr>
          <w:p w14:paraId="7DBCD51F">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20</w:t>
            </w:r>
          </w:p>
        </w:tc>
        <w:tc>
          <w:tcPr>
            <w:tcW w:w="1320" w:type="dxa"/>
          </w:tcPr>
          <w:p w14:paraId="5048F2E8">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25</w:t>
            </w:r>
          </w:p>
        </w:tc>
        <w:tc>
          <w:tcPr>
            <w:tcW w:w="1368" w:type="dxa"/>
          </w:tcPr>
          <w:p w14:paraId="199B96CF">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25</w:t>
            </w:r>
          </w:p>
        </w:tc>
        <w:tc>
          <w:tcPr>
            <w:tcW w:w="1286" w:type="dxa"/>
          </w:tcPr>
          <w:p w14:paraId="00F54597">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30</w:t>
            </w:r>
          </w:p>
        </w:tc>
        <w:tc>
          <w:tcPr>
            <w:tcW w:w="1450" w:type="dxa"/>
          </w:tcPr>
          <w:p w14:paraId="5C7B62C8">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20</w:t>
            </w:r>
          </w:p>
        </w:tc>
        <w:tc>
          <w:tcPr>
            <w:tcW w:w="951" w:type="dxa"/>
          </w:tcPr>
          <w:p w14:paraId="048983F4">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2.96</w:t>
            </w:r>
          </w:p>
        </w:tc>
      </w:tr>
      <w:tr w14:paraId="22E178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449" w:type="dxa"/>
          </w:tcPr>
          <w:p w14:paraId="1E64C395">
            <w:pPr>
              <w:pStyle w:val="17"/>
              <w:widowControl/>
              <w:spacing w:beforeAutospacing="0" w:afterAutospacing="0" w:line="360" w:lineRule="auto"/>
              <w:jc w:val="left"/>
              <w:rPr>
                <w:rFonts w:hint="default" w:ascii="Times New Roman" w:hAnsi="Times New Roman" w:cs="Times New Roman"/>
                <w:sz w:val="24"/>
                <w:szCs w:val="24"/>
                <w:lang w:val="en-GB"/>
              </w:rPr>
            </w:pPr>
            <w:r>
              <w:rPr>
                <w:rFonts w:hint="default" w:ascii="Times New Roman" w:hAnsi="Times New Roman" w:cs="Times New Roman"/>
                <w:sz w:val="24"/>
                <w:szCs w:val="24"/>
                <w:lang w:val="en-GB"/>
              </w:rPr>
              <w:t>AI should complement, not replace librarians</w:t>
            </w:r>
          </w:p>
        </w:tc>
        <w:tc>
          <w:tcPr>
            <w:tcW w:w="1276" w:type="dxa"/>
          </w:tcPr>
          <w:p w14:paraId="1AAFEAD2">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40</w:t>
            </w:r>
          </w:p>
        </w:tc>
        <w:tc>
          <w:tcPr>
            <w:tcW w:w="1320" w:type="dxa"/>
          </w:tcPr>
          <w:p w14:paraId="69D03CE6">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50</w:t>
            </w:r>
          </w:p>
        </w:tc>
        <w:tc>
          <w:tcPr>
            <w:tcW w:w="1368" w:type="dxa"/>
          </w:tcPr>
          <w:p w14:paraId="74BD2FC0">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15</w:t>
            </w:r>
          </w:p>
        </w:tc>
        <w:tc>
          <w:tcPr>
            <w:tcW w:w="1286" w:type="dxa"/>
          </w:tcPr>
          <w:p w14:paraId="18DDBDAE">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5</w:t>
            </w:r>
          </w:p>
        </w:tc>
        <w:tc>
          <w:tcPr>
            <w:tcW w:w="1450" w:type="dxa"/>
          </w:tcPr>
          <w:p w14:paraId="0DC28977">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5</w:t>
            </w:r>
          </w:p>
        </w:tc>
        <w:tc>
          <w:tcPr>
            <w:tcW w:w="951" w:type="dxa"/>
          </w:tcPr>
          <w:p w14:paraId="7B20581E">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4.04</w:t>
            </w:r>
          </w:p>
        </w:tc>
      </w:tr>
      <w:tr w14:paraId="29F671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449" w:type="dxa"/>
          </w:tcPr>
          <w:p w14:paraId="3ED6AFDD">
            <w:pPr>
              <w:pStyle w:val="17"/>
              <w:widowControl/>
              <w:spacing w:beforeAutospacing="0" w:afterAutospacing="0" w:line="360" w:lineRule="auto"/>
              <w:jc w:val="left"/>
              <w:rPr>
                <w:rFonts w:hint="default" w:ascii="Times New Roman" w:hAnsi="Times New Roman" w:cs="Times New Roman"/>
                <w:sz w:val="24"/>
                <w:szCs w:val="24"/>
                <w:lang w:val="en-GB"/>
              </w:rPr>
            </w:pPr>
            <w:r>
              <w:rPr>
                <w:rFonts w:hint="default" w:ascii="Times New Roman" w:hAnsi="Times New Roman" w:cs="Times New Roman"/>
                <w:sz w:val="24"/>
                <w:szCs w:val="24"/>
              </w:rPr>
              <w:t>Librarians need training to effectively use AI</w:t>
            </w:r>
          </w:p>
        </w:tc>
        <w:tc>
          <w:tcPr>
            <w:tcW w:w="1276" w:type="dxa"/>
          </w:tcPr>
          <w:p w14:paraId="4D259431">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60</w:t>
            </w:r>
          </w:p>
        </w:tc>
        <w:tc>
          <w:tcPr>
            <w:tcW w:w="1320" w:type="dxa"/>
          </w:tcPr>
          <w:p w14:paraId="35B2ECA6">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40</w:t>
            </w:r>
          </w:p>
        </w:tc>
        <w:tc>
          <w:tcPr>
            <w:tcW w:w="1368" w:type="dxa"/>
          </w:tcPr>
          <w:p w14:paraId="2C2D75C5">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10</w:t>
            </w:r>
          </w:p>
        </w:tc>
        <w:tc>
          <w:tcPr>
            <w:tcW w:w="1286" w:type="dxa"/>
          </w:tcPr>
          <w:p w14:paraId="670BDBC2">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7</w:t>
            </w:r>
          </w:p>
        </w:tc>
        <w:tc>
          <w:tcPr>
            <w:tcW w:w="1450" w:type="dxa"/>
          </w:tcPr>
          <w:p w14:paraId="4CFA8F79">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3</w:t>
            </w:r>
          </w:p>
        </w:tc>
        <w:tc>
          <w:tcPr>
            <w:tcW w:w="951" w:type="dxa"/>
          </w:tcPr>
          <w:p w14:paraId="435EE14F">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4.23</w:t>
            </w:r>
          </w:p>
        </w:tc>
      </w:tr>
      <w:tr w14:paraId="027A48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449" w:type="dxa"/>
            <w:vAlign w:val="center"/>
          </w:tcPr>
          <w:p w14:paraId="6E5C32B9">
            <w:pPr>
              <w:widowControl/>
              <w:spacing w:after="0" w:line="360" w:lineRule="auto"/>
              <w:jc w:val="left"/>
              <w:rPr>
                <w:rFonts w:hint="default" w:ascii="Times New Roman" w:hAnsi="Times New Roman" w:eastAsia="SimSun" w:cs="Times New Roman"/>
                <w:sz w:val="24"/>
                <w:szCs w:val="24"/>
                <w:lang w:eastAsia="zh-CN"/>
              </w:rPr>
            </w:pPr>
            <w:r>
              <w:rPr>
                <w:rFonts w:hint="default" w:ascii="Times New Roman" w:hAnsi="Times New Roman" w:eastAsia="SimSun" w:cs="Times New Roman"/>
                <w:sz w:val="24"/>
                <w:szCs w:val="24"/>
                <w:lang w:eastAsia="zh-CN" w:bidi="ar"/>
              </w:rPr>
              <w:t>AI may reduce research quality if unchecked</w:t>
            </w:r>
          </w:p>
        </w:tc>
        <w:tc>
          <w:tcPr>
            <w:tcW w:w="1276" w:type="dxa"/>
          </w:tcPr>
          <w:p w14:paraId="6212E116">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35</w:t>
            </w:r>
          </w:p>
        </w:tc>
        <w:tc>
          <w:tcPr>
            <w:tcW w:w="1320" w:type="dxa"/>
          </w:tcPr>
          <w:p w14:paraId="0951E8D4">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45</w:t>
            </w:r>
          </w:p>
        </w:tc>
        <w:tc>
          <w:tcPr>
            <w:tcW w:w="1368" w:type="dxa"/>
          </w:tcPr>
          <w:p w14:paraId="265DCCB5">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20</w:t>
            </w:r>
          </w:p>
        </w:tc>
        <w:tc>
          <w:tcPr>
            <w:tcW w:w="1286" w:type="dxa"/>
          </w:tcPr>
          <w:p w14:paraId="7782FE5D">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15</w:t>
            </w:r>
          </w:p>
        </w:tc>
        <w:tc>
          <w:tcPr>
            <w:tcW w:w="1450" w:type="dxa"/>
          </w:tcPr>
          <w:p w14:paraId="776521FB">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5</w:t>
            </w:r>
          </w:p>
        </w:tc>
        <w:tc>
          <w:tcPr>
            <w:tcW w:w="951" w:type="dxa"/>
          </w:tcPr>
          <w:p w14:paraId="7DD57F1C">
            <w:pPr>
              <w:pStyle w:val="17"/>
              <w:widowControl/>
              <w:spacing w:beforeAutospacing="0" w:afterAutospacing="0" w:line="360" w:lineRule="auto"/>
              <w:jc w:val="center"/>
              <w:rPr>
                <w:rFonts w:hint="default" w:ascii="Times New Roman" w:hAnsi="Times New Roman" w:cs="Times New Roman"/>
                <w:sz w:val="24"/>
                <w:szCs w:val="24"/>
                <w:lang w:val="en-GB"/>
              </w:rPr>
            </w:pPr>
            <w:r>
              <w:rPr>
                <w:rFonts w:hint="default" w:ascii="Times New Roman" w:hAnsi="Times New Roman" w:cs="Times New Roman"/>
                <w:sz w:val="24"/>
                <w:szCs w:val="24"/>
                <w:lang w:val="en-GB"/>
              </w:rPr>
              <w:t>3.75</w:t>
            </w:r>
          </w:p>
        </w:tc>
      </w:tr>
    </w:tbl>
    <w:p w14:paraId="28472B5A">
      <w:pPr>
        <w:pStyle w:val="4"/>
        <w:spacing w:before="0" w:after="0" w:line="360" w:lineRule="auto"/>
        <w:jc w:val="both"/>
        <w:rPr>
          <w:rFonts w:hint="default" w:ascii="Times New Roman" w:hAnsi="Times New Roman" w:cs="Times New Roman"/>
          <w:color w:val="auto"/>
          <w:sz w:val="22"/>
          <w:szCs w:val="22"/>
        </w:rPr>
      </w:pPr>
      <w:r>
        <w:rPr>
          <w:rFonts w:hint="default" w:ascii="Times New Roman" w:hAnsi="Times New Roman" w:cs="Times New Roman"/>
          <w:color w:val="auto"/>
          <w:sz w:val="24"/>
          <w:szCs w:val="24"/>
        </w:rPr>
        <w:t xml:space="preserve">Decision Rule: </w:t>
      </w:r>
      <w:r>
        <w:rPr>
          <w:rFonts w:hint="default" w:ascii="Times New Roman" w:hAnsi="Times New Roman" w:cs="Times New Roman"/>
          <w:color w:val="auto"/>
          <w:sz w:val="22"/>
          <w:szCs w:val="22"/>
        </w:rPr>
        <w:t>Mean scores of 3.00 and above is accepted, while any mean score below 3.00 is rejected.</w:t>
      </w:r>
    </w:p>
    <w:p w14:paraId="4D56D77D">
      <w:pPr>
        <w:pStyle w:val="4"/>
        <w:keepNext w:val="0"/>
        <w:keepLines w:val="0"/>
        <w:spacing w:before="0" w:after="0" w:line="360" w:lineRule="auto"/>
        <w:jc w:val="both"/>
        <w:rPr>
          <w:rFonts w:hint="default" w:ascii="Times New Roman" w:hAnsi="Times New Roman" w:cs="Times New Roman"/>
          <w:b/>
          <w:bCs/>
          <w:color w:val="auto"/>
          <w:sz w:val="24"/>
          <w:szCs w:val="24"/>
          <w:lang w:val="en-GB"/>
        </w:rPr>
      </w:pPr>
    </w:p>
    <w:p w14:paraId="67BF1494">
      <w:pPr>
        <w:pStyle w:val="4"/>
        <w:keepNext w:val="0"/>
        <w:keepLines w:val="0"/>
        <w:spacing w:before="0" w:after="0" w:line="360" w:lineRule="auto"/>
        <w:ind w:firstLine="72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GB"/>
        </w:rPr>
        <w:t>The result in Table 2. shows that librarians</w:t>
      </w:r>
      <w:r>
        <w:rPr>
          <w:rFonts w:hint="default" w:ascii="Times New Roman" w:hAnsi="Times New Roman" w:cs="Times New Roman"/>
          <w:color w:val="auto"/>
          <w:sz w:val="24"/>
          <w:szCs w:val="24"/>
        </w:rPr>
        <w:t xml:space="preserve"> strongly believe AI can enhance research assistance (Mean = 4.00).</w:t>
      </w:r>
      <w:r>
        <w:rPr>
          <w:rFonts w:hint="default" w:ascii="Times New Roman" w:hAnsi="Times New Roman" w:cs="Times New Roman"/>
          <w:color w:val="auto"/>
          <w:sz w:val="24"/>
          <w:szCs w:val="24"/>
          <w:lang w:val="en-GB"/>
        </w:rPr>
        <w:t xml:space="preserve"> </w:t>
      </w:r>
      <w:r>
        <w:rPr>
          <w:rFonts w:hint="default" w:ascii="Times New Roman" w:hAnsi="Times New Roman" w:cs="Times New Roman"/>
          <w:color w:val="auto"/>
          <w:sz w:val="24"/>
          <w:szCs w:val="24"/>
        </w:rPr>
        <w:t xml:space="preserve">They overwhelmingly agree AI should </w:t>
      </w:r>
      <w:r>
        <w:rPr>
          <w:rStyle w:val="13"/>
          <w:rFonts w:hint="default" w:ascii="Times New Roman" w:hAnsi="Times New Roman" w:cs="Times New Roman"/>
          <w:i w:val="0"/>
          <w:iCs w:val="0"/>
          <w:color w:val="auto"/>
          <w:sz w:val="24"/>
          <w:szCs w:val="24"/>
        </w:rPr>
        <w:t>complement, not replace</w:t>
      </w:r>
      <w:r>
        <w:rPr>
          <w:rFonts w:hint="default" w:ascii="Times New Roman" w:hAnsi="Times New Roman" w:cs="Times New Roman"/>
          <w:color w:val="auto"/>
          <w:sz w:val="24"/>
          <w:szCs w:val="24"/>
        </w:rPr>
        <w:t xml:space="preserve"> librarians (Mean = 4.04).</w:t>
      </w:r>
      <w:r>
        <w:rPr>
          <w:rFonts w:hint="default" w:ascii="Times New Roman" w:hAnsi="Times New Roman" w:cs="Times New Roman"/>
          <w:color w:val="auto"/>
          <w:sz w:val="24"/>
          <w:szCs w:val="24"/>
          <w:lang w:val="en-GB"/>
        </w:rPr>
        <w:t xml:space="preserve"> </w:t>
      </w:r>
      <w:r>
        <w:rPr>
          <w:rFonts w:hint="default" w:ascii="Times New Roman" w:hAnsi="Times New Roman" w:cs="Times New Roman"/>
          <w:color w:val="auto"/>
          <w:sz w:val="24"/>
          <w:szCs w:val="24"/>
        </w:rPr>
        <w:t>Strong consensus that librarians need training to effectively use AI (Mean = 4.23).</w:t>
      </w:r>
      <w:r>
        <w:rPr>
          <w:rFonts w:hint="default" w:ascii="Times New Roman" w:hAnsi="Times New Roman" w:cs="Times New Roman"/>
          <w:color w:val="auto"/>
          <w:sz w:val="24"/>
          <w:szCs w:val="24"/>
          <w:lang w:val="en-GB"/>
        </w:rPr>
        <w:t xml:space="preserve"> The result further shows that </w:t>
      </w:r>
      <w:r>
        <w:rPr>
          <w:rFonts w:hint="default" w:ascii="Times New Roman" w:hAnsi="Times New Roman" w:cs="Times New Roman"/>
          <w:color w:val="auto"/>
          <w:sz w:val="24"/>
          <w:szCs w:val="24"/>
        </w:rPr>
        <w:t>AI may reduce research quality if unchecked (Mean = 3.75).</w:t>
      </w:r>
      <w:r>
        <w:rPr>
          <w:rFonts w:hint="default" w:ascii="Times New Roman" w:hAnsi="Times New Roman" w:cs="Times New Roman"/>
          <w:color w:val="auto"/>
          <w:sz w:val="24"/>
          <w:szCs w:val="24"/>
          <w:lang w:val="en-GB"/>
        </w:rPr>
        <w:t xml:space="preserve"> </w:t>
      </w:r>
      <w:r>
        <w:rPr>
          <w:rStyle w:val="18"/>
          <w:rFonts w:hint="default" w:ascii="Times New Roman" w:hAnsi="Times New Roman" w:cs="Times New Roman"/>
          <w:b w:val="0"/>
          <w:bCs w:val="0"/>
          <w:color w:val="auto"/>
          <w:sz w:val="24"/>
          <w:szCs w:val="24"/>
        </w:rPr>
        <w:t>Lower Agreement (Mean &lt; 3.0</w:t>
      </w:r>
      <w:r>
        <w:rPr>
          <w:rStyle w:val="18"/>
          <w:rFonts w:hint="default" w:ascii="Times New Roman" w:hAnsi="Times New Roman" w:cs="Times New Roman"/>
          <w:color w:val="auto"/>
          <w:sz w:val="24"/>
          <w:szCs w:val="24"/>
        </w:rPr>
        <w:t>)</w:t>
      </w:r>
      <w:r>
        <w:rPr>
          <w:rStyle w:val="18"/>
          <w:rFonts w:hint="default" w:ascii="Times New Roman" w:hAnsi="Times New Roman" w:cs="Times New Roman"/>
          <w:color w:val="auto"/>
          <w:sz w:val="24"/>
          <w:szCs w:val="24"/>
          <w:lang w:val="en-GB"/>
        </w:rPr>
        <w:t xml:space="preserve"> </w:t>
      </w:r>
      <w:r>
        <w:rPr>
          <w:rFonts w:hint="default" w:ascii="Times New Roman" w:hAnsi="Times New Roman" w:cs="Times New Roman"/>
          <w:color w:val="auto"/>
          <w:sz w:val="24"/>
          <w:szCs w:val="24"/>
        </w:rPr>
        <w:t xml:space="preserve">Librarians are less convinced that AI </w:t>
      </w:r>
      <w:r>
        <w:rPr>
          <w:rStyle w:val="13"/>
          <w:rFonts w:hint="default" w:ascii="Times New Roman" w:hAnsi="Times New Roman" w:cs="Times New Roman"/>
          <w:i w:val="0"/>
          <w:iCs w:val="0"/>
          <w:color w:val="auto"/>
          <w:sz w:val="24"/>
          <w:szCs w:val="24"/>
        </w:rPr>
        <w:t>threatens their roles</w:t>
      </w:r>
      <w:r>
        <w:rPr>
          <w:rFonts w:hint="default" w:ascii="Times New Roman" w:hAnsi="Times New Roman" w:cs="Times New Roman"/>
          <w:color w:val="auto"/>
          <w:sz w:val="24"/>
          <w:szCs w:val="24"/>
        </w:rPr>
        <w:t xml:space="preserve"> (Mean = 2.96).</w:t>
      </w:r>
    </w:p>
    <w:p w14:paraId="28856A67">
      <w:pPr>
        <w:pStyle w:val="4"/>
        <w:keepNext w:val="0"/>
        <w:keepLines w:val="0"/>
        <w:spacing w:before="0" w:after="0" w:line="360" w:lineRule="auto"/>
        <w:ind w:firstLine="720"/>
        <w:jc w:val="both"/>
        <w:rPr>
          <w:rFonts w:hint="default" w:ascii="Times New Roman" w:hAnsi="Times New Roman" w:cs="Times New Roman"/>
          <w:color w:val="auto"/>
          <w:sz w:val="24"/>
          <w:szCs w:val="24"/>
          <w:lang w:val="en-GB"/>
        </w:rPr>
      </w:pPr>
      <w:r>
        <w:rPr>
          <w:rFonts w:hint="default" w:ascii="Times New Roman" w:hAnsi="Times New Roman" w:cs="Times New Roman"/>
          <w:color w:val="auto"/>
          <w:sz w:val="24"/>
          <w:szCs w:val="24"/>
          <w:lang w:val="en-GB"/>
        </w:rPr>
        <w:t xml:space="preserve"> </w:t>
      </w:r>
      <w:r>
        <w:rPr>
          <w:rFonts w:hint="default" w:ascii="Times New Roman" w:hAnsi="Times New Roman" w:cs="Times New Roman"/>
          <w:color w:val="auto"/>
          <w:sz w:val="24"/>
          <w:szCs w:val="24"/>
        </w:rPr>
        <w:t xml:space="preserve">Librarians in Cross River State generally perceive AI positively, recognizing its </w:t>
      </w:r>
      <w:r>
        <w:rPr>
          <w:rStyle w:val="18"/>
          <w:rFonts w:hint="default" w:ascii="Times New Roman" w:hAnsi="Times New Roman" w:cs="Times New Roman"/>
          <w:b w:val="0"/>
          <w:bCs w:val="0"/>
          <w:color w:val="auto"/>
          <w:sz w:val="24"/>
          <w:szCs w:val="24"/>
        </w:rPr>
        <w:t>potential</w:t>
      </w:r>
      <w:r>
        <w:rPr>
          <w:rStyle w:val="18"/>
          <w:rFonts w:hint="default" w:ascii="Times New Roman" w:hAnsi="Times New Roman" w:cs="Times New Roman"/>
          <w:b w:val="0"/>
          <w:bCs w:val="0"/>
          <w:color w:val="auto"/>
          <w:sz w:val="24"/>
          <w:szCs w:val="24"/>
          <w:lang w:val="en-GB"/>
        </w:rPr>
        <w:t xml:space="preserve"> benefits</w:t>
      </w:r>
      <w:r>
        <w:rPr>
          <w:rStyle w:val="18"/>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rPr>
        <w:t>in enhancing research assistance.</w:t>
      </w:r>
      <w:r>
        <w:rPr>
          <w:rFonts w:hint="default" w:ascii="Times New Roman" w:hAnsi="Times New Roman" w:cs="Times New Roman"/>
          <w:color w:val="auto"/>
          <w:sz w:val="24"/>
          <w:szCs w:val="24"/>
          <w:lang w:val="en-GB"/>
        </w:rPr>
        <w:t xml:space="preserve"> </w:t>
      </w:r>
      <w:r>
        <w:rPr>
          <w:rFonts w:hint="default" w:ascii="Times New Roman" w:hAnsi="Times New Roman" w:cs="Times New Roman"/>
          <w:color w:val="auto"/>
          <w:sz w:val="24"/>
          <w:szCs w:val="24"/>
        </w:rPr>
        <w:t xml:space="preserve">They see AI as a </w:t>
      </w:r>
      <w:r>
        <w:rPr>
          <w:rStyle w:val="18"/>
          <w:rFonts w:hint="default" w:ascii="Times New Roman" w:hAnsi="Times New Roman" w:cs="Times New Roman"/>
          <w:b w:val="0"/>
          <w:bCs w:val="0"/>
          <w:color w:val="auto"/>
          <w:sz w:val="24"/>
          <w:szCs w:val="24"/>
        </w:rPr>
        <w:t>complementary tool</w:t>
      </w:r>
      <w:r>
        <w:rPr>
          <w:rFonts w:hint="default" w:ascii="Times New Roman" w:hAnsi="Times New Roman" w:cs="Times New Roman"/>
          <w:color w:val="auto"/>
          <w:sz w:val="24"/>
          <w:szCs w:val="24"/>
        </w:rPr>
        <w:t xml:space="preserve"> rather than a replacement, consistent with the </w:t>
      </w:r>
      <w:r>
        <w:rPr>
          <w:rStyle w:val="18"/>
          <w:rFonts w:hint="default" w:ascii="Times New Roman" w:hAnsi="Times New Roman" w:cs="Times New Roman"/>
          <w:color w:val="auto"/>
          <w:sz w:val="24"/>
          <w:szCs w:val="24"/>
        </w:rPr>
        <w:t>“</w:t>
      </w:r>
      <w:r>
        <w:rPr>
          <w:rStyle w:val="18"/>
          <w:rFonts w:hint="default" w:ascii="Times New Roman" w:hAnsi="Times New Roman" w:cs="Times New Roman"/>
          <w:b w:val="0"/>
          <w:bCs w:val="0"/>
          <w:color w:val="auto"/>
          <w:sz w:val="24"/>
          <w:szCs w:val="24"/>
        </w:rPr>
        <w:t>early adopters</w:t>
      </w:r>
      <w:r>
        <w:rPr>
          <w:rStyle w:val="18"/>
          <w:rFonts w:hint="default" w:ascii="Times New Roman" w:hAnsi="Times New Roman" w:cs="Times New Roman"/>
          <w:color w:val="auto"/>
          <w:sz w:val="24"/>
          <w:szCs w:val="24"/>
        </w:rPr>
        <w:t>’’</w:t>
      </w:r>
      <w:r>
        <w:rPr>
          <w:rFonts w:hint="default" w:ascii="Times New Roman" w:hAnsi="Times New Roman" w:cs="Times New Roman"/>
          <w:color w:val="auto"/>
          <w:sz w:val="24"/>
          <w:szCs w:val="24"/>
        </w:rPr>
        <w:t xml:space="preserve"> stage of innovation diffusion.</w:t>
      </w:r>
      <w:r>
        <w:rPr>
          <w:rFonts w:hint="default" w:ascii="Times New Roman" w:hAnsi="Times New Roman" w:cs="Times New Roman"/>
          <w:color w:val="auto"/>
          <w:sz w:val="24"/>
          <w:szCs w:val="24"/>
          <w:lang w:val="en-GB"/>
        </w:rPr>
        <w:t xml:space="preserve"> This is in line with </w:t>
      </w:r>
      <w:r>
        <w:rPr>
          <w:rStyle w:val="18"/>
          <w:rFonts w:hint="default" w:ascii="Times New Roman" w:hAnsi="Times New Roman" w:cs="Times New Roman"/>
          <w:b w:val="0"/>
          <w:bCs w:val="0"/>
          <w:color w:val="auto"/>
          <w:sz w:val="24"/>
          <w:szCs w:val="24"/>
        </w:rPr>
        <w:t xml:space="preserve">Ebaye </w:t>
      </w:r>
      <w:r>
        <w:rPr>
          <w:rStyle w:val="18"/>
          <w:rFonts w:hint="default" w:ascii="Times New Roman" w:hAnsi="Times New Roman" w:cs="Times New Roman"/>
          <w:b w:val="0"/>
          <w:bCs w:val="0"/>
          <w:i/>
          <w:iCs/>
          <w:color w:val="auto"/>
          <w:sz w:val="24"/>
          <w:szCs w:val="24"/>
          <w:lang w:val="en-GB"/>
        </w:rPr>
        <w:t xml:space="preserve">et al. </w:t>
      </w:r>
      <w:r>
        <w:rPr>
          <w:rStyle w:val="18"/>
          <w:rFonts w:hint="default" w:ascii="Times New Roman" w:hAnsi="Times New Roman" w:cs="Times New Roman"/>
          <w:b w:val="0"/>
          <w:bCs w:val="0"/>
          <w:color w:val="auto"/>
          <w:sz w:val="24"/>
          <w:szCs w:val="24"/>
        </w:rPr>
        <w:t>(2024)</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en-GB"/>
        </w:rPr>
        <w:t xml:space="preserve">who </w:t>
      </w:r>
      <w:r>
        <w:rPr>
          <w:rFonts w:hint="default" w:ascii="Times New Roman" w:hAnsi="Times New Roman" w:cs="Times New Roman"/>
          <w:color w:val="auto"/>
          <w:sz w:val="24"/>
          <w:szCs w:val="24"/>
        </w:rPr>
        <w:t>surveyed 342 librarians across South-South Nigeria, including Cross River State, and found that awareness and positive perception significantly influenced AI adoption</w:t>
      </w:r>
      <w:r>
        <w:rPr>
          <w:rFonts w:hint="default" w:ascii="Times New Roman" w:hAnsi="Times New Roman" w:cs="Times New Roman"/>
          <w:color w:val="auto"/>
          <w:sz w:val="24"/>
          <w:szCs w:val="24"/>
          <w:lang w:val="en-GB"/>
        </w:rPr>
        <w:t xml:space="preserve">. </w:t>
      </w:r>
      <w:r>
        <w:rPr>
          <w:rFonts w:hint="default" w:ascii="Times New Roman" w:hAnsi="Times New Roman" w:cs="Times New Roman"/>
          <w:color w:val="auto"/>
          <w:sz w:val="24"/>
          <w:szCs w:val="24"/>
        </w:rPr>
        <w:t xml:space="preserve">The strong emphasis on </w:t>
      </w:r>
      <w:r>
        <w:rPr>
          <w:rStyle w:val="18"/>
          <w:rFonts w:hint="default" w:ascii="Times New Roman" w:hAnsi="Times New Roman" w:cs="Times New Roman"/>
          <w:b w:val="0"/>
          <w:bCs w:val="0"/>
          <w:color w:val="auto"/>
          <w:sz w:val="24"/>
          <w:szCs w:val="24"/>
        </w:rPr>
        <w:t>training needs</w:t>
      </w:r>
      <w:r>
        <w:rPr>
          <w:rFonts w:hint="default" w:ascii="Times New Roman" w:hAnsi="Times New Roman" w:cs="Times New Roman"/>
          <w:color w:val="auto"/>
          <w:sz w:val="24"/>
          <w:szCs w:val="24"/>
        </w:rPr>
        <w:t xml:space="preserve"> indicates that adoption may be slowed unless capacity building and institutional support are provided.</w:t>
      </w:r>
      <w:r>
        <w:rPr>
          <w:rFonts w:hint="default" w:ascii="Times New Roman" w:hAnsi="Times New Roman" w:cs="Times New Roman"/>
          <w:color w:val="auto"/>
          <w:sz w:val="24"/>
          <w:szCs w:val="24"/>
          <w:lang w:val="en-GB"/>
        </w:rPr>
        <w:t xml:space="preserve"> </w:t>
      </w:r>
      <w:r>
        <w:rPr>
          <w:rFonts w:hint="default" w:ascii="Times New Roman" w:hAnsi="Times New Roman" w:cs="Times New Roman"/>
          <w:color w:val="auto"/>
          <w:sz w:val="24"/>
          <w:szCs w:val="24"/>
        </w:rPr>
        <w:t xml:space="preserve">Fears of job threats exist but are not dominant suggesting librarians are open to </w:t>
      </w:r>
      <w:r>
        <w:rPr>
          <w:rStyle w:val="18"/>
          <w:rFonts w:hint="default" w:ascii="Times New Roman" w:hAnsi="Times New Roman" w:cs="Times New Roman"/>
          <w:b w:val="0"/>
          <w:bCs w:val="0"/>
          <w:color w:val="auto"/>
          <w:sz w:val="24"/>
          <w:szCs w:val="24"/>
        </w:rPr>
        <w:t>collaborative human–AI partnerships</w:t>
      </w:r>
      <w:r>
        <w:rPr>
          <w:rFonts w:hint="default" w:ascii="Times New Roman" w:hAnsi="Times New Roman" w:cs="Times New Roman"/>
          <w:color w:val="auto"/>
          <w:sz w:val="24"/>
          <w:szCs w:val="24"/>
        </w:rPr>
        <w:t xml:space="preserve"> rather than resistant.</w:t>
      </w:r>
      <w:r>
        <w:rPr>
          <w:rFonts w:hint="default" w:ascii="Times New Roman" w:hAnsi="Times New Roman" w:cs="Times New Roman"/>
          <w:color w:val="auto"/>
          <w:sz w:val="24"/>
          <w:szCs w:val="24"/>
          <w:lang w:val="en-GB"/>
        </w:rPr>
        <w:t xml:space="preserve"> This is similar to </w:t>
      </w:r>
      <w:r>
        <w:rPr>
          <w:rStyle w:val="18"/>
          <w:rFonts w:hint="default" w:ascii="Times New Roman" w:hAnsi="Times New Roman" w:cs="Times New Roman"/>
          <w:b w:val="0"/>
          <w:bCs w:val="0"/>
          <w:color w:val="auto"/>
          <w:sz w:val="24"/>
          <w:szCs w:val="24"/>
        </w:rPr>
        <w:t xml:space="preserve">Orubebe </w:t>
      </w:r>
      <w:r>
        <w:rPr>
          <w:rStyle w:val="18"/>
          <w:rFonts w:hint="default" w:ascii="Times New Roman" w:hAnsi="Times New Roman" w:cs="Times New Roman"/>
          <w:b w:val="0"/>
          <w:bCs w:val="0"/>
          <w:i/>
          <w:iCs/>
          <w:color w:val="auto"/>
          <w:sz w:val="24"/>
          <w:szCs w:val="24"/>
          <w:lang w:val="en-GB"/>
        </w:rPr>
        <w:t>et al.</w:t>
      </w:r>
      <w:r>
        <w:rPr>
          <w:rStyle w:val="18"/>
          <w:rFonts w:hint="default" w:ascii="Times New Roman" w:hAnsi="Times New Roman" w:cs="Times New Roman"/>
          <w:b w:val="0"/>
          <w:bCs w:val="0"/>
          <w:color w:val="auto"/>
          <w:sz w:val="24"/>
          <w:szCs w:val="24"/>
        </w:rPr>
        <w:t>(2025)</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en-GB"/>
        </w:rPr>
        <w:t xml:space="preserve"> who </w:t>
      </w:r>
      <w:r>
        <w:rPr>
          <w:rFonts w:hint="default" w:ascii="Times New Roman" w:hAnsi="Times New Roman" w:cs="Times New Roman"/>
          <w:color w:val="auto"/>
          <w:sz w:val="24"/>
          <w:szCs w:val="24"/>
        </w:rPr>
        <w:t>found that librarians in nearby Rivers State were aware of AI’s potential but expressed concerns about job displacement and lack of institutional support.</w:t>
      </w:r>
    </w:p>
    <w:p w14:paraId="214FB5D4">
      <w:pPr>
        <w:spacing w:after="0" w:line="360" w:lineRule="auto"/>
        <w:jc w:val="both"/>
        <w:rPr>
          <w:rFonts w:hint="default" w:ascii="Times New Roman" w:hAnsi="Times New Roman" w:cs="Times New Roman"/>
          <w:b/>
          <w:bCs/>
          <w:sz w:val="24"/>
          <w:szCs w:val="24"/>
        </w:rPr>
      </w:pPr>
    </w:p>
    <w:p w14:paraId="09FF59A4">
      <w:pPr>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Research Question Three</w:t>
      </w:r>
    </w:p>
    <w:p w14:paraId="241E90F7">
      <w:pPr>
        <w:spacing w:after="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What challenges exist in adopting AI in academic research support services?</w:t>
      </w:r>
    </w:p>
    <w:p w14:paraId="43AC29E6">
      <w:pPr>
        <w:pStyle w:val="17"/>
        <w:spacing w:beforeAutospacing="0" w:afterAutospacing="0" w:line="360" w:lineRule="auto"/>
        <w:ind w:left="1440" w:hanging="1440"/>
        <w:jc w:val="both"/>
        <w:rPr>
          <w:rFonts w:hint="default" w:ascii="Times New Roman" w:hAnsi="Times New Roman" w:cs="Times New Roman"/>
          <w:b/>
          <w:bCs/>
        </w:rPr>
      </w:pPr>
      <w:r>
        <w:rPr>
          <w:rFonts w:hint="default" w:ascii="Times New Roman" w:hAnsi="Times New Roman" w:cs="Times New Roman"/>
          <w:b/>
          <w:bCs/>
          <w:lang w:val="en-GB"/>
        </w:rPr>
        <w:t>Table 3.</w:t>
      </w:r>
      <w:r>
        <w:rPr>
          <w:rFonts w:hint="default" w:ascii="Times New Roman" w:hAnsi="Times New Roman" w:cs="Times New Roman"/>
          <w:lang w:val="en-GB"/>
        </w:rPr>
        <w:t xml:space="preserve"> </w:t>
      </w:r>
      <w:r>
        <w:rPr>
          <w:rFonts w:hint="default" w:ascii="Times New Roman" w:hAnsi="Times New Roman" w:cs="Times New Roman"/>
          <w:lang w:val="en-GB"/>
        </w:rPr>
        <w:tab/>
      </w:r>
      <w:r>
        <w:rPr>
          <w:rFonts w:hint="default" w:ascii="Times New Roman" w:hAnsi="Times New Roman" w:cs="Times New Roman"/>
          <w:b/>
          <w:bCs/>
          <w:lang w:val="en-GB"/>
        </w:rPr>
        <w:t xml:space="preserve">Data Presentation: frequency of </w:t>
      </w:r>
      <w:r>
        <w:rPr>
          <w:rFonts w:hint="default" w:ascii="Times New Roman" w:hAnsi="Times New Roman" w:cs="Times New Roman"/>
          <w:b/>
          <w:bCs/>
        </w:rPr>
        <w:t xml:space="preserve">challenges in adopting AI in academic research support services, using a </w:t>
      </w:r>
      <w:r>
        <w:rPr>
          <w:rStyle w:val="18"/>
          <w:rFonts w:hint="default" w:ascii="Times New Roman" w:hAnsi="Times New Roman" w:cs="Times New Roman"/>
          <w:b/>
          <w:bCs/>
        </w:rPr>
        <w:t>rank-order analysis</w:t>
      </w:r>
      <w:r>
        <w:rPr>
          <w:rFonts w:hint="default" w:ascii="Times New Roman" w:hAnsi="Times New Roman" w:cs="Times New Roman"/>
          <w:b/>
          <w:bCs/>
        </w:rPr>
        <w:t xml:space="preserve"> based on a hypothetical score of 120 responses.</w:t>
      </w:r>
    </w:p>
    <w:p w14:paraId="3ED0320C">
      <w:pPr>
        <w:pStyle w:val="17"/>
        <w:spacing w:beforeAutospacing="0" w:afterAutospacing="0" w:line="360" w:lineRule="auto"/>
        <w:ind w:left="1440" w:hanging="1440"/>
        <w:jc w:val="both"/>
        <w:rPr>
          <w:rFonts w:hint="default" w:ascii="Times New Roman" w:hAnsi="Times New Roman" w:cs="Times New Roman"/>
          <w:b/>
          <w:bCs/>
          <w:sz w:val="16"/>
          <w:szCs w:val="16"/>
        </w:rPr>
      </w:pPr>
    </w:p>
    <w:tbl>
      <w:tblPr>
        <w:tblStyle w:val="20"/>
        <w:tblW w:w="95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left w:w="108" w:type="dxa"/>
          <w:right w:w="108" w:type="dxa"/>
        </w:tblCellMar>
      </w:tblPr>
      <w:tblGrid>
        <w:gridCol w:w="2808"/>
        <w:gridCol w:w="3450"/>
        <w:gridCol w:w="2070"/>
        <w:gridCol w:w="1182"/>
      </w:tblGrid>
      <w:tr w14:paraId="5E449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808" w:type="dxa"/>
            <w:tcBorders>
              <w:top w:val="single" w:color="auto" w:sz="4" w:space="0"/>
              <w:bottom w:val="single" w:color="auto" w:sz="4" w:space="0"/>
            </w:tcBorders>
            <w:vAlign w:val="top"/>
          </w:tcPr>
          <w:p w14:paraId="6E822E07">
            <w:pPr>
              <w:spacing w:after="0" w:line="360" w:lineRule="auto"/>
              <w:jc w:val="left"/>
              <w:rPr>
                <w:rFonts w:hint="default" w:ascii="Times New Roman" w:hAnsi="Times New Roman" w:cs="Times New Roman"/>
                <w:b/>
                <w:bCs/>
                <w:vertAlign w:val="baseline"/>
              </w:rPr>
            </w:pPr>
            <w:r>
              <w:rPr>
                <w:rStyle w:val="18"/>
                <w:rFonts w:hint="default" w:ascii="Times New Roman" w:hAnsi="Times New Roman" w:eastAsia="SimSun" w:cs="Times New Roman"/>
                <w:b/>
                <w:bCs/>
                <w:sz w:val="24"/>
                <w:szCs w:val="24"/>
                <w:lang w:eastAsia="zh-CN" w:bidi="ar"/>
              </w:rPr>
              <w:t>Challenge</w:t>
            </w:r>
          </w:p>
        </w:tc>
        <w:tc>
          <w:tcPr>
            <w:tcW w:w="3450" w:type="dxa"/>
            <w:tcBorders>
              <w:top w:val="single" w:color="auto" w:sz="4" w:space="0"/>
              <w:bottom w:val="single" w:color="auto" w:sz="4" w:space="0"/>
            </w:tcBorders>
            <w:vAlign w:val="top"/>
          </w:tcPr>
          <w:p w14:paraId="1577D272">
            <w:pPr>
              <w:spacing w:after="0" w:line="360" w:lineRule="auto"/>
              <w:jc w:val="center"/>
              <w:rPr>
                <w:rFonts w:hint="default" w:ascii="Times New Roman" w:hAnsi="Times New Roman" w:cs="Times New Roman"/>
                <w:b/>
                <w:bCs/>
                <w:vertAlign w:val="baseline"/>
              </w:rPr>
            </w:pPr>
            <w:r>
              <w:rPr>
                <w:rStyle w:val="18"/>
                <w:rFonts w:hint="default" w:ascii="Times New Roman" w:hAnsi="Times New Roman" w:eastAsia="SimSun" w:cs="Times New Roman"/>
                <w:b/>
                <w:bCs/>
                <w:sz w:val="24"/>
                <w:szCs w:val="24"/>
                <w:lang w:eastAsia="zh-CN" w:bidi="ar"/>
              </w:rPr>
              <w:t>Frequency of Responses</w:t>
            </w:r>
          </w:p>
        </w:tc>
        <w:tc>
          <w:tcPr>
            <w:tcW w:w="2070" w:type="dxa"/>
            <w:tcBorders>
              <w:top w:val="single" w:color="auto" w:sz="4" w:space="0"/>
              <w:bottom w:val="single" w:color="auto" w:sz="4" w:space="0"/>
            </w:tcBorders>
            <w:vAlign w:val="top"/>
          </w:tcPr>
          <w:p w14:paraId="02DE7B68">
            <w:pPr>
              <w:spacing w:after="0" w:line="360" w:lineRule="auto"/>
              <w:jc w:val="center"/>
              <w:rPr>
                <w:rFonts w:hint="default" w:ascii="Times New Roman" w:hAnsi="Times New Roman" w:cs="Times New Roman"/>
                <w:b/>
                <w:bCs/>
                <w:vertAlign w:val="baseline"/>
              </w:rPr>
            </w:pPr>
            <w:r>
              <w:rPr>
                <w:rStyle w:val="18"/>
                <w:rFonts w:hint="default" w:ascii="Times New Roman" w:hAnsi="Times New Roman" w:eastAsia="SimSun" w:cs="Times New Roman"/>
                <w:b/>
                <w:bCs/>
                <w:sz w:val="24"/>
                <w:szCs w:val="24"/>
                <w:lang w:eastAsia="zh-CN" w:bidi="ar"/>
              </w:rPr>
              <w:t>Percentage (%)</w:t>
            </w:r>
          </w:p>
        </w:tc>
        <w:tc>
          <w:tcPr>
            <w:tcW w:w="1182" w:type="dxa"/>
            <w:tcBorders>
              <w:top w:val="single" w:color="auto" w:sz="4" w:space="0"/>
              <w:bottom w:val="single" w:color="auto" w:sz="4" w:space="0"/>
            </w:tcBorders>
            <w:vAlign w:val="top"/>
          </w:tcPr>
          <w:p w14:paraId="018FD8F5">
            <w:pPr>
              <w:spacing w:after="0" w:line="360" w:lineRule="auto"/>
              <w:jc w:val="center"/>
              <w:rPr>
                <w:rFonts w:hint="default" w:ascii="Times New Roman" w:hAnsi="Times New Roman" w:cs="Times New Roman"/>
                <w:b/>
                <w:bCs/>
                <w:vertAlign w:val="baseline"/>
              </w:rPr>
            </w:pPr>
            <w:r>
              <w:rPr>
                <w:rStyle w:val="18"/>
                <w:rFonts w:hint="default" w:ascii="Times New Roman" w:hAnsi="Times New Roman" w:eastAsia="SimSun" w:cs="Times New Roman"/>
                <w:b/>
                <w:bCs/>
                <w:sz w:val="24"/>
                <w:szCs w:val="24"/>
                <w:lang w:eastAsia="zh-CN" w:bidi="ar"/>
              </w:rPr>
              <w:t>Rank</w:t>
            </w:r>
          </w:p>
        </w:tc>
      </w:tr>
      <w:tr w14:paraId="51583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8" w:type="dxa"/>
            <w:right w:w="108" w:type="dxa"/>
          </w:tblCellMar>
        </w:tblPrEx>
        <w:tc>
          <w:tcPr>
            <w:tcW w:w="2808" w:type="dxa"/>
            <w:tcBorders>
              <w:top w:val="single" w:color="auto" w:sz="4" w:space="0"/>
              <w:tl2br w:val="nil"/>
              <w:tr2bl w:val="nil"/>
            </w:tcBorders>
            <w:vAlign w:val="center"/>
          </w:tcPr>
          <w:p w14:paraId="3A624AB5">
            <w:pPr>
              <w:spacing w:after="0" w:line="360" w:lineRule="auto"/>
              <w:jc w:val="left"/>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Poor ICT Infrastructure</w:t>
            </w:r>
          </w:p>
        </w:tc>
        <w:tc>
          <w:tcPr>
            <w:tcW w:w="3450" w:type="dxa"/>
            <w:tcBorders>
              <w:top w:val="single" w:color="auto" w:sz="4" w:space="0"/>
              <w:tl2br w:val="nil"/>
              <w:tr2bl w:val="nil"/>
            </w:tcBorders>
            <w:vAlign w:val="center"/>
          </w:tcPr>
          <w:p w14:paraId="0C81C2D6">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38</w:t>
            </w:r>
          </w:p>
        </w:tc>
        <w:tc>
          <w:tcPr>
            <w:tcW w:w="2070" w:type="dxa"/>
            <w:tcBorders>
              <w:top w:val="single" w:color="auto" w:sz="4" w:space="0"/>
              <w:tl2br w:val="nil"/>
              <w:tr2bl w:val="nil"/>
            </w:tcBorders>
            <w:vAlign w:val="center"/>
          </w:tcPr>
          <w:p w14:paraId="255A50A3">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31.7%</w:t>
            </w:r>
          </w:p>
        </w:tc>
        <w:tc>
          <w:tcPr>
            <w:tcW w:w="1182" w:type="dxa"/>
            <w:tcBorders>
              <w:top w:val="single" w:color="auto" w:sz="4" w:space="0"/>
              <w:tl2br w:val="nil"/>
              <w:tr2bl w:val="nil"/>
            </w:tcBorders>
            <w:vAlign w:val="center"/>
          </w:tcPr>
          <w:p w14:paraId="5C4AD0C5">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1</w:t>
            </w:r>
          </w:p>
        </w:tc>
      </w:tr>
      <w:tr w14:paraId="66933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8" w:type="dxa"/>
            <w:right w:w="108" w:type="dxa"/>
          </w:tblCellMar>
        </w:tblPrEx>
        <w:trPr>
          <w:trHeight w:val="293" w:hRule="atLeast"/>
        </w:trPr>
        <w:tc>
          <w:tcPr>
            <w:tcW w:w="2808" w:type="dxa"/>
            <w:tcBorders>
              <w:tl2br w:val="nil"/>
              <w:tr2bl w:val="nil"/>
            </w:tcBorders>
            <w:vAlign w:val="center"/>
          </w:tcPr>
          <w:p w14:paraId="405932CA">
            <w:pPr>
              <w:spacing w:after="0" w:line="360" w:lineRule="auto"/>
              <w:jc w:val="both"/>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Lack of Training</w:t>
            </w:r>
          </w:p>
        </w:tc>
        <w:tc>
          <w:tcPr>
            <w:tcW w:w="3450" w:type="dxa"/>
            <w:tcBorders>
              <w:tl2br w:val="nil"/>
              <w:tr2bl w:val="nil"/>
            </w:tcBorders>
            <w:vAlign w:val="center"/>
          </w:tcPr>
          <w:p w14:paraId="61F1C547">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32</w:t>
            </w:r>
          </w:p>
        </w:tc>
        <w:tc>
          <w:tcPr>
            <w:tcW w:w="2070" w:type="dxa"/>
            <w:tcBorders>
              <w:tl2br w:val="nil"/>
              <w:tr2bl w:val="nil"/>
            </w:tcBorders>
            <w:vAlign w:val="center"/>
          </w:tcPr>
          <w:p w14:paraId="1959BFB1">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26.7%</w:t>
            </w:r>
          </w:p>
        </w:tc>
        <w:tc>
          <w:tcPr>
            <w:tcW w:w="1182" w:type="dxa"/>
            <w:tcBorders>
              <w:tl2br w:val="nil"/>
              <w:tr2bl w:val="nil"/>
            </w:tcBorders>
            <w:vAlign w:val="center"/>
          </w:tcPr>
          <w:p w14:paraId="45A18DFF">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2</w:t>
            </w:r>
          </w:p>
        </w:tc>
      </w:tr>
      <w:tr w14:paraId="13FBD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8" w:type="dxa"/>
            <w:right w:w="108" w:type="dxa"/>
          </w:tblCellMar>
        </w:tblPrEx>
        <w:tc>
          <w:tcPr>
            <w:tcW w:w="2808" w:type="dxa"/>
            <w:tcBorders>
              <w:tl2br w:val="nil"/>
              <w:tr2bl w:val="nil"/>
            </w:tcBorders>
            <w:vAlign w:val="center"/>
          </w:tcPr>
          <w:p w14:paraId="416E875D">
            <w:pPr>
              <w:spacing w:after="0" w:line="360" w:lineRule="auto"/>
              <w:jc w:val="both"/>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Cost of AI Tools</w:t>
            </w:r>
          </w:p>
        </w:tc>
        <w:tc>
          <w:tcPr>
            <w:tcW w:w="3450" w:type="dxa"/>
            <w:tcBorders>
              <w:tl2br w:val="nil"/>
              <w:tr2bl w:val="nil"/>
            </w:tcBorders>
            <w:vAlign w:val="center"/>
          </w:tcPr>
          <w:p w14:paraId="1B112750">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28</w:t>
            </w:r>
          </w:p>
        </w:tc>
        <w:tc>
          <w:tcPr>
            <w:tcW w:w="2070" w:type="dxa"/>
            <w:tcBorders>
              <w:tl2br w:val="nil"/>
              <w:tr2bl w:val="nil"/>
            </w:tcBorders>
            <w:vAlign w:val="center"/>
          </w:tcPr>
          <w:p w14:paraId="52232EB8">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23.3%</w:t>
            </w:r>
          </w:p>
        </w:tc>
        <w:tc>
          <w:tcPr>
            <w:tcW w:w="1182" w:type="dxa"/>
            <w:tcBorders>
              <w:tl2br w:val="nil"/>
              <w:tr2bl w:val="nil"/>
            </w:tcBorders>
            <w:vAlign w:val="center"/>
          </w:tcPr>
          <w:p w14:paraId="4985D42C">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3</w:t>
            </w:r>
          </w:p>
        </w:tc>
      </w:tr>
      <w:tr w14:paraId="78DC3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8" w:type="dxa"/>
            <w:right w:w="108" w:type="dxa"/>
          </w:tblCellMar>
        </w:tblPrEx>
        <w:tc>
          <w:tcPr>
            <w:tcW w:w="2808" w:type="dxa"/>
            <w:tcBorders>
              <w:bottom w:val="single" w:color="auto" w:sz="4" w:space="0"/>
              <w:tl2br w:val="nil"/>
              <w:tr2bl w:val="nil"/>
            </w:tcBorders>
            <w:vAlign w:val="center"/>
          </w:tcPr>
          <w:p w14:paraId="13B06149">
            <w:pPr>
              <w:spacing w:after="0" w:line="360" w:lineRule="auto"/>
              <w:jc w:val="both"/>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Ethical Issues</w:t>
            </w:r>
          </w:p>
        </w:tc>
        <w:tc>
          <w:tcPr>
            <w:tcW w:w="3450" w:type="dxa"/>
            <w:tcBorders>
              <w:bottom w:val="single" w:color="auto" w:sz="4" w:space="0"/>
              <w:tl2br w:val="nil"/>
              <w:tr2bl w:val="nil"/>
            </w:tcBorders>
            <w:vAlign w:val="center"/>
          </w:tcPr>
          <w:p w14:paraId="17C0321C">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22</w:t>
            </w:r>
          </w:p>
        </w:tc>
        <w:tc>
          <w:tcPr>
            <w:tcW w:w="2070" w:type="dxa"/>
            <w:tcBorders>
              <w:bottom w:val="single" w:color="auto" w:sz="4" w:space="0"/>
              <w:tl2br w:val="nil"/>
              <w:tr2bl w:val="nil"/>
            </w:tcBorders>
            <w:vAlign w:val="center"/>
          </w:tcPr>
          <w:p w14:paraId="1E0B5A3D">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18.3%</w:t>
            </w:r>
          </w:p>
        </w:tc>
        <w:tc>
          <w:tcPr>
            <w:tcW w:w="1182" w:type="dxa"/>
            <w:tcBorders>
              <w:bottom w:val="single" w:color="auto" w:sz="4" w:space="0"/>
              <w:tl2br w:val="nil"/>
              <w:tr2bl w:val="nil"/>
            </w:tcBorders>
            <w:vAlign w:val="center"/>
          </w:tcPr>
          <w:p w14:paraId="1D69398D">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sz w:val="24"/>
                <w:szCs w:val="24"/>
                <w:lang w:eastAsia="zh-CN" w:bidi="ar"/>
              </w:rPr>
              <w:t>4</w:t>
            </w:r>
          </w:p>
        </w:tc>
      </w:tr>
      <w:tr w14:paraId="67884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8" w:type="dxa"/>
            <w:right w:w="108" w:type="dxa"/>
          </w:tblCellMar>
        </w:tblPrEx>
        <w:tc>
          <w:tcPr>
            <w:tcW w:w="2808" w:type="dxa"/>
            <w:tcBorders>
              <w:top w:val="single" w:color="auto" w:sz="4" w:space="0"/>
              <w:bottom w:val="single" w:color="auto" w:sz="4" w:space="0"/>
            </w:tcBorders>
            <w:vAlign w:val="center"/>
          </w:tcPr>
          <w:p w14:paraId="2FFD9CE0">
            <w:pPr>
              <w:spacing w:after="0" w:line="360" w:lineRule="auto"/>
              <w:jc w:val="both"/>
              <w:rPr>
                <w:rFonts w:hint="default" w:ascii="Times New Roman" w:hAnsi="Times New Roman" w:cs="Times New Roman"/>
                <w:b/>
                <w:bCs/>
                <w:vertAlign w:val="baseline"/>
              </w:rPr>
            </w:pPr>
            <w:r>
              <w:rPr>
                <w:rStyle w:val="18"/>
                <w:rFonts w:hint="default" w:ascii="Times New Roman" w:hAnsi="Times New Roman" w:eastAsia="SimSun" w:cs="Times New Roman"/>
                <w:b/>
                <w:bCs/>
                <w:sz w:val="24"/>
                <w:szCs w:val="24"/>
                <w:lang w:eastAsia="zh-CN" w:bidi="ar"/>
              </w:rPr>
              <w:t>Total</w:t>
            </w:r>
          </w:p>
        </w:tc>
        <w:tc>
          <w:tcPr>
            <w:tcW w:w="3450" w:type="dxa"/>
            <w:tcBorders>
              <w:top w:val="single" w:color="auto" w:sz="4" w:space="0"/>
              <w:bottom w:val="single" w:color="auto" w:sz="4" w:space="0"/>
            </w:tcBorders>
            <w:vAlign w:val="center"/>
          </w:tcPr>
          <w:p w14:paraId="75E405FD">
            <w:pPr>
              <w:spacing w:after="0" w:line="360" w:lineRule="auto"/>
              <w:jc w:val="center"/>
              <w:rPr>
                <w:rFonts w:hint="default" w:ascii="Times New Roman" w:hAnsi="Times New Roman" w:cs="Times New Roman"/>
                <w:b/>
                <w:bCs/>
                <w:vertAlign w:val="baseline"/>
              </w:rPr>
            </w:pPr>
            <w:r>
              <w:rPr>
                <w:rStyle w:val="18"/>
                <w:rFonts w:hint="default" w:ascii="Times New Roman" w:hAnsi="Times New Roman" w:eastAsia="SimSun" w:cs="Times New Roman"/>
                <w:b/>
                <w:bCs/>
                <w:sz w:val="24"/>
                <w:szCs w:val="24"/>
                <w:lang w:eastAsia="zh-CN" w:bidi="ar"/>
              </w:rPr>
              <w:t>120</w:t>
            </w:r>
          </w:p>
        </w:tc>
        <w:tc>
          <w:tcPr>
            <w:tcW w:w="2070" w:type="dxa"/>
            <w:tcBorders>
              <w:top w:val="single" w:color="auto" w:sz="4" w:space="0"/>
              <w:bottom w:val="single" w:color="auto" w:sz="4" w:space="0"/>
            </w:tcBorders>
            <w:vAlign w:val="center"/>
          </w:tcPr>
          <w:p w14:paraId="72148583">
            <w:pPr>
              <w:spacing w:after="0" w:line="360" w:lineRule="auto"/>
              <w:jc w:val="center"/>
              <w:rPr>
                <w:rFonts w:hint="default" w:ascii="Times New Roman" w:hAnsi="Times New Roman" w:cs="Times New Roman"/>
                <w:b/>
                <w:bCs/>
                <w:vertAlign w:val="baseline"/>
              </w:rPr>
            </w:pPr>
            <w:r>
              <w:rPr>
                <w:rStyle w:val="18"/>
                <w:rFonts w:hint="default" w:ascii="Times New Roman" w:hAnsi="Times New Roman" w:eastAsia="SimSun" w:cs="Times New Roman"/>
                <w:b/>
                <w:bCs/>
                <w:sz w:val="24"/>
                <w:szCs w:val="24"/>
                <w:lang w:eastAsia="zh-CN" w:bidi="ar"/>
              </w:rPr>
              <w:t>100%</w:t>
            </w:r>
          </w:p>
        </w:tc>
        <w:tc>
          <w:tcPr>
            <w:tcW w:w="1182" w:type="dxa"/>
            <w:tcBorders>
              <w:top w:val="single" w:color="auto" w:sz="4" w:space="0"/>
              <w:bottom w:val="single" w:color="auto" w:sz="4" w:space="0"/>
            </w:tcBorders>
            <w:vAlign w:val="center"/>
          </w:tcPr>
          <w:p w14:paraId="332A3E65">
            <w:pPr>
              <w:spacing w:after="0" w:line="360" w:lineRule="auto"/>
              <w:jc w:val="center"/>
              <w:rPr>
                <w:rFonts w:hint="default" w:ascii="Times New Roman" w:hAnsi="Times New Roman" w:cs="Times New Roman"/>
                <w:b/>
                <w:bCs/>
                <w:vertAlign w:val="baseline"/>
              </w:rPr>
            </w:pPr>
            <w:r>
              <w:rPr>
                <w:rFonts w:hint="default" w:ascii="Times New Roman" w:hAnsi="Times New Roman" w:eastAsia="SimSun" w:cs="Times New Roman"/>
                <w:b/>
                <w:bCs/>
                <w:sz w:val="24"/>
                <w:szCs w:val="24"/>
                <w:lang w:eastAsia="zh-CN" w:bidi="ar"/>
              </w:rPr>
              <w:t>—</w:t>
            </w:r>
          </w:p>
        </w:tc>
      </w:tr>
    </w:tbl>
    <w:p w14:paraId="1FC5EA71">
      <w:pPr>
        <w:pStyle w:val="17"/>
        <w:spacing w:beforeAutospacing="0" w:afterAutospacing="0" w:line="360" w:lineRule="auto"/>
        <w:ind w:left="1440" w:hanging="1440"/>
        <w:jc w:val="both"/>
        <w:rPr>
          <w:rFonts w:hint="default" w:ascii="Times New Roman" w:hAnsi="Times New Roman" w:cs="Times New Roman"/>
          <w:b/>
          <w:bCs/>
        </w:rPr>
      </w:pPr>
    </w:p>
    <w:p w14:paraId="7839FA86">
      <w:pPr>
        <w:pStyle w:val="5"/>
        <w:keepNext w:val="0"/>
        <w:keepLines w:val="0"/>
        <w:spacing w:before="0" w:after="0" w:line="360" w:lineRule="auto"/>
        <w:ind w:firstLine="720"/>
        <w:jc w:val="both"/>
        <w:rPr>
          <w:rFonts w:hint="default" w:ascii="Times New Roman" w:hAnsi="Times New Roman" w:cs="Times New Roman"/>
          <w:i w:val="0"/>
          <w:iCs w:val="0"/>
          <w:color w:val="auto"/>
          <w:sz w:val="24"/>
          <w:szCs w:val="24"/>
        </w:rPr>
      </w:pPr>
      <w:r>
        <w:rPr>
          <w:rStyle w:val="18"/>
          <w:rFonts w:hint="default" w:ascii="Times New Roman" w:hAnsi="Times New Roman" w:cs="Times New Roman"/>
          <w:b w:val="0"/>
          <w:bCs w:val="0"/>
          <w:i w:val="0"/>
          <w:iCs w:val="0"/>
          <w:color w:val="auto"/>
          <w:sz w:val="24"/>
          <w:szCs w:val="24"/>
          <w:lang w:val="en-GB"/>
        </w:rPr>
        <w:t xml:space="preserve">The analysis in TABLE 3 shows that </w:t>
      </w:r>
      <w:r>
        <w:rPr>
          <w:rStyle w:val="18"/>
          <w:rFonts w:hint="default" w:ascii="Times New Roman" w:hAnsi="Times New Roman" w:cs="Times New Roman"/>
          <w:b w:val="0"/>
          <w:bCs w:val="0"/>
          <w:i w:val="0"/>
          <w:iCs w:val="0"/>
          <w:color w:val="auto"/>
          <w:sz w:val="24"/>
          <w:szCs w:val="24"/>
        </w:rPr>
        <w:t>Poor ICT Infrastructure</w:t>
      </w:r>
      <w:r>
        <w:rPr>
          <w:rFonts w:hint="default" w:ascii="Times New Roman" w:hAnsi="Times New Roman" w:cs="Times New Roman"/>
          <w:i w:val="0"/>
          <w:iCs w:val="0"/>
          <w:color w:val="auto"/>
          <w:sz w:val="24"/>
          <w:szCs w:val="24"/>
        </w:rPr>
        <w:t xml:space="preserve"> is the most cited challenge.</w:t>
      </w:r>
      <w:r>
        <w:rPr>
          <w:rFonts w:hint="default" w:ascii="Times New Roman" w:hAnsi="Times New Roman" w:cs="Times New Roman"/>
          <w:i w:val="0"/>
          <w:iCs w:val="0"/>
          <w:color w:val="auto"/>
          <w:sz w:val="24"/>
          <w:szCs w:val="24"/>
          <w:lang w:val="en-GB"/>
        </w:rPr>
        <w:t xml:space="preserve"> </w:t>
      </w:r>
      <w:r>
        <w:rPr>
          <w:rStyle w:val="18"/>
          <w:rFonts w:hint="default" w:ascii="Times New Roman" w:hAnsi="Times New Roman" w:cs="Times New Roman"/>
          <w:b w:val="0"/>
          <w:bCs w:val="0"/>
          <w:i w:val="0"/>
          <w:iCs w:val="0"/>
          <w:color w:val="auto"/>
          <w:sz w:val="24"/>
          <w:szCs w:val="24"/>
        </w:rPr>
        <w:t>Ethical Issues</w:t>
      </w:r>
      <w:r>
        <w:rPr>
          <w:rFonts w:hint="default" w:ascii="Times New Roman" w:hAnsi="Times New Roman" w:cs="Times New Roman"/>
          <w:i w:val="0"/>
          <w:iCs w:val="0"/>
          <w:color w:val="auto"/>
          <w:sz w:val="24"/>
          <w:szCs w:val="24"/>
        </w:rPr>
        <w:t xml:space="preserve"> are the least cited but still significant.</w:t>
      </w:r>
      <w:r>
        <w:rPr>
          <w:rFonts w:hint="default" w:ascii="Times New Roman" w:hAnsi="Times New Roman" w:cs="Times New Roman"/>
          <w:i w:val="0"/>
          <w:iCs w:val="0"/>
          <w:color w:val="auto"/>
          <w:sz w:val="24"/>
          <w:szCs w:val="24"/>
          <w:lang w:val="en-GB"/>
        </w:rPr>
        <w:t xml:space="preserve"> </w:t>
      </w:r>
      <w:r>
        <w:rPr>
          <w:rStyle w:val="18"/>
          <w:rFonts w:hint="default" w:ascii="Times New Roman" w:hAnsi="Times New Roman" w:cs="Times New Roman"/>
          <w:b w:val="0"/>
          <w:bCs w:val="0"/>
          <w:i w:val="0"/>
          <w:iCs w:val="0"/>
          <w:color w:val="auto"/>
          <w:sz w:val="24"/>
          <w:szCs w:val="24"/>
        </w:rPr>
        <w:t>Poor ICT Infrastructure</w:t>
      </w:r>
      <w:r>
        <w:rPr>
          <w:rFonts w:hint="default" w:ascii="Times New Roman" w:hAnsi="Times New Roman" w:cs="Times New Roman"/>
          <w:i w:val="0"/>
          <w:iCs w:val="0"/>
          <w:color w:val="auto"/>
          <w:sz w:val="24"/>
          <w:szCs w:val="24"/>
        </w:rPr>
        <w:t xml:space="preserve"> is a persistent barrier across African institutions.</w:t>
      </w:r>
      <w:r>
        <w:rPr>
          <w:rFonts w:hint="default" w:ascii="Times New Roman" w:hAnsi="Times New Roman" w:cs="Times New Roman"/>
          <w:i w:val="0"/>
          <w:iCs w:val="0"/>
          <w:color w:val="auto"/>
          <w:sz w:val="24"/>
          <w:szCs w:val="24"/>
          <w:lang w:val="en-GB"/>
        </w:rPr>
        <w:t xml:space="preserve"> This finding is in line with</w:t>
      </w:r>
      <w:r>
        <w:rPr>
          <w:rFonts w:hint="default" w:ascii="Times New Roman" w:hAnsi="Times New Roman" w:cs="Times New Roman"/>
          <w:i w:val="0"/>
          <w:iCs w:val="0"/>
          <w:color w:val="auto"/>
          <w:sz w:val="24"/>
          <w:szCs w:val="24"/>
        </w:rPr>
        <w:t xml:space="preserve"> </w:t>
      </w:r>
      <w:r>
        <w:rPr>
          <w:rStyle w:val="18"/>
          <w:rFonts w:hint="default" w:ascii="Times New Roman" w:hAnsi="Times New Roman" w:cs="Times New Roman"/>
          <w:b w:val="0"/>
          <w:bCs w:val="0"/>
          <w:i w:val="0"/>
          <w:iCs w:val="0"/>
          <w:color w:val="auto"/>
          <w:sz w:val="24"/>
          <w:szCs w:val="24"/>
        </w:rPr>
        <w:t>Emumejakpor and Ovie (2024)</w:t>
      </w:r>
      <w:r>
        <w:rPr>
          <w:rStyle w:val="18"/>
          <w:rFonts w:hint="default" w:ascii="Times New Roman" w:hAnsi="Times New Roman" w:cs="Times New Roman"/>
          <w:b w:val="0"/>
          <w:bCs w:val="0"/>
          <w:i w:val="0"/>
          <w:iCs w:val="0"/>
          <w:color w:val="auto"/>
          <w:sz w:val="24"/>
          <w:szCs w:val="24"/>
          <w:lang w:val="en-GB"/>
        </w:rPr>
        <w:t xml:space="preserve"> who</w:t>
      </w:r>
      <w:r>
        <w:rPr>
          <w:rStyle w:val="18"/>
          <w:rFonts w:hint="default" w:ascii="Times New Roman" w:hAnsi="Times New Roman" w:cs="Times New Roman"/>
          <w:color w:val="auto"/>
          <w:sz w:val="24"/>
          <w:szCs w:val="24"/>
          <w:lang w:val="en-GB"/>
        </w:rPr>
        <w:t xml:space="preserve"> </w:t>
      </w:r>
      <w:r>
        <w:rPr>
          <w:rFonts w:hint="default" w:ascii="Times New Roman" w:hAnsi="Times New Roman" w:cs="Times New Roman"/>
          <w:i w:val="0"/>
          <w:iCs w:val="0"/>
          <w:color w:val="auto"/>
          <w:sz w:val="24"/>
          <w:szCs w:val="24"/>
        </w:rPr>
        <w:t xml:space="preserve"> identified inadequate ICT infrastructure, limited funding, and low digital literacy as major barriers to AI adoption in libraries</w:t>
      </w:r>
      <w:r>
        <w:rPr>
          <w:rFonts w:hint="default" w:ascii="Times New Roman" w:hAnsi="Times New Roman" w:cs="Times New Roman"/>
          <w:i w:val="0"/>
          <w:iCs w:val="0"/>
          <w:color w:val="auto"/>
          <w:sz w:val="24"/>
          <w:szCs w:val="24"/>
          <w:lang w:val="en-GB"/>
        </w:rPr>
        <w:t xml:space="preserve"> </w:t>
      </w:r>
      <w:r>
        <w:rPr>
          <w:rFonts w:hint="default" w:ascii="Times New Roman" w:hAnsi="Times New Roman" w:cs="Times New Roman"/>
          <w:i w:val="0"/>
          <w:iCs w:val="0"/>
          <w:color w:val="auto"/>
          <w:sz w:val="24"/>
          <w:szCs w:val="24"/>
        </w:rPr>
        <w:t xml:space="preserve">According to the </w:t>
      </w:r>
      <w:r>
        <w:rPr>
          <w:rFonts w:hint="default" w:ascii="Times New Roman" w:hAnsi="Times New Roman" w:cs="Times New Roman"/>
        </w:rPr>
        <w:fldChar w:fldCharType="begin"/>
      </w:r>
      <w:r>
        <w:rPr>
          <w:rFonts w:hint="default" w:ascii="Times New Roman" w:hAnsi="Times New Roman" w:cs="Times New Roman"/>
        </w:rPr>
        <w:instrText xml:space="preserve"> HYPERLINK "https://cipit.org/wp-content/uploads/2023/06/Final-Report-The-State-of-AI-in-Africa-Report-2023.pdf" </w:instrText>
      </w:r>
      <w:r>
        <w:rPr>
          <w:rFonts w:hint="default" w:ascii="Times New Roman" w:hAnsi="Times New Roman" w:cs="Times New Roman"/>
        </w:rPr>
        <w:fldChar w:fldCharType="separate"/>
      </w:r>
      <w:r>
        <w:rPr>
          <w:rStyle w:val="16"/>
          <w:rFonts w:hint="default" w:ascii="Times New Roman" w:hAnsi="Times New Roman" w:cs="Times New Roman"/>
          <w:i w:val="0"/>
          <w:iCs w:val="0"/>
          <w:color w:val="auto"/>
          <w:sz w:val="24"/>
          <w:szCs w:val="24"/>
          <w:u w:val="none"/>
        </w:rPr>
        <w:t>State of AI in Africa Report (2023)</w:t>
      </w:r>
      <w:r>
        <w:rPr>
          <w:rStyle w:val="16"/>
          <w:rFonts w:hint="default" w:ascii="Times New Roman" w:hAnsi="Times New Roman" w:cs="Times New Roman"/>
          <w:i w:val="0"/>
          <w:iCs w:val="0"/>
          <w:color w:val="auto"/>
          <w:sz w:val="24"/>
          <w:szCs w:val="24"/>
          <w:u w:val="none"/>
        </w:rPr>
        <w:fldChar w:fldCharType="end"/>
      </w:r>
      <w:r>
        <w:rPr>
          <w:rFonts w:hint="default" w:ascii="Times New Roman" w:hAnsi="Times New Roman" w:cs="Times New Roman"/>
          <w:i w:val="0"/>
          <w:iCs w:val="0"/>
          <w:color w:val="auto"/>
          <w:sz w:val="24"/>
          <w:szCs w:val="24"/>
        </w:rPr>
        <w:t>, challenges include unreliable internet, power outages, and limited access to devices and data ecosystems.</w:t>
      </w:r>
      <w:r>
        <w:rPr>
          <w:rFonts w:hint="default" w:ascii="Times New Roman" w:hAnsi="Times New Roman" w:cs="Times New Roman"/>
          <w:i w:val="0"/>
          <w:iCs w:val="0"/>
          <w:color w:val="auto"/>
          <w:sz w:val="24"/>
          <w:szCs w:val="24"/>
          <w:lang w:val="en-GB"/>
        </w:rPr>
        <w:t xml:space="preserve"> </w:t>
      </w:r>
      <w:r>
        <w:rPr>
          <w:rStyle w:val="18"/>
          <w:rFonts w:hint="default" w:ascii="Times New Roman" w:hAnsi="Times New Roman" w:cs="Times New Roman"/>
          <w:b w:val="0"/>
          <w:bCs w:val="0"/>
          <w:i w:val="0"/>
          <w:iCs w:val="0"/>
          <w:color w:val="auto"/>
          <w:sz w:val="24"/>
          <w:szCs w:val="24"/>
        </w:rPr>
        <w:t>Lack of Training</w:t>
      </w:r>
      <w:r>
        <w:rPr>
          <w:rFonts w:hint="default" w:ascii="Times New Roman" w:hAnsi="Times New Roman" w:cs="Times New Roman"/>
          <w:b/>
          <w:bCs/>
          <w:i w:val="0"/>
          <w:iCs w:val="0"/>
          <w:color w:val="auto"/>
          <w:sz w:val="24"/>
          <w:szCs w:val="24"/>
        </w:rPr>
        <w:t xml:space="preserve"> </w:t>
      </w:r>
      <w:r>
        <w:rPr>
          <w:rFonts w:hint="default" w:ascii="Times New Roman" w:hAnsi="Times New Roman" w:cs="Times New Roman"/>
          <w:i w:val="0"/>
          <w:iCs w:val="0"/>
          <w:color w:val="auto"/>
          <w:sz w:val="24"/>
          <w:szCs w:val="24"/>
        </w:rPr>
        <w:t xml:space="preserve">and digital literacy gaps are </w:t>
      </w:r>
      <w:r>
        <w:rPr>
          <w:rFonts w:hint="default" w:ascii="Times New Roman" w:hAnsi="Times New Roman" w:cs="Times New Roman"/>
          <w:i w:val="0"/>
          <w:iCs w:val="0"/>
          <w:color w:val="auto"/>
          <w:sz w:val="24"/>
          <w:szCs w:val="24"/>
          <w:lang w:val="en-GB"/>
        </w:rPr>
        <w:t xml:space="preserve">also </w:t>
      </w:r>
      <w:r>
        <w:rPr>
          <w:rFonts w:hint="default" w:ascii="Times New Roman" w:hAnsi="Times New Roman" w:cs="Times New Roman"/>
          <w:i w:val="0"/>
          <w:iCs w:val="0"/>
          <w:color w:val="auto"/>
          <w:sz w:val="24"/>
          <w:szCs w:val="24"/>
        </w:rPr>
        <w:t>highlighted where educators report limited exposure to AI tools and methodologies.</w:t>
      </w:r>
      <w:r>
        <w:rPr>
          <w:rFonts w:hint="default" w:ascii="Times New Roman" w:hAnsi="Times New Roman" w:cs="Times New Roman"/>
          <w:i w:val="0"/>
          <w:iCs w:val="0"/>
          <w:color w:val="auto"/>
          <w:sz w:val="24"/>
          <w:szCs w:val="24"/>
          <w:lang w:val="en-GB"/>
        </w:rPr>
        <w:t xml:space="preserve"> </w:t>
      </w:r>
      <w:r>
        <w:rPr>
          <w:rStyle w:val="18"/>
          <w:rFonts w:hint="default" w:ascii="Times New Roman" w:hAnsi="Times New Roman" w:cs="Times New Roman"/>
          <w:b w:val="0"/>
          <w:bCs w:val="0"/>
          <w:i w:val="0"/>
          <w:iCs w:val="0"/>
          <w:color w:val="auto"/>
          <w:sz w:val="24"/>
          <w:szCs w:val="24"/>
        </w:rPr>
        <w:t>Ethical Issues</w:t>
      </w:r>
      <w:r>
        <w:rPr>
          <w:rFonts w:hint="default" w:ascii="Times New Roman" w:hAnsi="Times New Roman" w:cs="Times New Roman"/>
          <w:i w:val="0"/>
          <w:iCs w:val="0"/>
          <w:color w:val="auto"/>
          <w:sz w:val="24"/>
          <w:szCs w:val="24"/>
        </w:rPr>
        <w:t xml:space="preserve"> such as algorithmic bias and data privacy are under-addressed due to weak regulatory frameworks. </w:t>
      </w:r>
      <w:r>
        <w:rPr>
          <w:rFonts w:hint="default" w:ascii="Times New Roman" w:hAnsi="Times New Roman" w:cs="Times New Roman"/>
          <w:i w:val="0"/>
          <w:iCs w:val="0"/>
          <w:color w:val="auto"/>
          <w:sz w:val="24"/>
          <w:szCs w:val="24"/>
          <w:lang w:val="en-GB"/>
        </w:rPr>
        <w:t xml:space="preserve"> </w:t>
      </w:r>
      <w:r>
        <w:rPr>
          <w:rFonts w:hint="default" w:ascii="Times New Roman" w:hAnsi="Times New Roman" w:cs="Times New Roman"/>
          <w:i w:val="0"/>
          <w:iCs w:val="0"/>
          <w:color w:val="auto"/>
          <w:sz w:val="24"/>
          <w:szCs w:val="24"/>
        </w:rPr>
        <w:t>Globally, ethical concerns are more pronounced due to advanced deployment of AI. The South African Journal of Higher Education notes that while generative AI boosts productivity, it also raises concerns about misuse, plagiarism, and lack of policy oversight.</w:t>
      </w:r>
      <w:r>
        <w:rPr>
          <w:rFonts w:hint="default" w:ascii="Times New Roman" w:hAnsi="Times New Roman" w:cs="Times New Roman"/>
          <w:i w:val="0"/>
          <w:iCs w:val="0"/>
          <w:color w:val="auto"/>
          <w:sz w:val="24"/>
          <w:szCs w:val="24"/>
          <w:lang w:val="en-GB"/>
        </w:rPr>
        <w:t xml:space="preserve"> </w:t>
      </w:r>
      <w:r>
        <w:rPr>
          <w:rFonts w:hint="default" w:ascii="Times New Roman" w:hAnsi="Times New Roman" w:cs="Times New Roman"/>
          <w:i w:val="0"/>
          <w:iCs w:val="0"/>
          <w:color w:val="auto"/>
          <w:sz w:val="24"/>
          <w:szCs w:val="24"/>
        </w:rPr>
        <w:t>Cost barriers are less severe in developed regions but remain a challenge in low-resource settings, especially where institutional budgets are constrained.</w:t>
      </w:r>
    </w:p>
    <w:p w14:paraId="634CE9F4">
      <w:pPr>
        <w:spacing w:after="0" w:line="360" w:lineRule="auto"/>
        <w:jc w:val="both"/>
        <w:rPr>
          <w:rFonts w:hint="default" w:ascii="Times New Roman" w:hAnsi="Times New Roman" w:cs="Times New Roman"/>
          <w:sz w:val="21"/>
          <w:szCs w:val="21"/>
        </w:rPr>
      </w:pPr>
    </w:p>
    <w:p w14:paraId="18B81879">
      <w:pPr>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Research Question Four</w:t>
      </w:r>
    </w:p>
    <w:p w14:paraId="698FA3D6">
      <w:pPr>
        <w:spacing w:after="0" w:line="360" w:lineRule="auto"/>
        <w:jc w:val="both"/>
        <w:rPr>
          <w:rFonts w:hint="default" w:ascii="Times New Roman" w:hAnsi="Times New Roman" w:cs="Times New Roman"/>
          <w:i/>
          <w:iCs/>
          <w:sz w:val="24"/>
          <w:szCs w:val="24"/>
          <w:lang w:val="en-GB"/>
        </w:rPr>
      </w:pPr>
      <w:r>
        <w:rPr>
          <w:rFonts w:hint="default" w:ascii="Times New Roman" w:hAnsi="Times New Roman" w:cs="Times New Roman"/>
          <w:sz w:val="24"/>
          <w:szCs w:val="24"/>
        </w:rPr>
        <w:t xml:space="preserve">What </w:t>
      </w:r>
      <w:r>
        <w:rPr>
          <w:rFonts w:hint="default" w:ascii="Times New Roman" w:hAnsi="Times New Roman" w:cs="Times New Roman"/>
          <w:sz w:val="24"/>
          <w:szCs w:val="24"/>
          <w:lang w:val="en-GB"/>
        </w:rPr>
        <w:t>framework</w:t>
      </w:r>
      <w:r>
        <w:rPr>
          <w:rFonts w:hint="default" w:ascii="Times New Roman" w:hAnsi="Times New Roman" w:cs="Times New Roman"/>
          <w:sz w:val="24"/>
          <w:szCs w:val="24"/>
        </w:rPr>
        <w:t xml:space="preserve"> can guide effective human–AI collaboration in academic libraries in Cross River State</w:t>
      </w:r>
      <w:r>
        <w:rPr>
          <w:rFonts w:hint="default" w:ascii="Times New Roman" w:hAnsi="Times New Roman" w:cs="Times New Roman"/>
          <w:i/>
          <w:iCs/>
          <w:sz w:val="24"/>
          <w:szCs w:val="24"/>
        </w:rPr>
        <w:t>?</w:t>
      </w:r>
      <w:r>
        <w:rPr>
          <w:rFonts w:hint="default" w:ascii="Times New Roman" w:hAnsi="Times New Roman" w:cs="Times New Roman"/>
          <w:i/>
          <w:iCs/>
          <w:sz w:val="24"/>
          <w:szCs w:val="24"/>
          <w:lang w:val="en-GB"/>
        </w:rPr>
        <w:t xml:space="preserve"> </w:t>
      </w:r>
    </w:p>
    <w:p w14:paraId="30043956">
      <w:pPr>
        <w:pStyle w:val="17"/>
        <w:spacing w:beforeAutospacing="0" w:afterAutospacing="0" w:line="360" w:lineRule="auto"/>
        <w:ind w:left="1440" w:hanging="1440"/>
        <w:jc w:val="both"/>
        <w:rPr>
          <w:rFonts w:hint="default" w:ascii="Times New Roman" w:hAnsi="Times New Roman" w:cs="Times New Roman"/>
          <w:b/>
          <w:bCs/>
        </w:rPr>
      </w:pPr>
      <w:r>
        <w:rPr>
          <w:rFonts w:hint="default" w:ascii="Times New Roman" w:hAnsi="Times New Roman" w:cs="Times New Roman"/>
          <w:b/>
          <w:bCs/>
          <w:lang w:val="en-GB"/>
        </w:rPr>
        <w:t>Table 4.</w:t>
      </w:r>
      <w:r>
        <w:rPr>
          <w:rFonts w:hint="default" w:ascii="Times New Roman" w:hAnsi="Times New Roman" w:cs="Times New Roman"/>
          <w:b/>
          <w:bCs/>
          <w:lang w:val="en-GB"/>
        </w:rPr>
        <w:t xml:space="preserve"> </w:t>
      </w:r>
      <w:r>
        <w:rPr>
          <w:rFonts w:hint="default" w:ascii="Times New Roman" w:hAnsi="Times New Roman" w:cs="Times New Roman"/>
          <w:b/>
          <w:bCs/>
          <w:lang w:val="en-GB"/>
        </w:rPr>
        <w:tab/>
      </w:r>
      <w:r>
        <w:rPr>
          <w:rFonts w:hint="default" w:ascii="Times New Roman" w:hAnsi="Times New Roman" w:cs="Times New Roman"/>
          <w:b/>
          <w:bCs/>
          <w:lang w:val="en-GB"/>
        </w:rPr>
        <w:t>A</w:t>
      </w:r>
      <w:r>
        <w:rPr>
          <w:rFonts w:hint="default" w:ascii="Times New Roman" w:hAnsi="Times New Roman" w:cs="Times New Roman"/>
          <w:b/>
          <w:bCs/>
        </w:rPr>
        <w:t xml:space="preserve"> tabular presentation using </w:t>
      </w:r>
      <w:r>
        <w:rPr>
          <w:rStyle w:val="18"/>
          <w:rFonts w:hint="default" w:ascii="Times New Roman" w:hAnsi="Times New Roman" w:cs="Times New Roman"/>
          <w:b/>
          <w:bCs/>
        </w:rPr>
        <w:t>Weighted Frequency Analysis</w:t>
      </w:r>
      <w:r>
        <w:rPr>
          <w:rFonts w:hint="default" w:ascii="Times New Roman" w:hAnsi="Times New Roman" w:cs="Times New Roman"/>
          <w:b/>
          <w:bCs/>
        </w:rPr>
        <w:t xml:space="preserve"> from a survey of 120 respondents.</w:t>
      </w:r>
    </w:p>
    <w:tbl>
      <w:tblPr>
        <w:tblStyle w:val="12"/>
        <w:tblW w:w="0" w:type="auto"/>
        <w:tblCellSpacing w:w="15" w:type="dxa"/>
        <w:tblInd w:w="0" w:type="dxa"/>
        <w:tblLayout w:type="autofit"/>
        <w:tblCellMar>
          <w:top w:w="15" w:type="dxa"/>
          <w:left w:w="15" w:type="dxa"/>
          <w:bottom w:w="15" w:type="dxa"/>
          <w:right w:w="15" w:type="dxa"/>
        </w:tblCellMar>
      </w:tblPr>
      <w:tblGrid>
        <w:gridCol w:w="4088"/>
        <w:gridCol w:w="2752"/>
        <w:gridCol w:w="1650"/>
        <w:gridCol w:w="885"/>
      </w:tblGrid>
      <w:tr w14:paraId="792B0084">
        <w:tblPrEx>
          <w:tblCellMar>
            <w:top w:w="15" w:type="dxa"/>
            <w:left w:w="15" w:type="dxa"/>
            <w:bottom w:w="15" w:type="dxa"/>
            <w:right w:w="15" w:type="dxa"/>
          </w:tblCellMar>
        </w:tblPrEx>
        <w:trPr>
          <w:tblHeader/>
          <w:tblCellSpacing w:w="15" w:type="dxa"/>
        </w:trPr>
        <w:tc>
          <w:tcPr>
            <w:tcW w:w="4043" w:type="dxa"/>
            <w:tcBorders>
              <w:top w:val="single" w:color="auto" w:sz="4" w:space="0"/>
              <w:bottom w:val="single" w:color="auto" w:sz="4" w:space="0"/>
            </w:tcBorders>
            <w:vAlign w:val="center"/>
          </w:tcPr>
          <w:p w14:paraId="2D186366">
            <w:pPr>
              <w:spacing w:after="0" w:line="360" w:lineRule="auto"/>
              <w:jc w:val="both"/>
              <w:rPr>
                <w:rFonts w:hint="default" w:ascii="Times New Roman" w:hAnsi="Times New Roman" w:cs="Times New Roman"/>
                <w:b/>
                <w:bCs/>
                <w:sz w:val="24"/>
                <w:szCs w:val="24"/>
              </w:rPr>
            </w:pPr>
            <w:r>
              <w:rPr>
                <w:rStyle w:val="18"/>
                <w:rFonts w:hint="default" w:ascii="Times New Roman" w:hAnsi="Times New Roman" w:eastAsia="SimSun" w:cs="Times New Roman"/>
                <w:sz w:val="24"/>
                <w:szCs w:val="24"/>
                <w:lang w:eastAsia="zh-CN" w:bidi="ar"/>
              </w:rPr>
              <w:t>Framework Component</w:t>
            </w:r>
          </w:p>
        </w:tc>
        <w:tc>
          <w:tcPr>
            <w:tcW w:w="2722" w:type="dxa"/>
            <w:tcBorders>
              <w:top w:val="single" w:color="auto" w:sz="4" w:space="0"/>
              <w:bottom w:val="single" w:color="auto" w:sz="4" w:space="0"/>
            </w:tcBorders>
            <w:vAlign w:val="center"/>
          </w:tcPr>
          <w:p w14:paraId="1BA9FAA7">
            <w:pPr>
              <w:spacing w:after="0" w:line="360" w:lineRule="auto"/>
              <w:jc w:val="center"/>
              <w:rPr>
                <w:rFonts w:hint="default" w:ascii="Times New Roman" w:hAnsi="Times New Roman" w:cs="Times New Roman"/>
                <w:b/>
                <w:bCs/>
                <w:sz w:val="24"/>
                <w:szCs w:val="24"/>
              </w:rPr>
            </w:pPr>
            <w:r>
              <w:rPr>
                <w:rStyle w:val="18"/>
                <w:rFonts w:hint="default" w:ascii="Times New Roman" w:hAnsi="Times New Roman" w:eastAsia="SimSun" w:cs="Times New Roman"/>
                <w:sz w:val="24"/>
                <w:szCs w:val="24"/>
                <w:lang w:eastAsia="zh-CN" w:bidi="ar"/>
              </w:rPr>
              <w:t>Frequency of Responses</w:t>
            </w:r>
          </w:p>
        </w:tc>
        <w:tc>
          <w:tcPr>
            <w:tcW w:w="1620" w:type="dxa"/>
            <w:tcBorders>
              <w:top w:val="single" w:color="auto" w:sz="4" w:space="0"/>
              <w:bottom w:val="single" w:color="auto" w:sz="4" w:space="0"/>
            </w:tcBorders>
            <w:vAlign w:val="center"/>
          </w:tcPr>
          <w:p w14:paraId="63018DCA">
            <w:pPr>
              <w:spacing w:after="0" w:line="360" w:lineRule="auto"/>
              <w:jc w:val="center"/>
              <w:rPr>
                <w:rFonts w:hint="default" w:ascii="Times New Roman" w:hAnsi="Times New Roman" w:cs="Times New Roman"/>
                <w:b/>
                <w:bCs/>
                <w:sz w:val="24"/>
                <w:szCs w:val="24"/>
              </w:rPr>
            </w:pPr>
            <w:r>
              <w:rPr>
                <w:rStyle w:val="18"/>
                <w:rFonts w:hint="default" w:ascii="Times New Roman" w:hAnsi="Times New Roman" w:eastAsia="SimSun" w:cs="Times New Roman"/>
                <w:sz w:val="24"/>
                <w:szCs w:val="24"/>
                <w:lang w:eastAsia="zh-CN" w:bidi="ar"/>
              </w:rPr>
              <w:t>Weight (%)</w:t>
            </w:r>
          </w:p>
        </w:tc>
        <w:tc>
          <w:tcPr>
            <w:tcW w:w="840" w:type="dxa"/>
            <w:tcBorders>
              <w:top w:val="single" w:color="auto" w:sz="4" w:space="0"/>
              <w:bottom w:val="single" w:color="auto" w:sz="4" w:space="0"/>
            </w:tcBorders>
            <w:vAlign w:val="center"/>
          </w:tcPr>
          <w:p w14:paraId="4DA97644">
            <w:pPr>
              <w:spacing w:after="0" w:line="360" w:lineRule="auto"/>
              <w:jc w:val="center"/>
              <w:rPr>
                <w:rFonts w:hint="default" w:ascii="Times New Roman" w:hAnsi="Times New Roman" w:cs="Times New Roman"/>
                <w:b/>
                <w:bCs/>
                <w:sz w:val="24"/>
                <w:szCs w:val="24"/>
              </w:rPr>
            </w:pPr>
            <w:r>
              <w:rPr>
                <w:rStyle w:val="18"/>
                <w:rFonts w:hint="default" w:ascii="Times New Roman" w:hAnsi="Times New Roman" w:eastAsia="SimSun" w:cs="Times New Roman"/>
                <w:sz w:val="24"/>
                <w:szCs w:val="24"/>
                <w:lang w:eastAsia="zh-CN" w:bidi="ar"/>
              </w:rPr>
              <w:t>Rank</w:t>
            </w:r>
          </w:p>
        </w:tc>
      </w:tr>
      <w:tr w14:paraId="70340C73">
        <w:tblPrEx>
          <w:tblCellMar>
            <w:top w:w="15" w:type="dxa"/>
            <w:left w:w="15" w:type="dxa"/>
            <w:bottom w:w="15" w:type="dxa"/>
            <w:right w:w="15" w:type="dxa"/>
          </w:tblCellMar>
        </w:tblPrEx>
        <w:trPr>
          <w:tblCellSpacing w:w="15" w:type="dxa"/>
        </w:trPr>
        <w:tc>
          <w:tcPr>
            <w:tcW w:w="4043" w:type="dxa"/>
            <w:vAlign w:val="center"/>
          </w:tcPr>
          <w:p w14:paraId="01BFC4CA">
            <w:pPr>
              <w:spacing w:after="0" w:line="360" w:lineRule="auto"/>
              <w:jc w:val="both"/>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Digital Infrastructure &amp; Connectivity</w:t>
            </w:r>
          </w:p>
        </w:tc>
        <w:tc>
          <w:tcPr>
            <w:tcW w:w="2722" w:type="dxa"/>
            <w:vAlign w:val="center"/>
          </w:tcPr>
          <w:p w14:paraId="34ED1E2C">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36</w:t>
            </w:r>
          </w:p>
        </w:tc>
        <w:tc>
          <w:tcPr>
            <w:tcW w:w="1620" w:type="dxa"/>
            <w:vAlign w:val="center"/>
          </w:tcPr>
          <w:p w14:paraId="07AB5EF3">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30.0%</w:t>
            </w:r>
          </w:p>
        </w:tc>
        <w:tc>
          <w:tcPr>
            <w:tcW w:w="840" w:type="dxa"/>
            <w:vAlign w:val="center"/>
          </w:tcPr>
          <w:p w14:paraId="5466360A">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1</w:t>
            </w:r>
          </w:p>
        </w:tc>
      </w:tr>
      <w:tr w14:paraId="0AE4BA3D">
        <w:tblPrEx>
          <w:tblCellMar>
            <w:top w:w="15" w:type="dxa"/>
            <w:left w:w="15" w:type="dxa"/>
            <w:bottom w:w="15" w:type="dxa"/>
            <w:right w:w="15" w:type="dxa"/>
          </w:tblCellMar>
        </w:tblPrEx>
        <w:trPr>
          <w:tblCellSpacing w:w="15" w:type="dxa"/>
        </w:trPr>
        <w:tc>
          <w:tcPr>
            <w:tcW w:w="4043" w:type="dxa"/>
            <w:vAlign w:val="center"/>
          </w:tcPr>
          <w:p w14:paraId="17CE8A6C">
            <w:pPr>
              <w:spacing w:after="0" w:line="360" w:lineRule="auto"/>
              <w:jc w:val="both"/>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AI Literacy &amp; Training Programs</w:t>
            </w:r>
          </w:p>
        </w:tc>
        <w:tc>
          <w:tcPr>
            <w:tcW w:w="2722" w:type="dxa"/>
            <w:vAlign w:val="center"/>
          </w:tcPr>
          <w:p w14:paraId="69A10169">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32</w:t>
            </w:r>
          </w:p>
        </w:tc>
        <w:tc>
          <w:tcPr>
            <w:tcW w:w="1620" w:type="dxa"/>
            <w:vAlign w:val="center"/>
          </w:tcPr>
          <w:p w14:paraId="60C0117A">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26.7%</w:t>
            </w:r>
          </w:p>
        </w:tc>
        <w:tc>
          <w:tcPr>
            <w:tcW w:w="840" w:type="dxa"/>
            <w:vAlign w:val="center"/>
          </w:tcPr>
          <w:p w14:paraId="436B6A95">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2</w:t>
            </w:r>
          </w:p>
        </w:tc>
      </w:tr>
      <w:tr w14:paraId="3596CBC8">
        <w:tblPrEx>
          <w:tblCellMar>
            <w:top w:w="15" w:type="dxa"/>
            <w:left w:w="15" w:type="dxa"/>
            <w:bottom w:w="15" w:type="dxa"/>
            <w:right w:w="15" w:type="dxa"/>
          </w:tblCellMar>
        </w:tblPrEx>
        <w:trPr>
          <w:tblCellSpacing w:w="15" w:type="dxa"/>
        </w:trPr>
        <w:tc>
          <w:tcPr>
            <w:tcW w:w="4043" w:type="dxa"/>
            <w:vAlign w:val="center"/>
          </w:tcPr>
          <w:p w14:paraId="03C95D0D">
            <w:pPr>
              <w:spacing w:after="0" w:line="360" w:lineRule="auto"/>
              <w:jc w:val="both"/>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Ethical &amp; Responsible AI Guidelines</w:t>
            </w:r>
          </w:p>
        </w:tc>
        <w:tc>
          <w:tcPr>
            <w:tcW w:w="2722" w:type="dxa"/>
            <w:vAlign w:val="center"/>
          </w:tcPr>
          <w:p w14:paraId="5F03799D">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22</w:t>
            </w:r>
          </w:p>
        </w:tc>
        <w:tc>
          <w:tcPr>
            <w:tcW w:w="1620" w:type="dxa"/>
            <w:vAlign w:val="center"/>
          </w:tcPr>
          <w:p w14:paraId="235D573A">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18.3%</w:t>
            </w:r>
          </w:p>
        </w:tc>
        <w:tc>
          <w:tcPr>
            <w:tcW w:w="840" w:type="dxa"/>
            <w:vAlign w:val="center"/>
          </w:tcPr>
          <w:p w14:paraId="4EE801B8">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3</w:t>
            </w:r>
          </w:p>
        </w:tc>
      </w:tr>
      <w:tr w14:paraId="1378EB4A">
        <w:tblPrEx>
          <w:tblCellMar>
            <w:top w:w="15" w:type="dxa"/>
            <w:left w:w="15" w:type="dxa"/>
            <w:bottom w:w="15" w:type="dxa"/>
            <w:right w:w="15" w:type="dxa"/>
          </w:tblCellMar>
        </w:tblPrEx>
        <w:trPr>
          <w:tblCellSpacing w:w="15" w:type="dxa"/>
        </w:trPr>
        <w:tc>
          <w:tcPr>
            <w:tcW w:w="4043" w:type="dxa"/>
            <w:vAlign w:val="center"/>
          </w:tcPr>
          <w:p w14:paraId="75148C9F">
            <w:pPr>
              <w:spacing w:after="0" w:line="360" w:lineRule="auto"/>
              <w:jc w:val="both"/>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Human</w:t>
            </w:r>
            <w:r>
              <w:rPr>
                <w:rFonts w:hint="default" w:ascii="Times New Roman" w:hAnsi="Times New Roman" w:eastAsia="SimSun" w:cs="Times New Roman"/>
                <w:sz w:val="24"/>
                <w:szCs w:val="24"/>
                <w:lang w:val="en-GB" w:eastAsia="zh-CN" w:bidi="ar"/>
              </w:rPr>
              <w:t>s</w:t>
            </w:r>
            <w:r>
              <w:rPr>
                <w:rFonts w:hint="default" w:ascii="Times New Roman" w:hAnsi="Times New Roman" w:eastAsia="SimSun" w:cs="Times New Roman"/>
                <w:sz w:val="24"/>
                <w:szCs w:val="24"/>
                <w:lang w:eastAsia="zh-CN" w:bidi="ar"/>
              </w:rPr>
              <w:t xml:space="preserve"> Oversight &amp; Decision Support</w:t>
            </w:r>
          </w:p>
        </w:tc>
        <w:tc>
          <w:tcPr>
            <w:tcW w:w="2722" w:type="dxa"/>
            <w:vAlign w:val="center"/>
          </w:tcPr>
          <w:p w14:paraId="3063AF37">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18</w:t>
            </w:r>
          </w:p>
        </w:tc>
        <w:tc>
          <w:tcPr>
            <w:tcW w:w="1620" w:type="dxa"/>
            <w:vAlign w:val="center"/>
          </w:tcPr>
          <w:p w14:paraId="7B45A9C4">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15.0%</w:t>
            </w:r>
          </w:p>
        </w:tc>
        <w:tc>
          <w:tcPr>
            <w:tcW w:w="840" w:type="dxa"/>
            <w:vAlign w:val="center"/>
          </w:tcPr>
          <w:p w14:paraId="3A8ECDC6">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4</w:t>
            </w:r>
          </w:p>
        </w:tc>
      </w:tr>
      <w:tr w14:paraId="668289B5">
        <w:tblPrEx>
          <w:tblCellMar>
            <w:top w:w="15" w:type="dxa"/>
            <w:left w:w="15" w:type="dxa"/>
            <w:bottom w:w="15" w:type="dxa"/>
            <w:right w:w="15" w:type="dxa"/>
          </w:tblCellMar>
        </w:tblPrEx>
        <w:trPr>
          <w:tblCellSpacing w:w="15" w:type="dxa"/>
        </w:trPr>
        <w:tc>
          <w:tcPr>
            <w:tcW w:w="4043" w:type="dxa"/>
            <w:vAlign w:val="center"/>
          </w:tcPr>
          <w:p w14:paraId="20E73EDD">
            <w:pPr>
              <w:spacing w:after="0" w:line="360" w:lineRule="auto"/>
              <w:jc w:val="both"/>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Policy Integration &amp; Institutional Support</w:t>
            </w:r>
          </w:p>
        </w:tc>
        <w:tc>
          <w:tcPr>
            <w:tcW w:w="2722" w:type="dxa"/>
            <w:vAlign w:val="center"/>
          </w:tcPr>
          <w:p w14:paraId="62637AFA">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12</w:t>
            </w:r>
          </w:p>
        </w:tc>
        <w:tc>
          <w:tcPr>
            <w:tcW w:w="1620" w:type="dxa"/>
            <w:vAlign w:val="center"/>
          </w:tcPr>
          <w:p w14:paraId="1D71A8BB">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10.0%</w:t>
            </w:r>
          </w:p>
        </w:tc>
        <w:tc>
          <w:tcPr>
            <w:tcW w:w="840" w:type="dxa"/>
            <w:vAlign w:val="center"/>
          </w:tcPr>
          <w:p w14:paraId="2C62D498">
            <w:pPr>
              <w:spacing w:after="0" w:line="360" w:lineRule="auto"/>
              <w:jc w:val="center"/>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5</w:t>
            </w:r>
          </w:p>
        </w:tc>
      </w:tr>
      <w:tr w14:paraId="7AED42FC">
        <w:tblPrEx>
          <w:tblCellMar>
            <w:top w:w="15" w:type="dxa"/>
            <w:left w:w="15" w:type="dxa"/>
            <w:bottom w:w="15" w:type="dxa"/>
            <w:right w:w="15" w:type="dxa"/>
          </w:tblCellMar>
        </w:tblPrEx>
        <w:trPr>
          <w:tblCellSpacing w:w="15" w:type="dxa"/>
        </w:trPr>
        <w:tc>
          <w:tcPr>
            <w:tcW w:w="4043" w:type="dxa"/>
            <w:tcBorders>
              <w:top w:val="single" w:color="auto" w:sz="4" w:space="0"/>
              <w:bottom w:val="single" w:color="auto" w:sz="4" w:space="0"/>
            </w:tcBorders>
            <w:vAlign w:val="center"/>
          </w:tcPr>
          <w:p w14:paraId="38E9D153">
            <w:pPr>
              <w:spacing w:after="0" w:line="360" w:lineRule="auto"/>
              <w:jc w:val="both"/>
              <w:rPr>
                <w:rFonts w:hint="default" w:ascii="Times New Roman" w:hAnsi="Times New Roman" w:cs="Times New Roman"/>
                <w:sz w:val="24"/>
                <w:szCs w:val="24"/>
              </w:rPr>
            </w:pPr>
            <w:r>
              <w:rPr>
                <w:rStyle w:val="18"/>
                <w:rFonts w:hint="default" w:ascii="Times New Roman" w:hAnsi="Times New Roman" w:eastAsia="SimSun" w:cs="Times New Roman"/>
                <w:sz w:val="24"/>
                <w:szCs w:val="24"/>
                <w:lang w:eastAsia="zh-CN" w:bidi="ar"/>
              </w:rPr>
              <w:t>Total</w:t>
            </w:r>
          </w:p>
        </w:tc>
        <w:tc>
          <w:tcPr>
            <w:tcW w:w="2722" w:type="dxa"/>
            <w:tcBorders>
              <w:top w:val="single" w:color="auto" w:sz="4" w:space="0"/>
              <w:bottom w:val="single" w:color="auto" w:sz="4" w:space="0"/>
            </w:tcBorders>
            <w:vAlign w:val="center"/>
          </w:tcPr>
          <w:p w14:paraId="7D103E8E">
            <w:pPr>
              <w:spacing w:after="0" w:line="360" w:lineRule="auto"/>
              <w:jc w:val="both"/>
              <w:rPr>
                <w:rFonts w:hint="default" w:ascii="Times New Roman" w:hAnsi="Times New Roman" w:cs="Times New Roman"/>
                <w:sz w:val="24"/>
                <w:szCs w:val="24"/>
              </w:rPr>
            </w:pPr>
            <w:r>
              <w:rPr>
                <w:rStyle w:val="18"/>
                <w:rFonts w:hint="default" w:ascii="Times New Roman" w:hAnsi="Times New Roman" w:eastAsia="SimSun" w:cs="Times New Roman"/>
                <w:sz w:val="24"/>
                <w:szCs w:val="24"/>
                <w:lang w:eastAsia="zh-CN" w:bidi="ar"/>
              </w:rPr>
              <w:t>120</w:t>
            </w:r>
          </w:p>
        </w:tc>
        <w:tc>
          <w:tcPr>
            <w:tcW w:w="1620" w:type="dxa"/>
            <w:tcBorders>
              <w:top w:val="single" w:color="auto" w:sz="4" w:space="0"/>
              <w:bottom w:val="single" w:color="auto" w:sz="4" w:space="0"/>
            </w:tcBorders>
            <w:vAlign w:val="center"/>
          </w:tcPr>
          <w:p w14:paraId="733CD2E1">
            <w:pPr>
              <w:spacing w:after="0" w:line="360" w:lineRule="auto"/>
              <w:jc w:val="both"/>
              <w:rPr>
                <w:rFonts w:hint="default" w:ascii="Times New Roman" w:hAnsi="Times New Roman" w:cs="Times New Roman"/>
                <w:sz w:val="24"/>
                <w:szCs w:val="24"/>
              </w:rPr>
            </w:pPr>
            <w:r>
              <w:rPr>
                <w:rStyle w:val="18"/>
                <w:rFonts w:hint="default" w:ascii="Times New Roman" w:hAnsi="Times New Roman" w:eastAsia="SimSun" w:cs="Times New Roman"/>
                <w:sz w:val="24"/>
                <w:szCs w:val="24"/>
                <w:lang w:eastAsia="zh-CN" w:bidi="ar"/>
              </w:rPr>
              <w:t>100%</w:t>
            </w:r>
          </w:p>
        </w:tc>
        <w:tc>
          <w:tcPr>
            <w:tcW w:w="840" w:type="dxa"/>
            <w:tcBorders>
              <w:top w:val="single" w:color="auto" w:sz="4" w:space="0"/>
              <w:bottom w:val="single" w:color="auto" w:sz="4" w:space="0"/>
            </w:tcBorders>
            <w:vAlign w:val="center"/>
          </w:tcPr>
          <w:p w14:paraId="7F730755">
            <w:pPr>
              <w:spacing w:after="0" w:line="360" w:lineRule="auto"/>
              <w:jc w:val="both"/>
              <w:rPr>
                <w:rFonts w:hint="default" w:ascii="Times New Roman" w:hAnsi="Times New Roman" w:cs="Times New Roman"/>
                <w:sz w:val="24"/>
                <w:szCs w:val="24"/>
              </w:rPr>
            </w:pPr>
            <w:r>
              <w:rPr>
                <w:rFonts w:hint="default" w:ascii="Times New Roman" w:hAnsi="Times New Roman" w:eastAsia="SimSun" w:cs="Times New Roman"/>
                <w:sz w:val="24"/>
                <w:szCs w:val="24"/>
                <w:lang w:eastAsia="zh-CN" w:bidi="ar"/>
              </w:rPr>
              <w:t>—</w:t>
            </w:r>
          </w:p>
        </w:tc>
      </w:tr>
    </w:tbl>
    <w:p w14:paraId="7B2FA82B">
      <w:pPr>
        <w:spacing w:after="0" w:line="360" w:lineRule="auto"/>
        <w:jc w:val="both"/>
        <w:rPr>
          <w:rFonts w:hint="default" w:ascii="Times New Roman" w:hAnsi="Times New Roman" w:cs="Times New Roman"/>
          <w:sz w:val="24"/>
          <w:szCs w:val="24"/>
        </w:rPr>
      </w:pPr>
    </w:p>
    <w:p w14:paraId="6E5365BD">
      <w:pPr>
        <w:pStyle w:val="17"/>
        <w:spacing w:beforeAutospacing="0" w:afterAutospacing="0" w:line="360" w:lineRule="auto"/>
        <w:ind w:firstLine="720"/>
        <w:jc w:val="both"/>
        <w:rPr>
          <w:rFonts w:hint="default" w:ascii="Times New Roman" w:hAnsi="Times New Roman" w:cs="Times New Roman"/>
        </w:rPr>
      </w:pPr>
      <w:r>
        <w:rPr>
          <w:rFonts w:hint="default" w:ascii="Times New Roman" w:hAnsi="Times New Roman" w:cs="Times New Roman"/>
          <w:lang w:val="en-GB"/>
        </w:rPr>
        <w:t>The result in TABLE 4</w:t>
      </w:r>
      <w:r>
        <w:rPr>
          <w:rFonts w:hint="default" w:ascii="Times New Roman" w:hAnsi="Times New Roman" w:cs="Times New Roman"/>
        </w:rPr>
        <w:t xml:space="preserve"> shows that</w:t>
      </w:r>
      <w:r>
        <w:rPr>
          <w:rFonts w:hint="default" w:ascii="Times New Roman" w:hAnsi="Times New Roman" w:cs="Times New Roman"/>
          <w:u w:val="none"/>
        </w:rPr>
        <w:t xml:space="preserve"> </w:t>
      </w:r>
      <w:r>
        <w:rPr>
          <w:rStyle w:val="18"/>
          <w:rFonts w:hint="default" w:ascii="Times New Roman" w:hAnsi="Times New Roman" w:cs="Times New Roman"/>
          <w:b w:val="0"/>
          <w:bCs w:val="0"/>
          <w:u w:val="none"/>
        </w:rPr>
        <w:t>Digital Infrastructure &amp; Connectivity</w:t>
      </w:r>
      <w:r>
        <w:rPr>
          <w:rStyle w:val="18"/>
          <w:rFonts w:hint="default" w:ascii="Times New Roman" w:hAnsi="Times New Roman" w:cs="Times New Roman"/>
          <w:b w:val="0"/>
          <w:bCs w:val="0"/>
          <w:u w:val="none"/>
          <w:lang w:val="en-GB"/>
        </w:rPr>
        <w:t>;</w:t>
      </w:r>
      <w:r>
        <w:rPr>
          <w:rFonts w:hint="default" w:ascii="Times New Roman" w:hAnsi="Times New Roman" w:cs="Times New Roman"/>
          <w:b w:val="0"/>
          <w:bCs w:val="0"/>
          <w:u w:val="none"/>
        </w:rPr>
        <w:t xml:space="preserve"> and </w:t>
      </w:r>
      <w:r>
        <w:rPr>
          <w:rStyle w:val="18"/>
          <w:rFonts w:hint="default" w:ascii="Times New Roman" w:hAnsi="Times New Roman" w:cs="Times New Roman"/>
          <w:b w:val="0"/>
          <w:bCs w:val="0"/>
          <w:u w:val="none"/>
        </w:rPr>
        <w:t>AI Literacy &amp; Training Programs</w:t>
      </w:r>
      <w:r>
        <w:rPr>
          <w:rFonts w:hint="default" w:ascii="Times New Roman" w:hAnsi="Times New Roman" w:cs="Times New Roman"/>
          <w:b w:val="0"/>
          <w:bCs w:val="0"/>
          <w:u w:val="none"/>
        </w:rPr>
        <w:t xml:space="preserve"> are the</w:t>
      </w:r>
      <w:r>
        <w:rPr>
          <w:rFonts w:hint="default" w:ascii="Times New Roman" w:hAnsi="Times New Roman" w:cs="Times New Roman"/>
          <w:u w:val="none"/>
        </w:rPr>
        <w:t xml:space="preserve"> most critical pillars for successful</w:t>
      </w:r>
      <w:r>
        <w:rPr>
          <w:rFonts w:hint="default" w:ascii="Times New Roman" w:hAnsi="Times New Roman" w:cs="Times New Roman"/>
          <w:u w:val="none"/>
          <w:lang w:val="en-GB"/>
        </w:rPr>
        <w:t xml:space="preserve"> human-AI</w:t>
      </w:r>
      <w:r>
        <w:rPr>
          <w:rFonts w:hint="default" w:ascii="Times New Roman" w:hAnsi="Times New Roman" w:cs="Times New Roman"/>
          <w:u w:val="none"/>
        </w:rPr>
        <w:t xml:space="preserve"> collaboration.</w:t>
      </w:r>
      <w:r>
        <w:rPr>
          <w:rFonts w:hint="default" w:ascii="Times New Roman" w:hAnsi="Times New Roman" w:cs="Times New Roman"/>
          <w:u w:val="none"/>
          <w:lang w:val="en-GB"/>
        </w:rPr>
        <w:t xml:space="preserve"> However, Ethical &amp; Responsible AI Guidelines; Human Oversight &amp; Decision Support; and Policy Integration &amp; Institutional Support were also considered as valuable framework. </w:t>
      </w:r>
      <w:r>
        <w:rPr>
          <w:rFonts w:hint="default" w:ascii="Times New Roman" w:hAnsi="Times New Roman" w:cs="Times New Roman"/>
          <w:u w:val="none"/>
        </w:rPr>
        <w:t xml:space="preserve">Based on the data and literature, the following </w:t>
      </w:r>
      <w:r>
        <w:rPr>
          <w:rFonts w:hint="default" w:ascii="Times New Roman" w:hAnsi="Times New Roman" w:cs="Times New Roman"/>
          <w:u w:val="none"/>
          <w:lang w:val="en-GB"/>
        </w:rPr>
        <w:t>suggestions</w:t>
      </w:r>
      <w:r>
        <w:rPr>
          <w:rFonts w:hint="default" w:ascii="Times New Roman" w:hAnsi="Times New Roman" w:cs="Times New Roman"/>
          <w:u w:val="none"/>
        </w:rPr>
        <w:t xml:space="preserve"> </w:t>
      </w:r>
      <w:r>
        <w:rPr>
          <w:rFonts w:hint="default" w:ascii="Times New Roman" w:hAnsi="Times New Roman" w:cs="Times New Roman"/>
          <w:u w:val="none"/>
          <w:lang w:val="en-GB"/>
        </w:rPr>
        <w:t>are</w:t>
      </w:r>
      <w:r>
        <w:rPr>
          <w:rFonts w:hint="default" w:ascii="Times New Roman" w:hAnsi="Times New Roman" w:cs="Times New Roman"/>
          <w:u w:val="none"/>
        </w:rPr>
        <w:t xml:space="preserve"> recommended</w:t>
      </w:r>
      <w:r>
        <w:rPr>
          <w:rFonts w:hint="default" w:ascii="Times New Roman" w:hAnsi="Times New Roman" w:cs="Times New Roman"/>
          <w:u w:val="none"/>
          <w:lang w:val="en-GB"/>
        </w:rPr>
        <w:t xml:space="preserve">. </w:t>
      </w:r>
      <w:r>
        <w:rPr>
          <w:rStyle w:val="18"/>
          <w:rFonts w:hint="default" w:ascii="Times New Roman" w:hAnsi="Times New Roman" w:cs="Times New Roman"/>
          <w:u w:val="none"/>
          <w:lang w:val="en-GB"/>
        </w:rPr>
        <w:t xml:space="preserve"> </w:t>
      </w:r>
      <w:r>
        <w:rPr>
          <w:rFonts w:hint="default" w:ascii="Times New Roman" w:hAnsi="Times New Roman" w:cs="Times New Roman"/>
          <w:u w:val="none"/>
        </w:rPr>
        <w:t>Ensuring stable internet, cloud access, and smart devices</w:t>
      </w:r>
      <w:r>
        <w:rPr>
          <w:rFonts w:hint="default" w:ascii="Times New Roman" w:hAnsi="Times New Roman" w:cs="Times New Roman"/>
          <w:u w:val="none"/>
          <w:lang w:val="en-GB"/>
        </w:rPr>
        <w:t xml:space="preserve">; </w:t>
      </w:r>
      <w:r>
        <w:rPr>
          <w:rFonts w:hint="default" w:ascii="Times New Roman" w:hAnsi="Times New Roman" w:cs="Times New Roman"/>
          <w:u w:val="none"/>
        </w:rPr>
        <w:t>upgrading library systems for AI integration</w:t>
      </w:r>
      <w:r>
        <w:rPr>
          <w:rFonts w:hint="default" w:ascii="Times New Roman" w:hAnsi="Times New Roman" w:cs="Times New Roman"/>
          <w:u w:val="none"/>
          <w:lang w:val="en-GB"/>
        </w:rPr>
        <w:t xml:space="preserve">; </w:t>
      </w:r>
      <w:r>
        <w:rPr>
          <w:rFonts w:hint="default" w:ascii="Times New Roman" w:hAnsi="Times New Roman" w:cs="Times New Roman"/>
          <w:u w:val="none"/>
        </w:rPr>
        <w:t xml:space="preserve">use the </w:t>
      </w:r>
      <w:r>
        <w:rPr>
          <w:rFonts w:hint="default" w:ascii="Times New Roman" w:hAnsi="Times New Roman" w:cs="Times New Roman"/>
          <w:u w:val="none"/>
        </w:rPr>
        <w:fldChar w:fldCharType="begin"/>
      </w:r>
      <w:r>
        <w:rPr>
          <w:rFonts w:hint="default" w:ascii="Times New Roman" w:hAnsi="Times New Roman" w:cs="Times New Roman"/>
          <w:u w:val="none"/>
        </w:rPr>
        <w:instrText xml:space="preserve"> HYPERLINK "https://thesun.ng/cross-river-state-government-officially-recognises-ai-global-manual-as-sole-curriculum-in-state-wide-ai-literacy-campaign/" </w:instrText>
      </w:r>
      <w:r>
        <w:rPr>
          <w:rFonts w:hint="default" w:ascii="Times New Roman" w:hAnsi="Times New Roman" w:cs="Times New Roman"/>
          <w:u w:val="none"/>
        </w:rPr>
        <w:fldChar w:fldCharType="separate"/>
      </w:r>
      <w:r>
        <w:rPr>
          <w:rStyle w:val="16"/>
          <w:rFonts w:hint="default" w:ascii="Times New Roman" w:hAnsi="Times New Roman" w:cs="Times New Roman"/>
          <w:color w:val="auto"/>
          <w:u w:val="none"/>
        </w:rPr>
        <w:t>AI Global Manual</w:t>
      </w:r>
      <w:r>
        <w:rPr>
          <w:rStyle w:val="16"/>
          <w:rFonts w:hint="default" w:ascii="Times New Roman" w:hAnsi="Times New Roman" w:cs="Times New Roman"/>
          <w:color w:val="auto"/>
          <w:u w:val="none"/>
        </w:rPr>
        <w:fldChar w:fldCharType="end"/>
      </w:r>
      <w:r>
        <w:rPr>
          <w:rFonts w:hint="default" w:ascii="Times New Roman" w:hAnsi="Times New Roman" w:cs="Times New Roman"/>
          <w:u w:val="none"/>
        </w:rPr>
        <w:t xml:space="preserve"> adopted</w:t>
      </w:r>
      <w:r>
        <w:rPr>
          <w:rFonts w:hint="default" w:ascii="Times New Roman" w:hAnsi="Times New Roman" w:cs="Times New Roman"/>
        </w:rPr>
        <w:t xml:space="preserve"> by Cross River State to train librarians and students.</w:t>
      </w:r>
      <w:r>
        <w:rPr>
          <w:rFonts w:hint="default" w:ascii="Times New Roman" w:hAnsi="Times New Roman" w:cs="Times New Roman"/>
          <w:lang w:val="en-GB"/>
        </w:rPr>
        <w:t xml:space="preserve"> </w:t>
      </w:r>
      <w:r>
        <w:rPr>
          <w:rFonts w:hint="default" w:ascii="Times New Roman" w:hAnsi="Times New Roman" w:cs="Times New Roman"/>
        </w:rPr>
        <w:t>Promote workshops and certifications in AI tools.</w:t>
      </w:r>
      <w:r>
        <w:rPr>
          <w:rFonts w:hint="default" w:ascii="Times New Roman" w:hAnsi="Times New Roman" w:cs="Times New Roman"/>
          <w:lang w:val="en-GB"/>
        </w:rPr>
        <w:t xml:space="preserve"> </w:t>
      </w:r>
      <w:r>
        <w:rPr>
          <w:rFonts w:hint="default" w:ascii="Times New Roman" w:hAnsi="Times New Roman" w:cs="Times New Roman"/>
        </w:rPr>
        <w:t>Implementing data privacy, transparency, and bias mitigation protocols.</w:t>
      </w:r>
      <w:r>
        <w:rPr>
          <w:rFonts w:hint="default" w:ascii="Times New Roman" w:hAnsi="Times New Roman" w:cs="Times New Roman"/>
          <w:lang w:val="en-GB"/>
        </w:rPr>
        <w:t xml:space="preserve"> </w:t>
      </w:r>
      <w:r>
        <w:rPr>
          <w:rFonts w:hint="default" w:ascii="Times New Roman" w:hAnsi="Times New Roman" w:cs="Times New Roman"/>
        </w:rPr>
        <w:t>Aligning with global standards like IEEE and UNESCO AI ethics.</w:t>
      </w:r>
      <w:r>
        <w:rPr>
          <w:rStyle w:val="18"/>
          <w:rFonts w:hint="default" w:ascii="Times New Roman" w:hAnsi="Times New Roman" w:cs="Times New Roman"/>
          <w:lang w:val="en-GB"/>
        </w:rPr>
        <w:t xml:space="preserve">  </w:t>
      </w:r>
      <w:r>
        <w:rPr>
          <w:rFonts w:hint="default" w:ascii="Times New Roman" w:hAnsi="Times New Roman" w:cs="Times New Roman"/>
        </w:rPr>
        <w:t>Maintaining librarian control over AI outputs.</w:t>
      </w:r>
      <w:r>
        <w:rPr>
          <w:rFonts w:hint="default" w:ascii="Times New Roman" w:hAnsi="Times New Roman" w:cs="Times New Roman"/>
          <w:lang w:val="en-GB"/>
        </w:rPr>
        <w:t xml:space="preserve"> This is supported by </w:t>
      </w:r>
      <w:r>
        <w:rPr>
          <w:rStyle w:val="18"/>
          <w:rFonts w:hint="default" w:ascii="Times New Roman" w:hAnsi="Times New Roman" w:cs="Times New Roman"/>
          <w:b w:val="0"/>
          <w:bCs w:val="0"/>
        </w:rPr>
        <w:t>Lo (2025)</w:t>
      </w:r>
      <w:r>
        <w:rPr>
          <w:rFonts w:hint="default" w:ascii="Times New Roman" w:hAnsi="Times New Roman" w:cs="Times New Roman"/>
        </w:rPr>
        <w:t xml:space="preserve"> </w:t>
      </w:r>
      <w:r>
        <w:rPr>
          <w:rFonts w:hint="default" w:ascii="Times New Roman" w:hAnsi="Times New Roman" w:cs="Times New Roman"/>
          <w:lang w:val="en-GB"/>
        </w:rPr>
        <w:t xml:space="preserve">who </w:t>
      </w:r>
      <w:r>
        <w:rPr>
          <w:rFonts w:hint="default" w:ascii="Times New Roman" w:hAnsi="Times New Roman" w:cs="Times New Roman"/>
        </w:rPr>
        <w:t>advocates for AI literacy among librarians, encompassing technical knowledge, ethical awareness, critical thinking, and practical skills. Libraries should champion AI literacy just as they did with digital and information literacy.</w:t>
      </w:r>
      <w:r>
        <w:rPr>
          <w:rFonts w:hint="default" w:ascii="Times New Roman" w:hAnsi="Times New Roman" w:cs="Times New Roman"/>
          <w:lang w:val="en-GB"/>
        </w:rPr>
        <w:t xml:space="preserve"> </w:t>
      </w:r>
      <w:r>
        <w:rPr>
          <w:rFonts w:hint="default" w:ascii="Times New Roman" w:hAnsi="Times New Roman" w:cs="Times New Roman"/>
        </w:rPr>
        <w:t>Use</w:t>
      </w:r>
      <w:r>
        <w:rPr>
          <w:rFonts w:hint="default" w:ascii="Times New Roman" w:hAnsi="Times New Roman" w:cs="Times New Roman"/>
          <w:lang w:val="en-GB"/>
        </w:rPr>
        <w:t xml:space="preserve"> of</w:t>
      </w:r>
      <w:r>
        <w:rPr>
          <w:rFonts w:hint="default" w:ascii="Times New Roman" w:hAnsi="Times New Roman" w:cs="Times New Roman"/>
        </w:rPr>
        <w:t xml:space="preserve"> AI for augmentation, not replacement.</w:t>
      </w:r>
      <w:r>
        <w:rPr>
          <w:rFonts w:hint="default" w:ascii="Times New Roman" w:hAnsi="Times New Roman" w:cs="Times New Roman"/>
          <w:lang w:val="en-GB"/>
        </w:rPr>
        <w:t xml:space="preserve"> </w:t>
      </w:r>
      <w:r>
        <w:rPr>
          <w:rFonts w:hint="default" w:ascii="Times New Roman" w:hAnsi="Times New Roman" w:cs="Times New Roman"/>
        </w:rPr>
        <w:t>Embedding AI collaboration goals in library strategic plans.</w:t>
      </w:r>
      <w:r>
        <w:rPr>
          <w:rFonts w:hint="default" w:ascii="Times New Roman" w:hAnsi="Times New Roman" w:cs="Times New Roman"/>
          <w:lang w:val="en-GB"/>
        </w:rPr>
        <w:t xml:space="preserve"> </w:t>
      </w:r>
      <w:r>
        <w:rPr>
          <w:rFonts w:hint="default" w:ascii="Times New Roman" w:hAnsi="Times New Roman" w:cs="Times New Roman"/>
        </w:rPr>
        <w:t>Securing funding and leadership backing.</w:t>
      </w:r>
    </w:p>
    <w:p w14:paraId="2211E827">
      <w:pPr>
        <w:spacing w:after="0" w:line="360" w:lineRule="auto"/>
        <w:jc w:val="both"/>
        <w:rPr>
          <w:rFonts w:hint="default" w:ascii="Times New Roman" w:hAnsi="Times New Roman" w:cs="Times New Roman"/>
          <w:b/>
          <w:bCs/>
          <w:sz w:val="15"/>
          <w:szCs w:val="15"/>
        </w:rPr>
      </w:pPr>
    </w:p>
    <w:p w14:paraId="10730810">
      <w:pPr>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Discussion of Findings</w:t>
      </w:r>
    </w:p>
    <w:p w14:paraId="2808FFCB">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The findings of this study provide important insight into the emerging but uneven integration of Artificial Intelligence (AI) in academic libraries in Cross River State. Rather than simply confirming that AI tools are in use, the results reveal a deeper pattern of role-based digital adaptation, where students, librarians, and researchers engage AI technologies differently based on their academic responsibilities, competencies, and institutional exposure. This pattern has significant implications for how AI is understood not as a uniform innovation, but as a socially differentiated academic support system.</w:t>
      </w:r>
    </w:p>
    <w:p w14:paraId="7C49C823">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 xml:space="preserve">A key interpretation from the study is that AI adoption is being driven more by individual academic needs than by institutional structures. The dominance of ChatGPT among students reflects not just popularity, but also a shift toward “on-demand cognition,” where learners outsource early-stage thinking tasks such as summarization and idea generation to AI systems. This aligns with findings from Obi </w:t>
      </w:r>
      <w:r>
        <w:rPr>
          <w:rFonts w:hint="default" w:ascii="Times New Roman" w:hAnsi="Times New Roman" w:cs="Times New Roman"/>
          <w:sz w:val="24"/>
          <w:szCs w:val="24"/>
          <w:lang w:val="en-GB"/>
        </w:rPr>
        <w:t>et al.</w:t>
      </w:r>
      <w:r>
        <w:rPr>
          <w:rFonts w:hint="default" w:ascii="Times New Roman" w:hAnsi="Times New Roman" w:cs="Times New Roman"/>
          <w:sz w:val="24"/>
          <w:szCs w:val="24"/>
        </w:rPr>
        <w:t xml:space="preserve">(2025), who reported similar patterns of heavy reliance on generative AI among university students in Cross River State. However, unlike Obi </w:t>
      </w:r>
      <w:r>
        <w:rPr>
          <w:rFonts w:hint="default" w:ascii="Times New Roman" w:hAnsi="Times New Roman" w:cs="Times New Roman"/>
          <w:sz w:val="24"/>
          <w:szCs w:val="24"/>
          <w:lang w:val="en-GB"/>
        </w:rPr>
        <w:t>et al.</w:t>
      </w:r>
      <w:r>
        <w:rPr>
          <w:rFonts w:hint="default" w:ascii="Times New Roman" w:hAnsi="Times New Roman" w:cs="Times New Roman"/>
          <w:sz w:val="24"/>
          <w:szCs w:val="24"/>
        </w:rPr>
        <w:t>, this study shows that such usage is not merely widespread but structurally patterned according to user category, which adds a more nuanced understanding of AI engagement in academic environments.</w:t>
      </w:r>
    </w:p>
    <w:p w14:paraId="358FEC2A">
      <w:pPr>
        <w:spacing w:after="0" w:line="360" w:lineRule="auto"/>
        <w:ind w:firstLine="7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Among librarians, the preference for Grammarly and Turnitin suggests a professional orientation toward quality control and ethical safeguarding rather than content generation. This can be interpreted as librarians maintaining their traditional gatekeeping role in academic communication, even in an AI-driven environment. This finding supports Ebaye </w:t>
      </w:r>
      <w:r>
        <w:rPr>
          <w:rFonts w:hint="default" w:ascii="Times New Roman" w:hAnsi="Times New Roman" w:cs="Times New Roman"/>
          <w:sz w:val="24"/>
          <w:szCs w:val="24"/>
          <w:lang w:val="en-GB"/>
        </w:rPr>
        <w:t>et al.</w:t>
      </w:r>
      <w:r>
        <w:rPr>
          <w:rFonts w:hint="default" w:ascii="Times New Roman" w:hAnsi="Times New Roman" w:cs="Times New Roman"/>
          <w:sz w:val="24"/>
          <w:szCs w:val="24"/>
        </w:rPr>
        <w:t>(2024), who observed that librarians in South-South Nigeria perceive AI positively but primarily in terms of efficiency and support functions rather than transformative academic practice. However, a subtle contradiction emerges when compared with global literature: while studies in more technologically advanced environments report librarians actively integrating AI into metadata creation and knowledge organization, librarians in Cross River State appear to remain at an assistive rather than integrative stage of adoption. This indicates a technological lag shaped by infrastructural and training limitations.</w:t>
      </w:r>
    </w:p>
    <w:p w14:paraId="6D63CE10">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For researchers, the more balanced use of AI tools such as Elicit and Semantic Scholar suggests a gradual shift toward AI-assisted scholarly inquiry rather than simple academic writing support. This reflects a higher level of research sophistication and aligns with global trends in higher education where postgraduate researchers increasingly use AI for literature mapping and synthesis. However, the continued dominance of ChatGPT even among researchers suggests that convenience still outweighs methodological rigor. This partially contradicts expectations from diffusion of innovation theory, which predicts that early adopters of research technologies should prioritize specialized tools. The persistence of general-purpose AI tools indicates that usability and accessibility are stronger determinants of adoption than academic specificity.</w:t>
      </w:r>
    </w:p>
    <w:p w14:paraId="28E52E9B">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When situated within the Technology Acceptance Model (TAM), the findings demonstrate that perceived usefulness strongly explains AI adoption across all groups. Students adopt ChatGPT because it reduces academic effort; librarians adopt Grammarly and Turnitin because they enhance task efficiency; and researchers combine tools based on perceived research utility. However, perceived ease of use appears to override academic appropriateness, particularly among students, which explains the underutilization of more advanced academic tools like Semantic Scholar. This suggests that while TAM remains relevant, it must be extended to include “academic appropriateness” as a moderating factor in educational contexts.</w:t>
      </w:r>
    </w:p>
    <w:p w14:paraId="7B39AE45">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From the perspective of the Diffusion of Innovations Theory, the findings suggest a fragmented diffusion process. Students represent early adopters of generative AI technologies, while librarians appear to be in the late majority stage, adopting cautiously due to ethical concerns and limited institutional support. Researchers occupy an intermediate position, selectively integrating innovations that directly enhance scholarly productivity. This uneven diffusion reflects institutional gaps in training and policy rather than resistance to innovation itself.</w:t>
      </w:r>
    </w:p>
    <w:p w14:paraId="6EDF9595">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 particularly important contradiction emerges between high individual adoption of AI tools and the absence of strong institutional integration frameworks. While users actively engage AI technologies, library systems appear not to have fully formalized their integration into research support services. This disconnect has also been observed in broader African studies, where rapid technological uptake by students outpaces institutional readiness, resulting in fragmented and unregulated usage patterns. The implication is that AI adoption in Cross River State academic libraries is largely user-driven rather than institutionally coordinated.</w:t>
      </w:r>
    </w:p>
    <w:p w14:paraId="127A7389">
      <w:pPr>
        <w:spacing w:after="0" w:line="360" w:lineRule="auto"/>
        <w:ind w:firstLine="720"/>
        <w:jc w:val="both"/>
        <w:rPr>
          <w:rFonts w:hint="default" w:ascii="Times New Roman" w:hAnsi="Times New Roman" w:cs="Times New Roman"/>
          <w:sz w:val="24"/>
          <w:szCs w:val="24"/>
        </w:rPr>
      </w:pPr>
      <w:r>
        <w:rPr>
          <w:rFonts w:hint="default" w:ascii="Times New Roman" w:hAnsi="Times New Roman" w:cs="Times New Roman"/>
          <w:sz w:val="24"/>
          <w:szCs w:val="24"/>
        </w:rPr>
        <w:t>Another critical implication is the tension between productivity and academic integrity. While AI enhances efficiency in writing, summarization, and literature search, librarians’ concerns about declining research quality reflect a valid global debate. Studies from UNESCO (2023) and other global higher education bodies caution that unregulated AI use may weaken critical thinking skills and increase academic dependency. However, the strong agreement among librarians that AI should complement rather than replace human expertise suggests an emerging consensus around a hybrid human–AI model, where AI supports tasks but humans retain interpretive and ethical authority. The findings demonstrate that AI integration in academic libraries in Cross River State is shaped by a combination of perceived usefulness, professional role identity, and institutional constraints. While adoption is increasing, it remains uneven and largely uncoordinated. This reinforces the need for structured human–AI collaboration frameworks that go beyond tool usage to include policy development, ethical regulation, and targeted AI literacy training. Without such structures, AI will continue to function as a parallel academic support system rather than a fully integrated component of library research services.</w:t>
      </w:r>
    </w:p>
    <w:p w14:paraId="7EAF12BA">
      <w:pPr>
        <w:spacing w:after="0" w:line="360" w:lineRule="auto"/>
        <w:jc w:val="both"/>
        <w:rPr>
          <w:rFonts w:hint="default" w:ascii="Times New Roman" w:hAnsi="Times New Roman" w:cs="Times New Roman"/>
          <w:b/>
          <w:bCs/>
          <w:sz w:val="24"/>
          <w:szCs w:val="24"/>
        </w:rPr>
      </w:pPr>
    </w:p>
    <w:p w14:paraId="1D6E601C">
      <w:pPr>
        <w:spacing w:after="0" w:line="360" w:lineRule="auto"/>
        <w:jc w:val="both"/>
        <w:rPr>
          <w:rFonts w:hint="default" w:ascii="Times New Roman" w:hAnsi="Times New Roman" w:cs="Times New Roman"/>
          <w:b/>
          <w:bCs/>
          <w:sz w:val="24"/>
          <w:szCs w:val="24"/>
          <w:lang w:val="en-GB"/>
        </w:rPr>
      </w:pPr>
      <w:r>
        <w:rPr>
          <w:rFonts w:hint="default" w:ascii="Times New Roman" w:hAnsi="Times New Roman" w:cs="Times New Roman"/>
          <w:b/>
          <w:bCs/>
          <w:sz w:val="24"/>
          <w:szCs w:val="24"/>
          <w:lang w:val="en-GB"/>
        </w:rPr>
        <w:t>Conclusion</w:t>
      </w:r>
    </w:p>
    <w:p w14:paraId="2E69D370">
      <w:pPr>
        <w:spacing w:after="0" w:line="360" w:lineRule="auto"/>
        <w:ind w:firstLine="720"/>
        <w:jc w:val="both"/>
        <w:rPr>
          <w:rFonts w:hint="default" w:ascii="Times New Roman" w:hAnsi="Times New Roman" w:eastAsia="SimSun" w:cs="Times New Roman"/>
          <w:sz w:val="24"/>
          <w:szCs w:val="24"/>
          <w:lang w:eastAsia="zh-CN"/>
        </w:rPr>
      </w:pPr>
      <w:r>
        <w:rPr>
          <w:rFonts w:hint="default" w:ascii="Times New Roman" w:hAnsi="Times New Roman" w:eastAsia="SimSun" w:cs="Times New Roman"/>
          <w:sz w:val="24"/>
          <w:szCs w:val="24"/>
          <w:lang w:eastAsia="zh-CN"/>
        </w:rPr>
        <w:t>This study examined human–AI collaboration in academic libraries in Cross River State, focusing on how students, researchers, and librarians use AI tools for research assistance. The findings show that AI usage is highest for basic academic support functions such as grammar correction, writing assistance, and summarization, with ChatGPT and Grammarly being the most commonly used tools. However, advanced research tools like Semantic Scholar and Elicit are less frequently used, indicating limited awareness and engagement with specialized academic AI platforms.</w:t>
      </w:r>
    </w:p>
    <w:p w14:paraId="2CE12B2F">
      <w:pPr>
        <w:spacing w:after="0" w:line="360" w:lineRule="auto"/>
        <w:ind w:firstLine="720"/>
        <w:jc w:val="both"/>
        <w:rPr>
          <w:rFonts w:hint="default" w:ascii="Times New Roman" w:hAnsi="Times New Roman" w:eastAsia="SimSun" w:cs="Times New Roman"/>
          <w:sz w:val="24"/>
          <w:szCs w:val="24"/>
          <w:lang w:eastAsia="zh-CN"/>
        </w:rPr>
      </w:pPr>
      <w:r>
        <w:rPr>
          <w:rFonts w:hint="default" w:ascii="Times New Roman" w:hAnsi="Times New Roman" w:eastAsia="SimSun" w:cs="Times New Roman"/>
          <w:sz w:val="24"/>
          <w:szCs w:val="24"/>
          <w:lang w:eastAsia="zh-CN"/>
        </w:rPr>
        <w:t>The study also found that librarians generally have a positive but cautious perception of AI, recognizing its usefulness in improving research assistance services while emphasizing the need for training, infrastructure, and ethical guidelines. Key challenges to AI integration include poor ICT infrastructure, limited AI literacy, cost of access, and ethical concerns. Generally, the findings suggest that while AI adoption in academic libraries is growing, it remains uneven and largely focused on basic applications. There is a developing readiness among librarians to embrace AI-supported services, but this is not yet fully institutionalized. The study therefore highlights the need for stronger infrastructure, capacity building, and policy frameworks to support effective human–AI collaboration in academic libraries in Cross River State.</w:t>
      </w:r>
    </w:p>
    <w:p w14:paraId="6F536D26">
      <w:pPr>
        <w:pStyle w:val="17"/>
        <w:spacing w:beforeAutospacing="0" w:afterAutospacing="0" w:line="360" w:lineRule="auto"/>
        <w:jc w:val="both"/>
        <w:rPr>
          <w:rStyle w:val="18"/>
          <w:rFonts w:hint="default" w:ascii="Times New Roman" w:hAnsi="Times New Roman" w:cs="Times New Roman"/>
          <w:sz w:val="18"/>
          <w:szCs w:val="18"/>
        </w:rPr>
      </w:pPr>
    </w:p>
    <w:p w14:paraId="6E8F411D">
      <w:pPr>
        <w:pStyle w:val="17"/>
        <w:spacing w:beforeAutospacing="0" w:afterAutospacing="0" w:line="360" w:lineRule="auto"/>
        <w:jc w:val="both"/>
        <w:rPr>
          <w:rFonts w:hint="default" w:ascii="Times New Roman" w:hAnsi="Times New Roman" w:cs="Times New Roman"/>
        </w:rPr>
      </w:pPr>
      <w:r>
        <w:rPr>
          <w:rStyle w:val="18"/>
          <w:rFonts w:hint="default" w:ascii="Times New Roman" w:hAnsi="Times New Roman" w:cs="Times New Roman"/>
        </w:rPr>
        <w:t>Recommendations</w:t>
      </w:r>
    </w:p>
    <w:p w14:paraId="08C1EE8C">
      <w:pPr>
        <w:pStyle w:val="17"/>
        <w:spacing w:beforeAutospacing="0" w:afterAutospacing="0" w:line="360" w:lineRule="auto"/>
        <w:jc w:val="both"/>
        <w:rPr>
          <w:rFonts w:hint="default" w:ascii="Times New Roman" w:hAnsi="Times New Roman" w:cs="Times New Roman"/>
        </w:rPr>
      </w:pPr>
      <w:r>
        <w:rPr>
          <w:rFonts w:hint="default" w:ascii="Times New Roman" w:hAnsi="Times New Roman" w:cs="Times New Roman"/>
        </w:rPr>
        <w:t>Based on the findings of the study, the following recommendations are made to enhance effective human–AI collaboration in academic libraries in Cross River State:</w:t>
      </w:r>
    </w:p>
    <w:p w14:paraId="12E931D3">
      <w:pPr>
        <w:pStyle w:val="17"/>
        <w:numPr>
          <w:ilvl w:val="0"/>
          <w:numId w:val="2"/>
        </w:numPr>
        <w:spacing w:beforeAutospacing="0" w:afterAutospacing="0" w:line="360" w:lineRule="auto"/>
        <w:jc w:val="both"/>
        <w:rPr>
          <w:rFonts w:hint="default" w:ascii="Times New Roman" w:hAnsi="Times New Roman" w:cs="Times New Roman"/>
        </w:rPr>
      </w:pPr>
      <w:r>
        <w:rPr>
          <w:rFonts w:hint="default" w:ascii="Times New Roman" w:hAnsi="Times New Roman" w:cs="Times New Roman"/>
        </w:rPr>
        <w:t xml:space="preserve">Institutions should invest in stable internet connectivity, cloud storage systems, and modern computing facilities to address infrastructural limitations and ensure reliable access to AI tools for research support services. </w:t>
      </w:r>
    </w:p>
    <w:p w14:paraId="172931A3">
      <w:pPr>
        <w:pStyle w:val="17"/>
        <w:numPr>
          <w:ilvl w:val="0"/>
          <w:numId w:val="2"/>
        </w:numPr>
        <w:spacing w:beforeAutospacing="0" w:afterAutospacing="0" w:line="360" w:lineRule="auto"/>
        <w:jc w:val="both"/>
        <w:rPr>
          <w:rFonts w:hint="default" w:ascii="Times New Roman" w:hAnsi="Times New Roman" w:cs="Times New Roman"/>
        </w:rPr>
      </w:pPr>
      <w:r>
        <w:rPr>
          <w:rFonts w:hint="default" w:ascii="Times New Roman" w:hAnsi="Times New Roman" w:cs="Times New Roman"/>
        </w:rPr>
        <w:t xml:space="preserve">Continuous training programmes, workshops, certifications, and hands-on capacity-building sessions should be organized for librarians, students, and faculty to improve AI literacy, build confidence, and strengthen competence in AI-assisted research activities. </w:t>
      </w:r>
    </w:p>
    <w:p w14:paraId="226206B8">
      <w:pPr>
        <w:pStyle w:val="17"/>
        <w:numPr>
          <w:ilvl w:val="0"/>
          <w:numId w:val="2"/>
        </w:numPr>
        <w:spacing w:beforeAutospacing="0" w:afterAutospacing="0" w:line="360" w:lineRule="auto"/>
        <w:jc w:val="both"/>
        <w:rPr>
          <w:rFonts w:hint="default" w:ascii="Times New Roman" w:hAnsi="Times New Roman" w:cs="Times New Roman"/>
        </w:rPr>
      </w:pPr>
      <w:r>
        <w:rPr>
          <w:rFonts w:hint="default" w:ascii="Times New Roman" w:hAnsi="Times New Roman" w:cs="Times New Roman"/>
        </w:rPr>
        <w:t xml:space="preserve">Academic institutions should develop and implement clear institutional AI policies aligned with international standards such as UNESCO and IEEE to guide ethical use, data privacy, bias reduction, and responsible application of AI-generated content. </w:t>
      </w:r>
    </w:p>
    <w:p w14:paraId="25A885C8">
      <w:pPr>
        <w:pStyle w:val="17"/>
        <w:numPr>
          <w:ilvl w:val="0"/>
          <w:numId w:val="2"/>
        </w:numPr>
        <w:spacing w:beforeAutospacing="0" w:afterAutospacing="0" w:line="360" w:lineRule="auto"/>
        <w:jc w:val="both"/>
        <w:rPr>
          <w:rFonts w:hint="default" w:ascii="Times New Roman" w:hAnsi="Times New Roman" w:cs="Times New Roman"/>
        </w:rPr>
      </w:pPr>
      <w:r>
        <w:rPr>
          <w:rFonts w:hint="default" w:ascii="Times New Roman" w:hAnsi="Times New Roman" w:cs="Times New Roman"/>
        </w:rPr>
        <w:t xml:space="preserve">Librarians should maintain oversight and control over AI-assisted outputs to ensure accuracy, academic integrity, and quality assurance, positioning AI strictly as a support tool that complements rather than replaces human expertise. </w:t>
      </w:r>
    </w:p>
    <w:p w14:paraId="4D210154">
      <w:pPr>
        <w:pStyle w:val="17"/>
        <w:numPr>
          <w:ilvl w:val="0"/>
          <w:numId w:val="2"/>
        </w:numPr>
        <w:spacing w:beforeAutospacing="0" w:afterAutospacing="0" w:line="360" w:lineRule="auto"/>
        <w:jc w:val="both"/>
        <w:rPr>
          <w:rFonts w:hint="default" w:ascii="Times New Roman" w:hAnsi="Times New Roman" w:cs="Times New Roman"/>
        </w:rPr>
      </w:pPr>
      <w:r>
        <w:rPr>
          <w:rFonts w:hint="default" w:ascii="Times New Roman" w:hAnsi="Times New Roman" w:cs="Times New Roman"/>
        </w:rPr>
        <w:t xml:space="preserve">Library management should integrate AI adoption goals into strategic plans, secure dedicated funding for AI tools, and ensure strong leadership commitment to sustain long-term implementation and innovation in library services. </w:t>
      </w:r>
    </w:p>
    <w:p w14:paraId="063CCBC9">
      <w:pPr>
        <w:pStyle w:val="17"/>
        <w:numPr>
          <w:ilvl w:val="0"/>
          <w:numId w:val="2"/>
        </w:numPr>
        <w:spacing w:beforeAutospacing="0" w:afterAutospacing="0" w:line="360" w:lineRule="auto"/>
        <w:jc w:val="both"/>
        <w:rPr>
          <w:rFonts w:hint="default" w:ascii="Times New Roman" w:hAnsi="Times New Roman" w:cs="Times New Roman"/>
        </w:rPr>
      </w:pPr>
      <w:r>
        <w:rPr>
          <w:rFonts w:hint="default" w:ascii="Times New Roman" w:hAnsi="Times New Roman" w:cs="Times New Roman"/>
        </w:rPr>
        <w:t xml:space="preserve">Awareness campaigns should be intensified to promote the use of underutilized academic AI tools such as Semantic Scholar and Elicit, while also integrating these resources into library portals for easier access and wider adoption. </w:t>
      </w:r>
    </w:p>
    <w:p w14:paraId="65629072">
      <w:pPr>
        <w:pStyle w:val="17"/>
        <w:numPr>
          <w:ilvl w:val="0"/>
          <w:numId w:val="2"/>
        </w:numPr>
        <w:spacing w:beforeAutospacing="0" w:afterAutospacing="0" w:line="360" w:lineRule="auto"/>
        <w:jc w:val="both"/>
        <w:rPr>
          <w:rFonts w:hint="default" w:ascii="Times New Roman" w:hAnsi="Times New Roman" w:cs="Times New Roman"/>
        </w:rPr>
      </w:pPr>
      <w:r>
        <w:rPr>
          <w:rFonts w:hint="default" w:ascii="Times New Roman" w:hAnsi="Times New Roman" w:cs="Times New Roman"/>
        </w:rPr>
        <w:t xml:space="preserve">Institutions should develop formal AI policies that clearly define acceptable use, ethical boundaries, and operational standards for AI integration in academic libraries. </w:t>
      </w:r>
    </w:p>
    <w:p w14:paraId="114C489F">
      <w:pPr>
        <w:pStyle w:val="17"/>
        <w:numPr>
          <w:ilvl w:val="0"/>
          <w:numId w:val="2"/>
        </w:numPr>
        <w:spacing w:beforeAutospacing="0" w:afterAutospacing="0" w:line="360" w:lineRule="auto"/>
        <w:jc w:val="both"/>
        <w:rPr>
          <w:rFonts w:hint="default" w:ascii="Times New Roman" w:hAnsi="Times New Roman" w:cs="Times New Roman"/>
        </w:rPr>
      </w:pPr>
      <w:r>
        <w:rPr>
          <w:rFonts w:hint="default" w:ascii="Times New Roman" w:hAnsi="Times New Roman" w:cs="Times New Roman"/>
        </w:rPr>
        <w:t xml:space="preserve">AI literacy should be integrated into Library and Information Science (LIS) curricula to prepare future librarians with the required competencies for AI-driven research environments. </w:t>
      </w:r>
    </w:p>
    <w:p w14:paraId="368AC21F">
      <w:pPr>
        <w:pStyle w:val="17"/>
        <w:numPr>
          <w:ilvl w:val="0"/>
          <w:numId w:val="2"/>
        </w:numPr>
        <w:spacing w:beforeAutospacing="0" w:afterAutospacing="0" w:line="360" w:lineRule="auto"/>
        <w:jc w:val="both"/>
        <w:rPr>
          <w:rFonts w:hint="default" w:ascii="Times New Roman" w:hAnsi="Times New Roman" w:cs="Times New Roman"/>
        </w:rPr>
      </w:pPr>
      <w:r>
        <w:rPr>
          <w:rFonts w:hint="default" w:ascii="Times New Roman" w:hAnsi="Times New Roman" w:cs="Times New Roman"/>
        </w:rPr>
        <w:t xml:space="preserve">Academic libraries should establish dedicated AI support units or digital innovation desks responsible for guiding users, managing AI tools, and supporting research assistance services. </w:t>
      </w:r>
    </w:p>
    <w:p w14:paraId="0445E83F">
      <w:pPr>
        <w:pStyle w:val="17"/>
        <w:numPr>
          <w:ilvl w:val="0"/>
          <w:numId w:val="2"/>
        </w:numPr>
        <w:spacing w:beforeAutospacing="0" w:afterAutospacing="0" w:line="360" w:lineRule="auto"/>
        <w:jc w:val="both"/>
        <w:rPr>
          <w:rFonts w:hint="default" w:ascii="Times New Roman" w:hAnsi="Times New Roman" w:cs="Times New Roman"/>
        </w:rPr>
      </w:pPr>
      <w:r>
        <w:rPr>
          <w:rFonts w:hint="default" w:ascii="Times New Roman" w:hAnsi="Times New Roman" w:cs="Times New Roman"/>
        </w:rPr>
        <w:t>Inter-library collaboration should be encouraged among academic institutions in Cross River State to share AI resources, training programmes, best practices, and technical expertise for improved service delivery.</w:t>
      </w:r>
    </w:p>
    <w:p w14:paraId="08EB6938">
      <w:pPr>
        <w:rPr>
          <w:rFonts w:hint="default" w:ascii="Times New Roman" w:hAnsi="Times New Roman" w:cs="Times New Roman"/>
        </w:rPr>
      </w:pPr>
      <w:r>
        <w:rPr>
          <w:rFonts w:hint="default" w:ascii="Times New Roman" w:hAnsi="Times New Roman" w:cs="Times New Roman"/>
        </w:rPr>
        <w:br w:type="page"/>
      </w:r>
    </w:p>
    <w:p w14:paraId="072DB450">
      <w:pPr>
        <w:pStyle w:val="17"/>
        <w:spacing w:beforeAutospacing="0" w:afterAutospacing="0" w:line="360" w:lineRule="auto"/>
        <w:ind w:left="720" w:hanging="720"/>
        <w:jc w:val="both"/>
        <w:rPr>
          <w:rFonts w:hint="default" w:ascii="Times New Roman" w:hAnsi="Times New Roman" w:cs="Times New Roman"/>
        </w:rPr>
      </w:pPr>
    </w:p>
    <w:p w14:paraId="3882EB7C">
      <w:pPr>
        <w:pStyle w:val="4"/>
        <w:keepNext w:val="0"/>
        <w:keepLines w:val="0"/>
        <w:spacing w:before="0" w:after="0" w:line="360" w:lineRule="auto"/>
        <w:jc w:val="both"/>
        <w:rPr>
          <w:rFonts w:hint="default" w:ascii="Times New Roman" w:hAnsi="Times New Roman" w:cs="Times New Roman"/>
        </w:rPr>
      </w:pPr>
      <w:r>
        <w:rPr>
          <w:rFonts w:hint="default" w:ascii="Times New Roman" w:hAnsi="Times New Roman" w:cs="Times New Roman"/>
          <w:b/>
          <w:bCs/>
          <w:color w:val="auto"/>
          <w:sz w:val="24"/>
          <w:szCs w:val="24"/>
        </w:rPr>
        <w:t>References</w:t>
      </w:r>
    </w:p>
    <w:p w14:paraId="1190D8E7">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rPr>
      </w:pPr>
      <w:r>
        <w:rPr>
          <w:rFonts w:hint="default" w:ascii="Times New Roman" w:hAnsi="Times New Roman" w:cs="Times New Roman"/>
        </w:rPr>
        <w:t xml:space="preserve">Agboke, A. L. and Oladokun, B. D. (2025). Emerging technologies in academic libraries: Prospects and challenges in Nigeria. </w:t>
      </w:r>
      <w:r>
        <w:rPr>
          <w:rStyle w:val="13"/>
          <w:rFonts w:hint="default" w:ascii="Times New Roman" w:hAnsi="Times New Roman" w:cs="Times New Roman"/>
        </w:rPr>
        <w:t>Communicate: Journal of Library and Information Science</w:t>
      </w:r>
      <w:r>
        <w:rPr>
          <w:rFonts w:hint="default" w:ascii="Times New Roman" w:hAnsi="Times New Roman" w:cs="Times New Roman"/>
        </w:rPr>
        <w:t xml:space="preserve">, 26(2), 10–20. Retrieved from </w:t>
      </w:r>
      <w:r>
        <w:rPr>
          <w:rFonts w:hint="default" w:ascii="Times New Roman" w:hAnsi="Times New Roman" w:cs="Times New Roman"/>
        </w:rPr>
        <w:fldChar w:fldCharType="begin"/>
      </w:r>
      <w:r>
        <w:rPr>
          <w:rFonts w:hint="default" w:ascii="Times New Roman" w:hAnsi="Times New Roman" w:cs="Times New Roman"/>
        </w:rPr>
        <w:instrText xml:space="preserve"> HYPERLINK "https://www.cjolis.org/index.php/cjolis/article/view/110" </w:instrText>
      </w:r>
      <w:r>
        <w:rPr>
          <w:rFonts w:hint="default" w:ascii="Times New Roman" w:hAnsi="Times New Roman" w:cs="Times New Roman"/>
        </w:rPr>
        <w:fldChar w:fldCharType="separate"/>
      </w:r>
      <w:r>
        <w:rPr>
          <w:rStyle w:val="16"/>
          <w:rFonts w:hint="default" w:ascii="Times New Roman" w:hAnsi="Times New Roman" w:cs="Times New Roman"/>
          <w:color w:val="auto"/>
        </w:rPr>
        <w:t>Communicate Journal</w:t>
      </w:r>
      <w:r>
        <w:rPr>
          <w:rStyle w:val="16"/>
          <w:rFonts w:hint="default" w:ascii="Times New Roman" w:hAnsi="Times New Roman" w:cs="Times New Roman"/>
          <w:color w:val="auto"/>
        </w:rPr>
        <w:fldChar w:fldCharType="end"/>
      </w:r>
      <w:r>
        <w:rPr>
          <w:rFonts w:hint="default" w:ascii="Times New Roman" w:hAnsi="Times New Roman" w:cs="Times New Roman"/>
        </w:rPr>
        <w:t>.</w:t>
      </w:r>
    </w:p>
    <w:p w14:paraId="66529908">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rPr>
      </w:pPr>
      <w:r>
        <w:rPr>
          <w:rFonts w:hint="default" w:ascii="Times New Roman" w:hAnsi="Times New Roman" w:cs="Times New Roman"/>
        </w:rPr>
        <w:t xml:space="preserve">Anderson, C. B.  and Fisher, D. H. (2025). </w:t>
      </w:r>
      <w:r>
        <w:rPr>
          <w:rStyle w:val="13"/>
          <w:rFonts w:hint="default" w:ascii="Times New Roman" w:hAnsi="Times New Roman" w:cs="Times New Roman"/>
        </w:rPr>
        <w:t>Artificial intelligence for Academic Libraries</w:t>
      </w:r>
      <w:r>
        <w:rPr>
          <w:rFonts w:hint="default" w:ascii="Times New Roman" w:hAnsi="Times New Roman" w:cs="Times New Roman"/>
        </w:rPr>
        <w:t xml:space="preserve">. Routledge. </w:t>
      </w:r>
    </w:p>
    <w:p w14:paraId="7E9E6543">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rPr>
      </w:pPr>
      <w:r>
        <w:rPr>
          <w:rFonts w:hint="default" w:ascii="Times New Roman" w:hAnsi="Times New Roman" w:cs="Times New Roman"/>
        </w:rPr>
        <w:t xml:space="preserve">Babatunde, T. (2025, May 10). Cross River State government officially recognizes AI Global Manual as sole curriculum in state-wide AI literacy campaign. </w:t>
      </w:r>
      <w:r>
        <w:rPr>
          <w:rStyle w:val="13"/>
          <w:rFonts w:hint="default" w:ascii="Times New Roman" w:hAnsi="Times New Roman" w:cs="Times New Roman"/>
        </w:rPr>
        <w:t>The Sun Nigeria</w:t>
      </w:r>
      <w:r>
        <w:rPr>
          <w:rFonts w:hint="default" w:ascii="Times New Roman" w:hAnsi="Times New Roman" w:cs="Times New Roman"/>
        </w:rPr>
        <w:t xml:space="preserve">. Retrieved from </w:t>
      </w:r>
      <w:r>
        <w:rPr>
          <w:rFonts w:hint="default" w:ascii="Times New Roman" w:hAnsi="Times New Roman" w:cs="Times New Roman"/>
        </w:rPr>
        <w:fldChar w:fldCharType="begin"/>
      </w:r>
      <w:r>
        <w:rPr>
          <w:rFonts w:hint="default" w:ascii="Times New Roman" w:hAnsi="Times New Roman" w:cs="Times New Roman"/>
        </w:rPr>
        <w:instrText xml:space="preserve"> HYPERLINK "https://thesun.ng/cross-river-state-government-officially-recognises-ai-global-manual-as-sole-curriculum-in-state-wide-ai-literacy-campaign/" </w:instrText>
      </w:r>
      <w:r>
        <w:rPr>
          <w:rFonts w:hint="default" w:ascii="Times New Roman" w:hAnsi="Times New Roman" w:cs="Times New Roman"/>
        </w:rPr>
        <w:fldChar w:fldCharType="separate"/>
      </w:r>
      <w:r>
        <w:rPr>
          <w:rStyle w:val="16"/>
          <w:rFonts w:hint="default" w:ascii="Times New Roman" w:hAnsi="Times New Roman" w:cs="Times New Roman"/>
          <w:color w:val="auto"/>
        </w:rPr>
        <w:t>The Sun Nigeria</w:t>
      </w:r>
      <w:r>
        <w:rPr>
          <w:rStyle w:val="16"/>
          <w:rFonts w:hint="default" w:ascii="Times New Roman" w:hAnsi="Times New Roman" w:cs="Times New Roman"/>
          <w:color w:val="auto"/>
        </w:rPr>
        <w:fldChar w:fldCharType="end"/>
      </w:r>
      <w:r>
        <w:rPr>
          <w:rFonts w:hint="default" w:ascii="Times New Roman" w:hAnsi="Times New Roman" w:cs="Times New Roman"/>
        </w:rPr>
        <w:t>.</w:t>
      </w:r>
    </w:p>
    <w:p w14:paraId="1218EA32">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rPr>
      </w:pPr>
      <w:r>
        <w:rPr>
          <w:rFonts w:hint="default" w:ascii="Times New Roman" w:hAnsi="Times New Roman" w:cs="Times New Roman"/>
          <w:lang w:val="en-GB"/>
        </w:rPr>
        <w:t>C</w:t>
      </w:r>
      <w:r>
        <w:rPr>
          <w:rFonts w:hint="default" w:ascii="Times New Roman" w:hAnsi="Times New Roman" w:cs="Times New Roman"/>
        </w:rPr>
        <w:t xml:space="preserve">IPIT (2023). </w:t>
      </w:r>
      <w:r>
        <w:rPr>
          <w:rStyle w:val="13"/>
          <w:rFonts w:hint="default" w:ascii="Times New Roman" w:hAnsi="Times New Roman" w:cs="Times New Roman"/>
        </w:rPr>
        <w:t>The State of AI in Africa Report</w:t>
      </w:r>
      <w:r>
        <w:rPr>
          <w:rFonts w:hint="default" w:ascii="Times New Roman" w:hAnsi="Times New Roman" w:cs="Times New Roman"/>
        </w:rPr>
        <w:t xml:space="preserve">. Centre for Intellectual Property and Information Technology Law. </w:t>
      </w:r>
      <w:r>
        <w:rPr>
          <w:rFonts w:hint="default" w:ascii="Times New Roman" w:hAnsi="Times New Roman" w:cs="Times New Roman"/>
        </w:rPr>
        <w:fldChar w:fldCharType="begin"/>
      </w:r>
      <w:r>
        <w:rPr>
          <w:rFonts w:hint="default" w:ascii="Times New Roman" w:hAnsi="Times New Roman" w:cs="Times New Roman"/>
        </w:rPr>
        <w:instrText xml:space="preserve"> HYPERLINK "https://cipit.org/wp-content/uploads/2023/06/Final-Report-The-State-of-AI-in-Africa-Report-2023.pdf" </w:instrText>
      </w:r>
      <w:r>
        <w:rPr>
          <w:rFonts w:hint="default" w:ascii="Times New Roman" w:hAnsi="Times New Roman" w:cs="Times New Roman"/>
        </w:rPr>
        <w:fldChar w:fldCharType="separate"/>
      </w:r>
      <w:r>
        <w:rPr>
          <w:rStyle w:val="16"/>
          <w:rFonts w:hint="default" w:ascii="Times New Roman" w:hAnsi="Times New Roman" w:cs="Times New Roman"/>
          <w:color w:val="auto"/>
        </w:rPr>
        <w:t>Explore the report</w:t>
      </w:r>
      <w:r>
        <w:rPr>
          <w:rStyle w:val="16"/>
          <w:rFonts w:hint="default" w:ascii="Times New Roman" w:hAnsi="Times New Roman" w:cs="Times New Roman"/>
          <w:color w:val="auto"/>
        </w:rPr>
        <w:fldChar w:fldCharType="end"/>
      </w:r>
      <w:r>
        <w:rPr>
          <w:rFonts w:hint="default" w:ascii="Times New Roman" w:hAnsi="Times New Roman" w:cs="Times New Roman"/>
        </w:rPr>
        <w:t>.</w:t>
      </w:r>
    </w:p>
    <w:p w14:paraId="245D265C">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rPr>
      </w:pPr>
      <w:r>
        <w:rPr>
          <w:rFonts w:hint="default" w:ascii="Times New Roman" w:hAnsi="Times New Roman" w:cs="Times New Roman"/>
        </w:rPr>
        <w:t xml:space="preserve">Cox, A. M., Pinfield, S. and Rutter, S. (2019). The intelligent library: Thought leadership and AI in libraries. </w:t>
      </w:r>
      <w:r>
        <w:rPr>
          <w:rStyle w:val="13"/>
          <w:rFonts w:hint="default" w:ascii="Times New Roman" w:hAnsi="Times New Roman" w:cs="Times New Roman"/>
        </w:rPr>
        <w:t>Journal of Information Science</w:t>
      </w:r>
      <w:r>
        <w:rPr>
          <w:rFonts w:hint="default" w:ascii="Times New Roman" w:hAnsi="Times New Roman" w:cs="Times New Roman"/>
        </w:rPr>
        <w:t xml:space="preserve">, 45(3), 334–345. </w:t>
      </w:r>
    </w:p>
    <w:p w14:paraId="115B2938">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lang w:bidi="ar"/>
        </w:rPr>
      </w:pPr>
      <w:r>
        <w:rPr>
          <w:rFonts w:hint="default" w:ascii="Times New Roman" w:hAnsi="Times New Roman" w:cs="Times New Roman"/>
          <w:lang w:bidi="ar"/>
        </w:rPr>
        <w:t xml:space="preserve">Dwivedi, Y. K., </w:t>
      </w:r>
      <w:r>
        <w:rPr>
          <w:rFonts w:hint="default" w:cs="Times New Roman"/>
          <w:lang w:val="en-GB" w:bidi="ar"/>
        </w:rPr>
        <w:t>et al.</w:t>
      </w:r>
      <w:r>
        <w:rPr>
          <w:rFonts w:hint="default" w:ascii="Times New Roman" w:hAnsi="Times New Roman" w:cs="Times New Roman"/>
          <w:lang w:bidi="ar"/>
        </w:rPr>
        <w:t xml:space="preserve">(2021). </w:t>
      </w:r>
      <w:r>
        <w:rPr>
          <w:rStyle w:val="13"/>
          <w:rFonts w:hint="default" w:ascii="Times New Roman" w:hAnsi="Times New Roman" w:cs="Times New Roman"/>
          <w:lang w:bidi="ar"/>
        </w:rPr>
        <w:t>Artificial Intelligence (AI): Multidisciplinary perspectives on emerging challenges, opportunities, and agenda for research, practice and policy</w:t>
      </w:r>
      <w:r>
        <w:rPr>
          <w:rFonts w:hint="default" w:ascii="Times New Roman" w:hAnsi="Times New Roman" w:cs="Times New Roman"/>
          <w:lang w:bidi="ar"/>
        </w:rPr>
        <w:t xml:space="preserve">. </w:t>
      </w:r>
      <w:r>
        <w:rPr>
          <w:rFonts w:hint="default" w:ascii="Times New Roman" w:hAnsi="Times New Roman" w:cs="Times New Roman"/>
          <w:i/>
          <w:iCs/>
          <w:lang w:bidi="ar"/>
        </w:rPr>
        <w:t>International Journal of Information Management,</w:t>
      </w:r>
      <w:r>
        <w:rPr>
          <w:rFonts w:hint="default" w:ascii="Times New Roman" w:hAnsi="Times New Roman" w:cs="Times New Roman"/>
          <w:lang w:bidi="ar"/>
        </w:rPr>
        <w:t xml:space="preserve"> 57, 101994. </w:t>
      </w:r>
    </w:p>
    <w:p w14:paraId="1693C76C">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rPr>
      </w:pPr>
      <w:r>
        <w:rPr>
          <w:rFonts w:hint="default" w:ascii="Times New Roman" w:hAnsi="Times New Roman" w:cs="Times New Roman"/>
        </w:rPr>
        <w:t xml:space="preserve">Ebaye, A. S., Orim, F. S. and Edam-Agbor, I. B. (2024). Librarian awareness, perception and acceptance and the utilization of artificial intelligence in library services in universities in South-South Nigeria. </w:t>
      </w:r>
      <w:r>
        <w:rPr>
          <w:rStyle w:val="13"/>
          <w:rFonts w:hint="default" w:ascii="Times New Roman" w:hAnsi="Times New Roman" w:cs="Times New Roman"/>
        </w:rPr>
        <w:t>ISAR Journal of Multidisciplinary Research and Studies</w:t>
      </w:r>
      <w:r>
        <w:rPr>
          <w:rFonts w:hint="default" w:ascii="Times New Roman" w:hAnsi="Times New Roman" w:cs="Times New Roman"/>
        </w:rPr>
        <w:t xml:space="preserve">, 2(7), 1–15. Retrieved from </w:t>
      </w:r>
      <w:r>
        <w:rPr>
          <w:rFonts w:hint="default" w:ascii="Times New Roman" w:hAnsi="Times New Roman" w:cs="Times New Roman"/>
        </w:rPr>
        <w:fldChar w:fldCharType="begin"/>
      </w:r>
      <w:r>
        <w:rPr>
          <w:rFonts w:hint="default" w:ascii="Times New Roman" w:hAnsi="Times New Roman" w:cs="Times New Roman"/>
        </w:rPr>
        <w:instrText xml:space="preserve"> HYPERLINK "https://article.isarpublisher.com/download/442" </w:instrText>
      </w:r>
      <w:r>
        <w:rPr>
          <w:rFonts w:hint="default" w:ascii="Times New Roman" w:hAnsi="Times New Roman" w:cs="Times New Roman"/>
        </w:rPr>
        <w:fldChar w:fldCharType="separate"/>
      </w:r>
      <w:r>
        <w:rPr>
          <w:rStyle w:val="16"/>
          <w:rFonts w:hint="default" w:ascii="Times New Roman" w:hAnsi="Times New Roman" w:cs="Times New Roman"/>
          <w:color w:val="auto"/>
        </w:rPr>
        <w:t>ISAR Publisher</w:t>
      </w:r>
      <w:r>
        <w:rPr>
          <w:rStyle w:val="16"/>
          <w:rFonts w:hint="default" w:ascii="Times New Roman" w:hAnsi="Times New Roman" w:cs="Times New Roman"/>
          <w:color w:val="auto"/>
        </w:rPr>
        <w:fldChar w:fldCharType="end"/>
      </w:r>
      <w:r>
        <w:rPr>
          <w:rFonts w:hint="default" w:ascii="Times New Roman" w:hAnsi="Times New Roman" w:cs="Times New Roman"/>
        </w:rPr>
        <w:t>.</w:t>
      </w:r>
    </w:p>
    <w:p w14:paraId="0DF8D034">
      <w:pPr>
        <w:keepNext w:val="0"/>
        <w:keepLines w:val="0"/>
        <w:pageBreakBefore w:val="0"/>
        <w:widowControl/>
        <w:kinsoku/>
        <w:wordWrap/>
        <w:overflowPunct/>
        <w:topLinePunct w:val="0"/>
        <w:autoSpaceDE/>
        <w:autoSpaceDN/>
        <w:bidi w:val="0"/>
        <w:adjustRightInd/>
        <w:snapToGrid/>
        <w:spacing w:after="0" w:line="360" w:lineRule="auto"/>
        <w:ind w:left="720" w:hanging="720"/>
        <w:jc w:val="both"/>
        <w:textAlignment w:val="auto"/>
        <w:rPr>
          <w:rFonts w:hint="default" w:ascii="Times New Roman" w:hAnsi="Times New Roman" w:eastAsia="SimSun" w:cs="Times New Roman"/>
          <w:sz w:val="24"/>
          <w:szCs w:val="24"/>
          <w:lang w:eastAsia="zh-CN"/>
        </w:rPr>
      </w:pPr>
      <w:r>
        <w:rPr>
          <w:rFonts w:hint="default" w:ascii="Times New Roman" w:hAnsi="Times New Roman" w:eastAsia="SimSun" w:cs="Times New Roman"/>
          <w:sz w:val="24"/>
          <w:szCs w:val="24"/>
          <w:lang w:eastAsia="zh-CN" w:bidi="ar"/>
        </w:rPr>
        <w:t xml:space="preserve">Emezaiwakpor, M. O., Idiodi, E. O. and Urhiewhu, L. O. (2023). </w:t>
      </w:r>
      <w:r>
        <w:rPr>
          <w:rStyle w:val="13"/>
          <w:rFonts w:hint="default" w:ascii="Times New Roman" w:hAnsi="Times New Roman" w:eastAsia="SimSun" w:cs="Times New Roman"/>
          <w:sz w:val="24"/>
          <w:szCs w:val="24"/>
          <w:lang w:eastAsia="zh-CN" w:bidi="ar"/>
        </w:rPr>
        <w:t>Artificial Intelligence (AI) in Service Delivery to Academic Library by Librarians in Nigeria</w:t>
      </w:r>
      <w:r>
        <w:rPr>
          <w:rFonts w:hint="default" w:ascii="Times New Roman" w:hAnsi="Times New Roman" w:eastAsia="SimSun" w:cs="Times New Roman"/>
          <w:sz w:val="24"/>
          <w:szCs w:val="24"/>
          <w:lang w:eastAsia="zh-CN" w:bidi="ar"/>
        </w:rPr>
        <w:t xml:space="preserve">. </w:t>
      </w:r>
      <w:r>
        <w:rPr>
          <w:rFonts w:hint="default" w:ascii="Times New Roman" w:hAnsi="Times New Roman" w:eastAsia="SimSun" w:cs="Times New Roman"/>
          <w:i/>
          <w:iCs/>
          <w:sz w:val="24"/>
          <w:szCs w:val="24"/>
          <w:lang w:eastAsia="zh-CN" w:bidi="ar"/>
        </w:rPr>
        <w:t>International Journal of Library and Information Science Studies</w:t>
      </w:r>
      <w:r>
        <w:rPr>
          <w:rFonts w:hint="default" w:ascii="Times New Roman" w:hAnsi="Times New Roman" w:eastAsia="SimSun" w:cs="Times New Roman"/>
          <w:sz w:val="24"/>
          <w:szCs w:val="24"/>
          <w:lang w:eastAsia="zh-CN"/>
        </w:rPr>
        <w:t xml:space="preserve">. </w:t>
      </w:r>
    </w:p>
    <w:p w14:paraId="55B34340">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rPr>
      </w:pPr>
      <w:r>
        <w:rPr>
          <w:rFonts w:hint="default" w:ascii="Times New Roman" w:hAnsi="Times New Roman" w:cs="Times New Roman"/>
        </w:rPr>
        <w:t xml:space="preserve">Emumejakpor, E. O. and Ovie, E. C. (2024). Adoption of artificial intelligence (AI) in library services for national development: A review of literature. </w:t>
      </w:r>
      <w:r>
        <w:rPr>
          <w:rStyle w:val="13"/>
          <w:rFonts w:hint="default" w:ascii="Times New Roman" w:hAnsi="Times New Roman" w:cs="Times New Roman"/>
        </w:rPr>
        <w:t>Nigerian Digital Journal of Library and Information Science</w:t>
      </w:r>
      <w:r>
        <w:rPr>
          <w:rFonts w:hint="default" w:ascii="Times New Roman" w:hAnsi="Times New Roman" w:cs="Times New Roman"/>
        </w:rPr>
        <w:t xml:space="preserve">, </w:t>
      </w:r>
      <w:r>
        <w:rPr>
          <w:rFonts w:hint="default" w:ascii="Times New Roman" w:hAnsi="Times New Roman" w:cs="Times New Roman"/>
          <w:i/>
          <w:iCs/>
        </w:rPr>
        <w:t>5</w:t>
      </w:r>
      <w:r>
        <w:rPr>
          <w:rFonts w:hint="default" w:ascii="Times New Roman" w:hAnsi="Times New Roman" w:cs="Times New Roman"/>
        </w:rPr>
        <w:t xml:space="preserve">(1), 1–14. </w:t>
      </w:r>
    </w:p>
    <w:p w14:paraId="6913CAEB">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rPr>
      </w:pPr>
      <w:r>
        <w:rPr>
          <w:rFonts w:hint="default" w:ascii="Times New Roman" w:hAnsi="Times New Roman" w:cs="Times New Roman"/>
        </w:rPr>
        <w:t xml:space="preserve">Kingsley, O. A., Onyeje, O. M., Ogban, A. H. and Imolong, O. M. (2025). Application of artificial intelligence (AI) to student personnel management and counselling in public secondary schools in Cross River State, Nigeria. </w:t>
      </w:r>
      <w:r>
        <w:rPr>
          <w:rStyle w:val="13"/>
          <w:rFonts w:hint="default" w:ascii="Times New Roman" w:hAnsi="Times New Roman" w:cs="Times New Roman"/>
        </w:rPr>
        <w:t>International Journal of Multidisciplinary Research and Growth Evaluation</w:t>
      </w:r>
      <w:r>
        <w:rPr>
          <w:rFonts w:hint="default" w:ascii="Times New Roman" w:hAnsi="Times New Roman" w:cs="Times New Roman"/>
        </w:rPr>
        <w:t xml:space="preserve">, </w:t>
      </w:r>
      <w:r>
        <w:rPr>
          <w:rFonts w:hint="default" w:ascii="Times New Roman" w:hAnsi="Times New Roman" w:cs="Times New Roman"/>
          <w:i/>
          <w:iCs/>
        </w:rPr>
        <w:t>6</w:t>
      </w:r>
      <w:r>
        <w:rPr>
          <w:rFonts w:hint="default" w:ascii="Times New Roman" w:hAnsi="Times New Roman" w:cs="Times New Roman"/>
        </w:rPr>
        <w:t>(1), 2113–2120</w:t>
      </w:r>
    </w:p>
    <w:p w14:paraId="428748F0">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rPr>
      </w:pPr>
      <w:r>
        <w:rPr>
          <w:rFonts w:hint="default" w:ascii="Times New Roman" w:hAnsi="Times New Roman" w:cs="Times New Roman"/>
        </w:rPr>
        <w:t xml:space="preserve">Lo, L. S. (2025). AI literacy: A guide for academic libraries. </w:t>
      </w:r>
      <w:r>
        <w:rPr>
          <w:rStyle w:val="13"/>
          <w:rFonts w:hint="default" w:ascii="Times New Roman" w:hAnsi="Times New Roman" w:cs="Times New Roman"/>
        </w:rPr>
        <w:t>College &amp; Research Libraries News</w:t>
      </w:r>
      <w:r>
        <w:rPr>
          <w:rFonts w:hint="default" w:ascii="Times New Roman" w:hAnsi="Times New Roman" w:cs="Times New Roman"/>
        </w:rPr>
        <w:t xml:space="preserve">, </w:t>
      </w:r>
      <w:r>
        <w:rPr>
          <w:rFonts w:hint="default" w:ascii="Times New Roman" w:hAnsi="Times New Roman" w:cs="Times New Roman"/>
          <w:i/>
          <w:iCs/>
        </w:rPr>
        <w:t>86</w:t>
      </w:r>
      <w:r>
        <w:rPr>
          <w:rFonts w:hint="default" w:ascii="Times New Roman" w:hAnsi="Times New Roman" w:cs="Times New Roman"/>
        </w:rPr>
        <w:t xml:space="preserve">(3), 120–124. </w:t>
      </w:r>
    </w:p>
    <w:p w14:paraId="0FFE49E8">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rPr>
      </w:pPr>
      <w:r>
        <w:rPr>
          <w:rFonts w:hint="default" w:ascii="Times New Roman" w:hAnsi="Times New Roman" w:cs="Times New Roman"/>
        </w:rPr>
        <w:t xml:space="preserve">Modiba, F.S., Van den Berg, A. and Mago, S. (2025). </w:t>
      </w:r>
      <w:r>
        <w:rPr>
          <w:rStyle w:val="13"/>
          <w:rFonts w:hint="default" w:ascii="Times New Roman" w:hAnsi="Times New Roman" w:cs="Times New Roman"/>
        </w:rPr>
        <w:t>Opportunities and Challenges of Generative Artificial Intelligence Supporting Research in African Classrooms</w:t>
      </w:r>
      <w:r>
        <w:rPr>
          <w:rFonts w:hint="default" w:ascii="Times New Roman" w:hAnsi="Times New Roman" w:cs="Times New Roman"/>
        </w:rPr>
        <w:t xml:space="preserve">. </w:t>
      </w:r>
      <w:r>
        <w:rPr>
          <w:rFonts w:hint="default" w:ascii="Times New Roman" w:hAnsi="Times New Roman" w:cs="Times New Roman"/>
          <w:i/>
          <w:iCs/>
        </w:rPr>
        <w:t>South African Journal of Higher Education</w:t>
      </w:r>
      <w:r>
        <w:rPr>
          <w:rFonts w:hint="default" w:ascii="Times New Roman" w:hAnsi="Times New Roman" w:cs="Times New Roman"/>
        </w:rPr>
        <w:t xml:space="preserve">. </w:t>
      </w:r>
    </w:p>
    <w:p w14:paraId="4A141F56">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rPr>
      </w:pPr>
      <w:r>
        <w:rPr>
          <w:rFonts w:hint="default" w:ascii="Times New Roman" w:hAnsi="Times New Roman" w:cs="Times New Roman"/>
        </w:rPr>
        <w:t xml:space="preserve">Orubebe, E. D., Braide, D. and Oladokun, B. D. (2025). Librarians’ perception and readiness in adopting AI technology in academic libraries. </w:t>
      </w:r>
      <w:r>
        <w:rPr>
          <w:rStyle w:val="13"/>
          <w:rFonts w:hint="default" w:ascii="Times New Roman" w:hAnsi="Times New Roman" w:cs="Times New Roman"/>
        </w:rPr>
        <w:t>Edulib Journal of Library and Information Science</w:t>
      </w:r>
      <w:r>
        <w:rPr>
          <w:rFonts w:hint="default" w:ascii="Times New Roman" w:hAnsi="Times New Roman" w:cs="Times New Roman"/>
        </w:rPr>
        <w:t xml:space="preserve">, </w:t>
      </w:r>
      <w:r>
        <w:rPr>
          <w:rFonts w:hint="default" w:ascii="Times New Roman" w:hAnsi="Times New Roman" w:cs="Times New Roman"/>
          <w:i/>
          <w:iCs/>
        </w:rPr>
        <w:t>15</w:t>
      </w:r>
      <w:r>
        <w:rPr>
          <w:rFonts w:hint="default" w:ascii="Times New Roman" w:hAnsi="Times New Roman" w:cs="Times New Roman"/>
        </w:rPr>
        <w:t xml:space="preserve">(1), 53–64. </w:t>
      </w:r>
    </w:p>
    <w:p w14:paraId="010300FC">
      <w:pPr>
        <w:pStyle w:val="17"/>
        <w:keepNext w:val="0"/>
        <w:keepLines w:val="0"/>
        <w:pageBreakBefore w:val="0"/>
        <w:widowControl/>
        <w:kinsoku/>
        <w:wordWrap/>
        <w:overflowPunct/>
        <w:topLinePunct w:val="0"/>
        <w:autoSpaceDE/>
        <w:autoSpaceDN/>
        <w:bidi w:val="0"/>
        <w:adjustRightInd/>
        <w:snapToGrid/>
        <w:spacing w:beforeAutospacing="0" w:afterAutospacing="0" w:line="360" w:lineRule="auto"/>
        <w:ind w:left="720" w:hanging="720"/>
        <w:jc w:val="both"/>
        <w:textAlignment w:val="auto"/>
        <w:rPr>
          <w:rFonts w:hint="default" w:ascii="Times New Roman" w:hAnsi="Times New Roman" w:cs="Times New Roman"/>
          <w:lang w:val="en-GB"/>
        </w:rPr>
      </w:pPr>
      <w:r>
        <w:rPr>
          <w:rFonts w:hint="default" w:ascii="Times New Roman" w:hAnsi="Times New Roman" w:cs="Times New Roman"/>
        </w:rPr>
        <w:t xml:space="preserve">Whong, F. M. (2025). Challenges and opportunities of implementing artificial intelligence and machine learning in Nigerian libraries. </w:t>
      </w:r>
      <w:r>
        <w:rPr>
          <w:rStyle w:val="13"/>
          <w:rFonts w:hint="default" w:ascii="Times New Roman" w:hAnsi="Times New Roman" w:cs="Times New Roman"/>
        </w:rPr>
        <w:t>Samaru Journal of Information Studies</w:t>
      </w:r>
      <w:r>
        <w:rPr>
          <w:rFonts w:hint="default" w:ascii="Times New Roman" w:hAnsi="Times New Roman" w:cs="Times New Roman"/>
        </w:rPr>
        <w:t xml:space="preserve">, </w:t>
      </w:r>
      <w:r>
        <w:rPr>
          <w:rFonts w:hint="default" w:ascii="Times New Roman" w:hAnsi="Times New Roman" w:cs="Times New Roman"/>
          <w:i/>
          <w:iCs/>
        </w:rPr>
        <w:t>25</w:t>
      </w:r>
      <w:r>
        <w:rPr>
          <w:rFonts w:hint="default" w:ascii="Times New Roman" w:hAnsi="Times New Roman" w:cs="Times New Roman"/>
        </w:rPr>
        <w:t xml:space="preserve">(1), 1–15. </w:t>
      </w:r>
    </w:p>
    <w:p w14:paraId="4E1B39B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rPr>
      </w:pPr>
    </w:p>
    <w:p w14:paraId="20196943">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Times New Roman" w:hAnsi="Times New Roman" w:cs="Times New Roman"/>
        </w:rPr>
      </w:pPr>
    </w:p>
    <w:sectPr>
      <w:headerReference r:id="rId5" w:type="default"/>
      <w:pgSz w:w="12240" w:h="15840"/>
      <w:pgMar w:top="1440" w:right="1440" w:bottom="1260" w:left="1440" w:header="720" w:footer="720" w:gutter="0"/>
      <w:pgBorders>
        <w:top w:val="none" w:sz="0" w:space="0"/>
        <w:left w:val="none" w:sz="0" w:space="0"/>
        <w:bottom w:val="none" w:sz="0" w:space="0"/>
        <w:right w:val="none" w:sz="0" w:space="0"/>
      </w:pgBorders>
      <w:pgNumType w:start="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87980940"/>
      <w:showingPlcHdr/>
    </w:sdtPr>
    <w:sdtContent>
      <w:p w14:paraId="6B4975BF">
        <w:pPr>
          <w:pStyle w:val="15"/>
          <w:jc w:val="center"/>
        </w:pPr>
        <w:r>
          <w:t xml:space="preserve">     </w:t>
        </w:r>
      </w:p>
    </w:sdtContent>
  </w:sdt>
  <w:p w14:paraId="7C37150C">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4F2007"/>
    <w:multiLevelType w:val="multilevel"/>
    <w:tmpl w:val="124F200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40E1353"/>
    <w:multiLevelType w:val="multilevel"/>
    <w:tmpl w:val="140E135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683"/>
    <w:rsid w:val="00317419"/>
    <w:rsid w:val="003B039A"/>
    <w:rsid w:val="005B5817"/>
    <w:rsid w:val="009C3FD2"/>
    <w:rsid w:val="00E46683"/>
    <w:rsid w:val="00FD1CDF"/>
    <w:rsid w:val="00FE4A3E"/>
    <w:rsid w:val="00FF5C82"/>
    <w:rsid w:val="034C1F77"/>
    <w:rsid w:val="062258C9"/>
    <w:rsid w:val="0CF74D52"/>
    <w:rsid w:val="12117034"/>
    <w:rsid w:val="1A8C1CCD"/>
    <w:rsid w:val="36FF1D17"/>
    <w:rsid w:val="372843A9"/>
    <w:rsid w:val="42EF5DF4"/>
    <w:rsid w:val="45F538D3"/>
    <w:rsid w:val="4FC013BA"/>
    <w:rsid w:val="519C35D9"/>
    <w:rsid w:val="5B157129"/>
    <w:rsid w:val="5DAD014C"/>
    <w:rsid w:val="711733E6"/>
    <w:rsid w:val="795E40AC"/>
    <w:rsid w:val="7D391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0"/>
      <w:sz w:val="22"/>
      <w:szCs w:val="22"/>
      <w:lang w:val="en-US" w:eastAsia="en-US" w:bidi="ar-SA"/>
      <w14:ligatures w14:val="none"/>
    </w:rPr>
  </w:style>
  <w:style w:type="paragraph" w:styleId="2">
    <w:name w:val="heading 1"/>
    <w:basedOn w:val="1"/>
    <w:next w:val="1"/>
    <w:link w:val="22"/>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3"/>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4"/>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5"/>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6"/>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7"/>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8"/>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paragraph" w:styleId="14">
    <w:name w:val="footer"/>
    <w:basedOn w:val="1"/>
    <w:link w:val="41"/>
    <w:unhideWhenUsed/>
    <w:qFormat/>
    <w:uiPriority w:val="99"/>
    <w:pPr>
      <w:tabs>
        <w:tab w:val="center" w:pos="4680"/>
        <w:tab w:val="right" w:pos="9360"/>
      </w:tabs>
      <w:spacing w:after="0" w:line="240" w:lineRule="auto"/>
    </w:pPr>
  </w:style>
  <w:style w:type="paragraph" w:styleId="15">
    <w:name w:val="header"/>
    <w:basedOn w:val="1"/>
    <w:link w:val="40"/>
    <w:unhideWhenUsed/>
    <w:qFormat/>
    <w:uiPriority w:val="99"/>
    <w:pPr>
      <w:tabs>
        <w:tab w:val="center" w:pos="4153"/>
        <w:tab w:val="right" w:pos="8306"/>
      </w:tabs>
      <w:snapToGrid w:val="0"/>
    </w:pPr>
    <w:rPr>
      <w:sz w:val="18"/>
      <w:szCs w:val="18"/>
    </w:rPr>
  </w:style>
  <w:style w:type="character" w:styleId="16">
    <w:name w:val="Hyperlink"/>
    <w:basedOn w:val="11"/>
    <w:semiHidden/>
    <w:unhideWhenUsed/>
    <w:qFormat/>
    <w:uiPriority w:val="99"/>
    <w:rPr>
      <w:color w:val="0000FF"/>
      <w:u w:val="single"/>
    </w:rPr>
  </w:style>
  <w:style w:type="paragraph" w:styleId="17">
    <w:name w:val="Normal (Web)"/>
    <w:unhideWhenUsed/>
    <w:qFormat/>
    <w:uiPriority w:val="99"/>
    <w:pPr>
      <w:spacing w:beforeAutospacing="1" w:after="0" w:afterAutospacing="1" w:line="240" w:lineRule="auto"/>
    </w:pPr>
    <w:rPr>
      <w:rFonts w:ascii="Times New Roman" w:hAnsi="Times New Roman" w:eastAsia="SimSun" w:cs="Times New Roman"/>
      <w:kern w:val="0"/>
      <w:sz w:val="24"/>
      <w:szCs w:val="24"/>
      <w:lang w:val="en-US" w:eastAsia="zh-CN" w:bidi="ar-SA"/>
      <w14:ligatures w14:val="none"/>
    </w:rPr>
  </w:style>
  <w:style w:type="character" w:styleId="18">
    <w:name w:val="Strong"/>
    <w:basedOn w:val="11"/>
    <w:qFormat/>
    <w:uiPriority w:val="22"/>
    <w:rPr>
      <w:b/>
      <w:bCs/>
    </w:rPr>
  </w:style>
  <w:style w:type="paragraph" w:styleId="19">
    <w:name w:val="Subtitle"/>
    <w:basedOn w:val="1"/>
    <w:next w:val="1"/>
    <w:link w:val="3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0">
    <w:name w:val="Table Grid"/>
    <w:basedOn w:val="12"/>
    <w:qFormat/>
    <w:uiPriority w:val="39"/>
    <w:pPr>
      <w:widowControl w:val="0"/>
      <w:spacing w:after="0" w:line="240" w:lineRule="auto"/>
      <w:jc w:val="both"/>
    </w:pPr>
    <w:rPr>
      <w:rFonts w:ascii="Times New Roman" w:hAnsi="Times New Roman" w:eastAsia="SimSun"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1">
    <w:name w:val="Title"/>
    <w:basedOn w:val="1"/>
    <w:next w:val="1"/>
    <w:link w:val="31"/>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2">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3">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24">
    <w:name w:val="Heading 3 Char"/>
    <w:basedOn w:val="11"/>
    <w:link w:val="4"/>
    <w:qFormat/>
    <w:uiPriority w:val="9"/>
    <w:rPr>
      <w:rFonts w:eastAsiaTheme="majorEastAsia" w:cstheme="majorBidi"/>
      <w:color w:val="2F5597" w:themeColor="accent1" w:themeShade="BF"/>
      <w:sz w:val="28"/>
      <w:szCs w:val="28"/>
    </w:rPr>
  </w:style>
  <w:style w:type="character" w:customStyle="1" w:styleId="25">
    <w:name w:val="Heading 4 Char"/>
    <w:basedOn w:val="11"/>
    <w:link w:val="5"/>
    <w:semiHidden/>
    <w:qFormat/>
    <w:uiPriority w:val="9"/>
    <w:rPr>
      <w:rFonts w:eastAsiaTheme="majorEastAsia" w:cstheme="majorBidi"/>
      <w:i/>
      <w:iCs/>
      <w:color w:val="2F5597" w:themeColor="accent1" w:themeShade="BF"/>
    </w:rPr>
  </w:style>
  <w:style w:type="character" w:customStyle="1" w:styleId="26">
    <w:name w:val="Heading 5 Char"/>
    <w:basedOn w:val="11"/>
    <w:link w:val="6"/>
    <w:semiHidden/>
    <w:qFormat/>
    <w:uiPriority w:val="9"/>
    <w:rPr>
      <w:rFonts w:eastAsiaTheme="majorEastAsia" w:cstheme="majorBidi"/>
      <w:color w:val="2F5597" w:themeColor="accent1" w:themeShade="BF"/>
    </w:rPr>
  </w:style>
  <w:style w:type="character" w:customStyle="1" w:styleId="27">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8">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0">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1">
    <w:name w:val="Title Char"/>
    <w:basedOn w:val="11"/>
    <w:link w:val="21"/>
    <w:qFormat/>
    <w:uiPriority w:val="10"/>
    <w:rPr>
      <w:rFonts w:asciiTheme="majorHAnsi" w:hAnsiTheme="majorHAnsi" w:eastAsiaTheme="majorEastAsia" w:cstheme="majorBidi"/>
      <w:spacing w:val="-10"/>
      <w:kern w:val="28"/>
      <w:sz w:val="56"/>
      <w:szCs w:val="56"/>
    </w:rPr>
  </w:style>
  <w:style w:type="character" w:customStyle="1" w:styleId="32">
    <w:name w:val="Subtitle Char"/>
    <w:basedOn w:val="11"/>
    <w:link w:val="1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Quote Char"/>
    <w:basedOn w:val="11"/>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Intense Emphasis"/>
    <w:basedOn w:val="11"/>
    <w:qFormat/>
    <w:uiPriority w:val="21"/>
    <w:rPr>
      <w:i/>
      <w:iCs/>
      <w:color w:val="2F5597" w:themeColor="accent1" w:themeShade="BF"/>
    </w:rPr>
  </w:style>
  <w:style w:type="paragraph" w:styleId="37">
    <w:name w:val="Intense Quote"/>
    <w:basedOn w:val="1"/>
    <w:next w:val="1"/>
    <w:link w:val="3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8">
    <w:name w:val="Intense Quote Char"/>
    <w:basedOn w:val="11"/>
    <w:link w:val="37"/>
    <w:qFormat/>
    <w:uiPriority w:val="30"/>
    <w:rPr>
      <w:i/>
      <w:iCs/>
      <w:color w:val="2F5597" w:themeColor="accent1" w:themeShade="BF"/>
    </w:rPr>
  </w:style>
  <w:style w:type="character" w:customStyle="1" w:styleId="39">
    <w:name w:val="Intense Reference"/>
    <w:basedOn w:val="11"/>
    <w:qFormat/>
    <w:uiPriority w:val="32"/>
    <w:rPr>
      <w:b/>
      <w:bCs/>
      <w:smallCaps/>
      <w:color w:val="2F5597" w:themeColor="accent1" w:themeShade="BF"/>
      <w:spacing w:val="5"/>
    </w:rPr>
  </w:style>
  <w:style w:type="character" w:customStyle="1" w:styleId="40">
    <w:name w:val="Header Char"/>
    <w:basedOn w:val="11"/>
    <w:link w:val="15"/>
    <w:qFormat/>
    <w:uiPriority w:val="99"/>
    <w:rPr>
      <w:kern w:val="0"/>
      <w:sz w:val="18"/>
      <w:szCs w:val="18"/>
      <w14:ligatures w14:val="none"/>
    </w:rPr>
  </w:style>
  <w:style w:type="character" w:customStyle="1" w:styleId="41">
    <w:name w:val="Footer Char"/>
    <w:basedOn w:val="11"/>
    <w:link w:val="14"/>
    <w:qFormat/>
    <w:uiPriority w:val="99"/>
    <w:rPr>
      <w:kern w:val="0"/>
      <w:sz w:val="22"/>
      <w:szCs w:val="22"/>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8074</Words>
  <Characters>46027</Characters>
  <Lines>383</Lines>
  <Paragraphs>107</Paragraphs>
  <TotalTime>13</TotalTime>
  <ScaleCrop>false</ScaleCrop>
  <LinksUpToDate>false</LinksUpToDate>
  <CharactersWithSpaces>53994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2026-05-28T20:13:00Z</dcterms:created>
  <dc:creator>USER PC</dc:creator>
  <cp:lastModifiedBy>faith koko</cp:lastModifiedBy>
  <dcterms:modified xsi:type="dcterms:W3CDTF">2026-06-03T15:27:07Z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85CCE469C84C413A921F7175F9C19D94_12</vt:lpwstr>
  </property>
</Properties>
</file>