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4EC73" w14:textId="660C143D" w:rsidR="00B51970" w:rsidRPr="00B60428" w:rsidRDefault="00B51970" w:rsidP="00ED692C">
      <w:pPr>
        <w:jc w:val="center"/>
        <w:rPr>
          <w:rFonts w:ascii="Times New Roman" w:hAnsi="Times New Roman" w:cs="Times New Roman"/>
          <w:b/>
          <w:bCs/>
          <w:sz w:val="24"/>
          <w:szCs w:val="24"/>
          <w:lang w:val="en-NG"/>
        </w:rPr>
      </w:pPr>
      <w:r w:rsidRPr="00B60428">
        <w:rPr>
          <w:rFonts w:ascii="Times New Roman" w:hAnsi="Times New Roman" w:cs="Times New Roman"/>
          <w:b/>
          <w:bCs/>
          <w:sz w:val="24"/>
          <w:szCs w:val="24"/>
          <w:lang w:val="en-NG"/>
        </w:rPr>
        <w:t xml:space="preserve">From Knowledge Creation to Global Visibility: Examining the Influence of Scholarly Infrastructure among LIS </w:t>
      </w:r>
      <w:r w:rsidR="00ED692C">
        <w:rPr>
          <w:rFonts w:ascii="Times New Roman" w:hAnsi="Times New Roman" w:cs="Times New Roman"/>
          <w:b/>
          <w:bCs/>
          <w:sz w:val="24"/>
          <w:szCs w:val="24"/>
          <w:lang w:val="en-NG"/>
        </w:rPr>
        <w:t>Academics</w:t>
      </w:r>
      <w:r w:rsidRPr="00B60428">
        <w:rPr>
          <w:rFonts w:ascii="Times New Roman" w:hAnsi="Times New Roman" w:cs="Times New Roman"/>
          <w:b/>
          <w:bCs/>
          <w:sz w:val="24"/>
          <w:szCs w:val="24"/>
          <w:lang w:val="en-NG"/>
        </w:rPr>
        <w:t xml:space="preserve"> in </w:t>
      </w:r>
      <w:r w:rsidR="00ED692C">
        <w:rPr>
          <w:rFonts w:ascii="Times New Roman" w:hAnsi="Times New Roman" w:cs="Times New Roman"/>
          <w:b/>
          <w:bCs/>
          <w:sz w:val="24"/>
          <w:szCs w:val="24"/>
          <w:lang w:val="en-NG"/>
        </w:rPr>
        <w:t xml:space="preserve">Federal Universities in Northern </w:t>
      </w:r>
      <w:r w:rsidRPr="00B60428">
        <w:rPr>
          <w:rFonts w:ascii="Times New Roman" w:hAnsi="Times New Roman" w:cs="Times New Roman"/>
          <w:b/>
          <w:bCs/>
          <w:sz w:val="24"/>
          <w:szCs w:val="24"/>
          <w:lang w:val="en-NG"/>
        </w:rPr>
        <w:t>Nigeria</w:t>
      </w:r>
    </w:p>
    <w:p w14:paraId="23145EC5" w14:textId="77777777" w:rsidR="00B60428" w:rsidRDefault="00B60428" w:rsidP="00B51970">
      <w:pPr>
        <w:jc w:val="center"/>
        <w:rPr>
          <w:rFonts w:ascii="Times New Roman" w:hAnsi="Times New Roman" w:cs="Times New Roman"/>
          <w:b/>
          <w:bCs/>
          <w:sz w:val="24"/>
          <w:szCs w:val="24"/>
          <w:lang w:val="en-NG"/>
        </w:rPr>
      </w:pPr>
    </w:p>
    <w:p w14:paraId="52842BE5" w14:textId="0230BECD" w:rsidR="00B51970" w:rsidRDefault="00B51970" w:rsidP="00B60428">
      <w:pPr>
        <w:spacing w:after="0" w:line="240" w:lineRule="auto"/>
        <w:jc w:val="center"/>
        <w:rPr>
          <w:rFonts w:ascii="Times New Roman" w:hAnsi="Times New Roman" w:cs="Times New Roman"/>
          <w:b/>
          <w:bCs/>
          <w:sz w:val="24"/>
          <w:szCs w:val="24"/>
          <w:lang w:val="en-NG"/>
        </w:rPr>
      </w:pPr>
      <w:r w:rsidRPr="00B60428">
        <w:rPr>
          <w:rFonts w:ascii="Times New Roman" w:hAnsi="Times New Roman" w:cs="Times New Roman"/>
          <w:b/>
          <w:bCs/>
          <w:sz w:val="24"/>
          <w:szCs w:val="24"/>
          <w:lang w:val="en-NG"/>
        </w:rPr>
        <w:t>David Oguche</w:t>
      </w:r>
    </w:p>
    <w:p w14:paraId="79FDCAF5" w14:textId="3A8A45BB" w:rsidR="009D4159" w:rsidRDefault="009D4159" w:rsidP="00B60428">
      <w:pPr>
        <w:spacing w:after="0" w:line="240" w:lineRule="auto"/>
        <w:jc w:val="center"/>
        <w:rPr>
          <w:rFonts w:ascii="Times New Roman" w:hAnsi="Times New Roman" w:cs="Times New Roman"/>
          <w:sz w:val="24"/>
          <w:szCs w:val="24"/>
          <w:lang w:val="en-NG"/>
        </w:rPr>
      </w:pPr>
      <w:r>
        <w:rPr>
          <w:rFonts w:ascii="Times New Roman" w:hAnsi="Times New Roman" w:cs="Times New Roman"/>
          <w:sz w:val="24"/>
          <w:szCs w:val="24"/>
          <w:lang w:val="en-NG"/>
        </w:rPr>
        <w:t>Nigerian Institute of Advanced Legal Studies</w:t>
      </w:r>
    </w:p>
    <w:p w14:paraId="0D88312B" w14:textId="7DF86846" w:rsidR="009D4159" w:rsidRPr="009D4159" w:rsidRDefault="009D4159" w:rsidP="00B60428">
      <w:pPr>
        <w:spacing w:after="0" w:line="240" w:lineRule="auto"/>
        <w:jc w:val="center"/>
        <w:rPr>
          <w:rFonts w:ascii="Times New Roman" w:hAnsi="Times New Roman" w:cs="Times New Roman"/>
          <w:sz w:val="24"/>
          <w:szCs w:val="24"/>
          <w:lang w:val="en-NG"/>
        </w:rPr>
      </w:pPr>
      <w:r>
        <w:rPr>
          <w:rFonts w:ascii="Times New Roman" w:hAnsi="Times New Roman" w:cs="Times New Roman"/>
          <w:sz w:val="24"/>
          <w:szCs w:val="24"/>
          <w:lang w:val="en-NG"/>
        </w:rPr>
        <w:t>3 Arms Zone, FCT - Abuja</w:t>
      </w:r>
    </w:p>
    <w:p w14:paraId="75E59EA8" w14:textId="050491BD" w:rsidR="00B60428" w:rsidRPr="00B60428" w:rsidRDefault="00B60428" w:rsidP="00B60428">
      <w:pPr>
        <w:spacing w:after="0" w:line="240" w:lineRule="auto"/>
        <w:jc w:val="center"/>
        <w:rPr>
          <w:rFonts w:ascii="Times New Roman" w:hAnsi="Times New Roman" w:cs="Times New Roman"/>
          <w:b/>
          <w:bCs/>
          <w:sz w:val="24"/>
          <w:szCs w:val="24"/>
          <w:lang w:val="en-NG"/>
        </w:rPr>
      </w:pPr>
      <w:r>
        <w:rPr>
          <w:rFonts w:ascii="Times New Roman" w:hAnsi="Times New Roman" w:cs="Times New Roman"/>
          <w:b/>
          <w:bCs/>
          <w:sz w:val="24"/>
          <w:szCs w:val="24"/>
          <w:lang w:val="en-NG"/>
        </w:rPr>
        <w:t>&amp;</w:t>
      </w:r>
    </w:p>
    <w:p w14:paraId="2E658631" w14:textId="5B35DB7E" w:rsidR="00B51970" w:rsidRPr="00B60428" w:rsidRDefault="00B51970" w:rsidP="00B60428">
      <w:pPr>
        <w:spacing w:after="0" w:line="240" w:lineRule="auto"/>
        <w:jc w:val="center"/>
        <w:rPr>
          <w:rFonts w:ascii="Times New Roman" w:hAnsi="Times New Roman" w:cs="Times New Roman"/>
          <w:b/>
          <w:bCs/>
          <w:sz w:val="24"/>
          <w:szCs w:val="24"/>
          <w:lang w:val="en-NG"/>
        </w:rPr>
      </w:pPr>
      <w:r w:rsidRPr="00B60428">
        <w:rPr>
          <w:rFonts w:ascii="Times New Roman" w:hAnsi="Times New Roman" w:cs="Times New Roman"/>
          <w:b/>
          <w:bCs/>
          <w:sz w:val="24"/>
          <w:szCs w:val="24"/>
          <w:lang w:val="en-NG"/>
        </w:rPr>
        <w:t>Abdurrahaman J</w:t>
      </w:r>
      <w:r w:rsidR="0003340E">
        <w:rPr>
          <w:rFonts w:ascii="Times New Roman" w:hAnsi="Times New Roman" w:cs="Times New Roman"/>
          <w:b/>
          <w:bCs/>
          <w:sz w:val="24"/>
          <w:szCs w:val="24"/>
          <w:lang w:val="en-NG"/>
        </w:rPr>
        <w:t>i</w:t>
      </w:r>
      <w:r w:rsidRPr="00B60428">
        <w:rPr>
          <w:rFonts w:ascii="Times New Roman" w:hAnsi="Times New Roman" w:cs="Times New Roman"/>
          <w:b/>
          <w:bCs/>
          <w:sz w:val="24"/>
          <w:szCs w:val="24"/>
          <w:lang w:val="en-NG"/>
        </w:rPr>
        <w:t>bril, Ph.D</w:t>
      </w:r>
    </w:p>
    <w:p w14:paraId="22A1CA6D" w14:textId="4346E70A" w:rsidR="00B51970" w:rsidRPr="009D4159" w:rsidRDefault="009D4159" w:rsidP="009D4159">
      <w:pPr>
        <w:spacing w:after="0"/>
        <w:jc w:val="center"/>
        <w:rPr>
          <w:rFonts w:ascii="Times New Roman" w:hAnsi="Times New Roman" w:cs="Times New Roman"/>
          <w:sz w:val="24"/>
          <w:szCs w:val="24"/>
          <w:lang w:val="en-NG"/>
        </w:rPr>
      </w:pPr>
      <w:r w:rsidRPr="009D4159">
        <w:rPr>
          <w:rFonts w:ascii="Times New Roman" w:hAnsi="Times New Roman" w:cs="Times New Roman"/>
          <w:sz w:val="24"/>
          <w:szCs w:val="24"/>
          <w:lang w:val="en-NG"/>
        </w:rPr>
        <w:t>Department of Library and Information Science,</w:t>
      </w:r>
    </w:p>
    <w:p w14:paraId="14BEC7C3" w14:textId="5D6455C3" w:rsidR="009D4159" w:rsidRPr="009D4159" w:rsidRDefault="009D4159" w:rsidP="009D4159">
      <w:pPr>
        <w:spacing w:after="0"/>
        <w:jc w:val="center"/>
        <w:rPr>
          <w:rFonts w:ascii="Times New Roman" w:hAnsi="Times New Roman" w:cs="Times New Roman"/>
          <w:sz w:val="24"/>
          <w:szCs w:val="24"/>
          <w:lang w:val="en-NG"/>
        </w:rPr>
      </w:pPr>
      <w:r w:rsidRPr="009D4159">
        <w:rPr>
          <w:rFonts w:ascii="Times New Roman" w:hAnsi="Times New Roman" w:cs="Times New Roman"/>
          <w:sz w:val="24"/>
          <w:szCs w:val="24"/>
          <w:lang w:val="en-NG"/>
        </w:rPr>
        <w:t>Ahmadu Bello University, Zaria</w:t>
      </w:r>
    </w:p>
    <w:p w14:paraId="2B3FE0E7" w14:textId="77777777" w:rsidR="00B51970" w:rsidRPr="00B60428" w:rsidRDefault="00B51970" w:rsidP="00B51970">
      <w:pPr>
        <w:rPr>
          <w:rFonts w:ascii="Times New Roman" w:hAnsi="Times New Roman" w:cs="Times New Roman"/>
          <w:sz w:val="24"/>
          <w:szCs w:val="24"/>
          <w:lang w:val="en-NG"/>
        </w:rPr>
      </w:pPr>
      <w:r w:rsidRPr="00B60428">
        <w:rPr>
          <w:rFonts w:ascii="Times New Roman" w:hAnsi="Times New Roman" w:cs="Times New Roman"/>
          <w:b/>
          <w:bCs/>
          <w:sz w:val="24"/>
          <w:szCs w:val="24"/>
          <w:lang w:val="en-NG"/>
        </w:rPr>
        <w:t>Abstract:</w:t>
      </w:r>
    </w:p>
    <w:p w14:paraId="4CA3D1B0" w14:textId="2DFC3402" w:rsidR="00B51970" w:rsidRPr="00B60428" w:rsidRDefault="00B51970" w:rsidP="00A81EA9">
      <w:pPr>
        <w:jc w:val="both"/>
        <w:rPr>
          <w:rFonts w:ascii="Times New Roman" w:hAnsi="Times New Roman" w:cs="Times New Roman"/>
          <w:sz w:val="24"/>
          <w:szCs w:val="24"/>
          <w:lang w:val="en-NG"/>
        </w:rPr>
      </w:pPr>
      <w:r w:rsidRPr="00B60428">
        <w:rPr>
          <w:rFonts w:ascii="Times New Roman" w:hAnsi="Times New Roman" w:cs="Times New Roman"/>
          <w:sz w:val="24"/>
          <w:szCs w:val="24"/>
          <w:lang w:val="en-NG"/>
        </w:rPr>
        <w:t xml:space="preserve">This paper analyses how scholarly infrastructure facilitates the global dissemination and visibility of academic work among LIS academics in </w:t>
      </w:r>
      <w:r w:rsidR="009623B5">
        <w:rPr>
          <w:rFonts w:ascii="Times New Roman" w:hAnsi="Times New Roman" w:cs="Times New Roman"/>
          <w:sz w:val="24"/>
          <w:szCs w:val="24"/>
          <w:lang w:val="en-NG"/>
        </w:rPr>
        <w:t xml:space="preserve">federal universities in northern </w:t>
      </w:r>
      <w:r w:rsidRPr="00B60428">
        <w:rPr>
          <w:rFonts w:ascii="Times New Roman" w:hAnsi="Times New Roman" w:cs="Times New Roman"/>
          <w:sz w:val="24"/>
          <w:szCs w:val="24"/>
          <w:lang w:val="en-NG"/>
        </w:rPr>
        <w:t>Nigeria. Grounded in a conceptual model linking awareness, utilization, and visibility, the study explores the relationships among these variables using data collected from 311 respondents. Despite high levels of awareness of Open Access platforms and institutional repositories, actual utilization remains modest, particularly for advanced citation indexing tools. The study identifies institutional inertia, digital illiteracy, and lack of structured policies as limiting factors. Through inferential statistics and correlation analysis, the research highlights the need for deliberate institutional strategies to enhance digital engagement and scholarly visibility. The article concludes with recommendations for integrating scholarly infrastructure into national higher education policies to support research visibility and collaboration.</w:t>
      </w:r>
    </w:p>
    <w:p w14:paraId="43B029A0" w14:textId="77777777" w:rsidR="00B51970" w:rsidRPr="00B60428" w:rsidRDefault="00B51970" w:rsidP="00B51970">
      <w:pPr>
        <w:rPr>
          <w:rFonts w:ascii="Times New Roman" w:hAnsi="Times New Roman" w:cs="Times New Roman"/>
          <w:sz w:val="24"/>
          <w:szCs w:val="24"/>
          <w:lang w:val="en-NG"/>
        </w:rPr>
      </w:pPr>
      <w:r w:rsidRPr="00B60428">
        <w:rPr>
          <w:rFonts w:ascii="Times New Roman" w:hAnsi="Times New Roman" w:cs="Times New Roman"/>
          <w:b/>
          <w:bCs/>
          <w:sz w:val="24"/>
          <w:szCs w:val="24"/>
          <w:lang w:val="en-NG"/>
        </w:rPr>
        <w:t>Keywords:</w:t>
      </w:r>
      <w:r w:rsidRPr="00B60428">
        <w:rPr>
          <w:rFonts w:ascii="Times New Roman" w:hAnsi="Times New Roman" w:cs="Times New Roman"/>
          <w:sz w:val="24"/>
          <w:szCs w:val="24"/>
          <w:lang w:val="en-NG"/>
        </w:rPr>
        <w:t xml:space="preserve"> Academic visibility, scholarly infrastructure, LIS education, citation tools, academic librarians, Nigeria, digital literacy.</w:t>
      </w:r>
    </w:p>
    <w:p w14:paraId="4DD6A34B" w14:textId="77777777" w:rsidR="00C37E59" w:rsidRPr="0007240D" w:rsidRDefault="00C37E59" w:rsidP="00C37E59">
      <w:pPr>
        <w:jc w:val="both"/>
        <w:rPr>
          <w:rFonts w:ascii="Times New Roman" w:hAnsi="Times New Roman" w:cs="Times New Roman"/>
          <w:b/>
          <w:bCs/>
          <w:sz w:val="24"/>
          <w:szCs w:val="24"/>
          <w:lang w:val="en-NG"/>
        </w:rPr>
      </w:pPr>
      <w:r w:rsidRPr="0007240D">
        <w:rPr>
          <w:rFonts w:ascii="Times New Roman" w:hAnsi="Times New Roman" w:cs="Times New Roman"/>
          <w:b/>
          <w:bCs/>
          <w:sz w:val="24"/>
          <w:szCs w:val="24"/>
          <w:lang w:val="en-NG"/>
        </w:rPr>
        <w:t>Introduction</w:t>
      </w:r>
    </w:p>
    <w:p w14:paraId="3E435FEB" w14:textId="77777777" w:rsidR="00C37E59" w:rsidRPr="0007240D" w:rsidRDefault="00C37E59" w:rsidP="00602402">
      <w:pPr>
        <w:ind w:firstLine="720"/>
        <w:jc w:val="both"/>
        <w:rPr>
          <w:rFonts w:ascii="Times New Roman" w:hAnsi="Times New Roman" w:cs="Times New Roman"/>
          <w:sz w:val="24"/>
          <w:szCs w:val="24"/>
          <w:lang w:val="en-NG"/>
        </w:rPr>
      </w:pPr>
      <w:r w:rsidRPr="0007240D">
        <w:rPr>
          <w:rFonts w:ascii="Times New Roman" w:hAnsi="Times New Roman" w:cs="Times New Roman"/>
          <w:sz w:val="24"/>
          <w:szCs w:val="24"/>
          <w:lang w:val="en-NG"/>
        </w:rPr>
        <w:t>Digital revolution has fundamentally changed the landscape of scholarly communication thereby, creating unprecedented opportunities for researchers all over the world to disseminate their research work and achieve global visibility. In the contemporary academic environment, the traditional gatekeepers of knowledge dissemination i.e. primarily commercial publishers and established journals no longer hold exclusive control over scholarly visibility. Instead, a multifaceted ecosystem of scholarly infrastructure has emerged, encompassing open access platforms, institutional repositories, citation indexing tools, and digital publishing networks that collectively determine how academic work reaches global audiences.</w:t>
      </w:r>
    </w:p>
    <w:p w14:paraId="39C394E3" w14:textId="01465110" w:rsidR="00C37E59" w:rsidRPr="0007240D" w:rsidRDefault="00C37E59" w:rsidP="00602402">
      <w:pPr>
        <w:ind w:firstLine="720"/>
        <w:jc w:val="both"/>
        <w:rPr>
          <w:rFonts w:ascii="Times New Roman" w:hAnsi="Times New Roman" w:cs="Times New Roman"/>
          <w:sz w:val="24"/>
          <w:szCs w:val="24"/>
          <w:lang w:val="en-NG"/>
        </w:rPr>
      </w:pPr>
      <w:r w:rsidRPr="0007240D">
        <w:rPr>
          <w:rFonts w:ascii="Times New Roman" w:hAnsi="Times New Roman" w:cs="Times New Roman"/>
          <w:sz w:val="24"/>
          <w:szCs w:val="24"/>
          <w:lang w:val="en-NG"/>
        </w:rPr>
        <w:t xml:space="preserve">Within the framework of Library and Information Science (LIS) practice, education and research, this transformation carries particular significance. </w:t>
      </w:r>
      <w:r w:rsidR="000B0375">
        <w:rPr>
          <w:rFonts w:ascii="Times New Roman" w:hAnsi="Times New Roman" w:cs="Times New Roman"/>
          <w:sz w:val="24"/>
          <w:szCs w:val="24"/>
          <w:lang w:val="en-NG"/>
        </w:rPr>
        <w:t>Simisaye and Popoola</w:t>
      </w:r>
      <w:r w:rsidR="009623B5">
        <w:rPr>
          <w:rFonts w:ascii="Times New Roman" w:hAnsi="Times New Roman" w:cs="Times New Roman"/>
          <w:sz w:val="24"/>
          <w:szCs w:val="24"/>
          <w:lang w:val="en-NG"/>
        </w:rPr>
        <w:t xml:space="preserve"> (202</w:t>
      </w:r>
      <w:r w:rsidR="000B0375">
        <w:rPr>
          <w:rFonts w:ascii="Times New Roman" w:hAnsi="Times New Roman" w:cs="Times New Roman"/>
          <w:sz w:val="24"/>
          <w:szCs w:val="24"/>
          <w:lang w:val="en-NG"/>
        </w:rPr>
        <w:t>2</w:t>
      </w:r>
      <w:r w:rsidR="009623B5">
        <w:rPr>
          <w:rFonts w:ascii="Times New Roman" w:hAnsi="Times New Roman" w:cs="Times New Roman"/>
          <w:sz w:val="24"/>
          <w:szCs w:val="24"/>
          <w:lang w:val="en-NG"/>
        </w:rPr>
        <w:t>) elucidated that as</w:t>
      </w:r>
      <w:r w:rsidRPr="0007240D">
        <w:rPr>
          <w:rFonts w:ascii="Times New Roman" w:hAnsi="Times New Roman" w:cs="Times New Roman"/>
          <w:sz w:val="24"/>
          <w:szCs w:val="24"/>
          <w:lang w:val="en-NG"/>
        </w:rPr>
        <w:t xml:space="preserve"> information professionals, LIS scholars are uniquely positioned to understand and leverage these technological advancements for knowledge dissemination. However, the extent to which this theoretical understanding translates into practical utilization of scholarly infrastructure remains a critical question, particularly in northern Nigeria where institutional capacity and digital literacy may </w:t>
      </w:r>
      <w:r w:rsidR="009623B5">
        <w:rPr>
          <w:rFonts w:ascii="Times New Roman" w:hAnsi="Times New Roman" w:cs="Times New Roman"/>
          <w:sz w:val="24"/>
          <w:szCs w:val="24"/>
          <w:lang w:val="en-NG"/>
        </w:rPr>
        <w:t>constitute</w:t>
      </w:r>
      <w:r w:rsidRPr="0007240D">
        <w:rPr>
          <w:rFonts w:ascii="Times New Roman" w:hAnsi="Times New Roman" w:cs="Times New Roman"/>
          <w:sz w:val="24"/>
          <w:szCs w:val="24"/>
          <w:lang w:val="en-NG"/>
        </w:rPr>
        <w:t xml:space="preserve"> additional challenges.</w:t>
      </w:r>
    </w:p>
    <w:p w14:paraId="1F338C21" w14:textId="7EC9D5FA" w:rsidR="00C37E59" w:rsidRPr="0007240D" w:rsidRDefault="00C37E59" w:rsidP="00C37E59">
      <w:pPr>
        <w:jc w:val="both"/>
        <w:rPr>
          <w:rFonts w:ascii="Times New Roman" w:hAnsi="Times New Roman" w:cs="Times New Roman"/>
          <w:sz w:val="24"/>
          <w:szCs w:val="24"/>
          <w:lang w:val="en-NG"/>
        </w:rPr>
      </w:pPr>
      <w:r w:rsidRPr="0007240D">
        <w:rPr>
          <w:rFonts w:ascii="Times New Roman" w:hAnsi="Times New Roman" w:cs="Times New Roman"/>
          <w:sz w:val="24"/>
          <w:szCs w:val="24"/>
          <w:lang w:val="en-NG"/>
        </w:rPr>
        <w:lastRenderedPageBreak/>
        <w:t xml:space="preserve">Generally, Nigeria as Africa's most populous nation and home to numerous higher education institutions, presents a compelling case study for examining the dynamics between scholarly infrastructure awareness, utilization, and global visibility. The LIS community in Nigeria represents a significant portion of the continent's information science scholarship, yet questions persist regarding the effective integration of modern scholarly communication tools into research dissemination practices. While </w:t>
      </w:r>
      <w:r w:rsidR="00CE11FA">
        <w:rPr>
          <w:rFonts w:ascii="Times New Roman" w:hAnsi="Times New Roman" w:cs="Times New Roman"/>
          <w:sz w:val="24"/>
          <w:szCs w:val="24"/>
          <w:lang w:val="en-NG"/>
        </w:rPr>
        <w:t xml:space="preserve">federal universities in </w:t>
      </w:r>
      <w:r w:rsidRPr="0007240D">
        <w:rPr>
          <w:rFonts w:ascii="Times New Roman" w:hAnsi="Times New Roman" w:cs="Times New Roman"/>
          <w:sz w:val="24"/>
          <w:szCs w:val="24"/>
          <w:lang w:val="en-NG"/>
        </w:rPr>
        <w:t>Nigeria have made substantial investments in digital infrastructure and many scholars demonstrate awareness of contemporary publishing platforms, the translation of this awareness especially among federal universities in northern Nigeria into meaningful engagement with global scholarly networks remains inconsistent.</w:t>
      </w:r>
    </w:p>
    <w:p w14:paraId="1793824B" w14:textId="0EC25C2B" w:rsidR="00C37E59" w:rsidRPr="0007240D" w:rsidRDefault="00C37E59" w:rsidP="00602402">
      <w:pPr>
        <w:ind w:firstLine="720"/>
        <w:jc w:val="both"/>
        <w:rPr>
          <w:rFonts w:ascii="Times New Roman" w:hAnsi="Times New Roman" w:cs="Times New Roman"/>
          <w:sz w:val="24"/>
          <w:szCs w:val="24"/>
          <w:lang w:val="en-NG"/>
        </w:rPr>
      </w:pPr>
      <w:r w:rsidRPr="0007240D">
        <w:rPr>
          <w:rFonts w:ascii="Times New Roman" w:hAnsi="Times New Roman" w:cs="Times New Roman"/>
          <w:sz w:val="24"/>
          <w:szCs w:val="24"/>
          <w:lang w:val="en-NG"/>
        </w:rPr>
        <w:t xml:space="preserve">The relationship between knowledge creation and global visibility </w:t>
      </w:r>
      <w:r w:rsidR="008623F8">
        <w:rPr>
          <w:rFonts w:ascii="Times New Roman" w:hAnsi="Times New Roman" w:cs="Times New Roman"/>
          <w:sz w:val="24"/>
          <w:szCs w:val="24"/>
          <w:lang w:val="en-NG"/>
        </w:rPr>
        <w:t xml:space="preserve">as noted by </w:t>
      </w:r>
      <w:r w:rsidR="00332564">
        <w:rPr>
          <w:rFonts w:ascii="Times New Roman" w:hAnsi="Times New Roman" w:cs="Times New Roman"/>
          <w:sz w:val="24"/>
          <w:szCs w:val="24"/>
          <w:lang w:val="en-NG"/>
        </w:rPr>
        <w:t>Owolabi et.al.</w:t>
      </w:r>
      <w:r w:rsidR="008623F8">
        <w:rPr>
          <w:rFonts w:ascii="Times New Roman" w:hAnsi="Times New Roman" w:cs="Times New Roman"/>
          <w:sz w:val="24"/>
          <w:szCs w:val="24"/>
          <w:lang w:val="en-NG"/>
        </w:rPr>
        <w:t xml:space="preserve"> (202</w:t>
      </w:r>
      <w:r w:rsidR="00332564">
        <w:rPr>
          <w:rFonts w:ascii="Times New Roman" w:hAnsi="Times New Roman" w:cs="Times New Roman"/>
          <w:sz w:val="24"/>
          <w:szCs w:val="24"/>
          <w:lang w:val="en-NG"/>
        </w:rPr>
        <w:t>0</w:t>
      </w:r>
      <w:r w:rsidR="008623F8">
        <w:rPr>
          <w:rFonts w:ascii="Times New Roman" w:hAnsi="Times New Roman" w:cs="Times New Roman"/>
          <w:sz w:val="24"/>
          <w:szCs w:val="24"/>
          <w:lang w:val="en-NG"/>
        </w:rPr>
        <w:t xml:space="preserve">) </w:t>
      </w:r>
      <w:r w:rsidRPr="0007240D">
        <w:rPr>
          <w:rFonts w:ascii="Times New Roman" w:hAnsi="Times New Roman" w:cs="Times New Roman"/>
          <w:sz w:val="24"/>
          <w:szCs w:val="24"/>
          <w:lang w:val="en-NG"/>
        </w:rPr>
        <w:t>is neither linear nor automatic. Simply producing quality research does not guarantee international recognition or citation impact. Instead, contemporary scholarship requires strategic navigation of digital platforms, understanding of indexing systems, and deliberate engagement with open access principles. This reality creates a potential divide between scholars who effectively leverage scholarly infrastructure and those who remain confined to traditional, often limited, dissemination channels.</w:t>
      </w:r>
    </w:p>
    <w:p w14:paraId="10FA227C" w14:textId="1677ED85" w:rsidR="00C37E59" w:rsidRPr="0007240D" w:rsidRDefault="00C37E59" w:rsidP="00602402">
      <w:pPr>
        <w:ind w:firstLine="720"/>
        <w:jc w:val="both"/>
        <w:rPr>
          <w:rFonts w:ascii="Times New Roman" w:hAnsi="Times New Roman" w:cs="Times New Roman"/>
          <w:sz w:val="24"/>
          <w:szCs w:val="24"/>
          <w:lang w:val="en-NG"/>
        </w:rPr>
      </w:pPr>
      <w:r w:rsidRPr="0007240D">
        <w:rPr>
          <w:rFonts w:ascii="Times New Roman" w:hAnsi="Times New Roman" w:cs="Times New Roman"/>
          <w:sz w:val="24"/>
          <w:szCs w:val="24"/>
          <w:lang w:val="en-NG"/>
        </w:rPr>
        <w:t xml:space="preserve">Previous </w:t>
      </w:r>
      <w:r w:rsidR="00C24D47" w:rsidRPr="0007240D">
        <w:rPr>
          <w:rFonts w:ascii="Times New Roman" w:hAnsi="Times New Roman" w:cs="Times New Roman"/>
          <w:sz w:val="24"/>
          <w:szCs w:val="24"/>
          <w:lang w:val="en-NG"/>
        </w:rPr>
        <w:t xml:space="preserve">research </w:t>
      </w:r>
      <w:r w:rsidR="00C24D47">
        <w:rPr>
          <w:rFonts w:ascii="Times New Roman" w:hAnsi="Times New Roman" w:cs="Times New Roman"/>
          <w:sz w:val="24"/>
          <w:szCs w:val="24"/>
          <w:lang w:val="en-NG"/>
        </w:rPr>
        <w:t xml:space="preserve">by </w:t>
      </w:r>
      <w:r w:rsidR="000E558E">
        <w:rPr>
          <w:rFonts w:ascii="Times New Roman" w:hAnsi="Times New Roman" w:cs="Times New Roman"/>
          <w:sz w:val="24"/>
          <w:szCs w:val="24"/>
          <w:lang w:val="en-NG"/>
        </w:rPr>
        <w:t xml:space="preserve">Suleiman and Joshua (2019), </w:t>
      </w:r>
      <w:r w:rsidR="00C24D47">
        <w:rPr>
          <w:rFonts w:ascii="Times New Roman" w:hAnsi="Times New Roman" w:cs="Times New Roman"/>
          <w:sz w:val="24"/>
          <w:szCs w:val="24"/>
          <w:lang w:val="en-NG"/>
        </w:rPr>
        <w:t>Adamu (202</w:t>
      </w:r>
      <w:r w:rsidR="000E558E">
        <w:rPr>
          <w:rFonts w:ascii="Times New Roman" w:hAnsi="Times New Roman" w:cs="Times New Roman"/>
          <w:sz w:val="24"/>
          <w:szCs w:val="24"/>
          <w:lang w:val="en-NG"/>
        </w:rPr>
        <w:t>2</w:t>
      </w:r>
      <w:r w:rsidR="00C24D47">
        <w:rPr>
          <w:rFonts w:ascii="Times New Roman" w:hAnsi="Times New Roman" w:cs="Times New Roman"/>
          <w:sz w:val="24"/>
          <w:szCs w:val="24"/>
          <w:lang w:val="en-NG"/>
        </w:rPr>
        <w:t xml:space="preserve">), </w:t>
      </w:r>
      <w:r w:rsidR="00AC0C28">
        <w:rPr>
          <w:rFonts w:ascii="Times New Roman" w:hAnsi="Times New Roman" w:cs="Times New Roman"/>
          <w:sz w:val="24"/>
          <w:szCs w:val="24"/>
          <w:lang w:val="en-NG"/>
        </w:rPr>
        <w:t>Ladipo et.al.</w:t>
      </w:r>
      <w:r w:rsidR="00C24D47">
        <w:rPr>
          <w:rFonts w:ascii="Times New Roman" w:hAnsi="Times New Roman" w:cs="Times New Roman"/>
          <w:sz w:val="24"/>
          <w:szCs w:val="24"/>
          <w:lang w:val="en-NG"/>
        </w:rPr>
        <w:t xml:space="preserve"> (202</w:t>
      </w:r>
      <w:r w:rsidR="00AC0C28">
        <w:rPr>
          <w:rFonts w:ascii="Times New Roman" w:hAnsi="Times New Roman" w:cs="Times New Roman"/>
          <w:sz w:val="24"/>
          <w:szCs w:val="24"/>
          <w:lang w:val="en-NG"/>
        </w:rPr>
        <w:t>2</w:t>
      </w:r>
      <w:r w:rsidR="00C24D47">
        <w:rPr>
          <w:rFonts w:ascii="Times New Roman" w:hAnsi="Times New Roman" w:cs="Times New Roman"/>
          <w:sz w:val="24"/>
          <w:szCs w:val="24"/>
          <w:lang w:val="en-NG"/>
        </w:rPr>
        <w:t xml:space="preserve">), </w:t>
      </w:r>
      <w:r w:rsidR="00AC0C28">
        <w:rPr>
          <w:rFonts w:ascii="Times New Roman" w:hAnsi="Times New Roman" w:cs="Times New Roman"/>
          <w:sz w:val="24"/>
          <w:szCs w:val="24"/>
          <w:lang w:val="en-NG"/>
        </w:rPr>
        <w:t>Mahji et.al.</w:t>
      </w:r>
      <w:r w:rsidR="00C24D47">
        <w:rPr>
          <w:rFonts w:ascii="Times New Roman" w:hAnsi="Times New Roman" w:cs="Times New Roman"/>
          <w:sz w:val="24"/>
          <w:szCs w:val="24"/>
          <w:lang w:val="en-NG"/>
        </w:rPr>
        <w:t xml:space="preserve"> (20</w:t>
      </w:r>
      <w:r w:rsidR="00AC0C28">
        <w:rPr>
          <w:rFonts w:ascii="Times New Roman" w:hAnsi="Times New Roman" w:cs="Times New Roman"/>
          <w:sz w:val="24"/>
          <w:szCs w:val="24"/>
          <w:lang w:val="en-NG"/>
        </w:rPr>
        <w:t>23</w:t>
      </w:r>
      <w:r w:rsidR="00C24D47">
        <w:rPr>
          <w:rFonts w:ascii="Times New Roman" w:hAnsi="Times New Roman" w:cs="Times New Roman"/>
          <w:sz w:val="24"/>
          <w:szCs w:val="24"/>
          <w:lang w:val="en-NG"/>
        </w:rPr>
        <w:t>) all</w:t>
      </w:r>
      <w:r w:rsidRPr="0007240D">
        <w:rPr>
          <w:rFonts w:ascii="Times New Roman" w:hAnsi="Times New Roman" w:cs="Times New Roman"/>
          <w:sz w:val="24"/>
          <w:szCs w:val="24"/>
          <w:lang w:val="en-NG"/>
        </w:rPr>
        <w:t xml:space="preserve"> highlighted the importance of institutional support, policy frameworks, and digital literacy in facilitating scholarly communication. However, limited empirical evidence exists regarding the specific relationships between awareness of scholarly infrastructure, actual utilization patterns, and resulting visibility outcomes among LIS scholars in federal universities in northern Nigerian. This knowledge gap is particularly significant given the potential for enhanced global collaboration and knowledge exchange that effective utilization of scholarly infrastructure could facilitate.</w:t>
      </w:r>
    </w:p>
    <w:p w14:paraId="67099B1A" w14:textId="77777777" w:rsidR="00C37E59" w:rsidRDefault="00C37E59" w:rsidP="00602402">
      <w:pPr>
        <w:ind w:firstLine="720"/>
        <w:jc w:val="both"/>
        <w:rPr>
          <w:rFonts w:ascii="Times New Roman" w:hAnsi="Times New Roman" w:cs="Times New Roman"/>
          <w:sz w:val="24"/>
          <w:szCs w:val="24"/>
          <w:lang w:val="en-NG"/>
        </w:rPr>
      </w:pPr>
      <w:r w:rsidRPr="0007240D">
        <w:rPr>
          <w:rFonts w:ascii="Times New Roman" w:hAnsi="Times New Roman" w:cs="Times New Roman"/>
          <w:sz w:val="24"/>
          <w:szCs w:val="24"/>
          <w:lang w:val="en-NG"/>
        </w:rPr>
        <w:t>The present study therefore, addresses this gap by examining the complex interplay between awareness, utilization, and visibility among LIS academics in federal universities in northern Nigeria. By developing and testing a conceptual model that links these variables, this research seeks to understand not only the current state of scholarly infrastructure engagement but also the factors that facilitate or impede effective utilization. The findings have implications for institutional policy development, professional development programs, and national strategies for enhancing research visibility and international collaboration.</w:t>
      </w:r>
      <w:r>
        <w:rPr>
          <w:rFonts w:ascii="Times New Roman" w:hAnsi="Times New Roman" w:cs="Times New Roman"/>
          <w:sz w:val="24"/>
          <w:szCs w:val="24"/>
          <w:lang w:val="en-NG"/>
        </w:rPr>
        <w:t xml:space="preserve"> </w:t>
      </w:r>
      <w:r w:rsidRPr="0007240D">
        <w:rPr>
          <w:rFonts w:ascii="Times New Roman" w:hAnsi="Times New Roman" w:cs="Times New Roman"/>
          <w:sz w:val="24"/>
          <w:szCs w:val="24"/>
          <w:lang w:val="en-NG"/>
        </w:rPr>
        <w:t xml:space="preserve">Understanding these dynamics is crucial for several reasons. It provides understanding into how developing nations such as Nigeria can better integrate into global scholarly networks, potentially accelerating knowledge transfer and collaboration. It also offers practical guidance for federal universities with LIS schools and academic librarians seeking to enhance their scholars' global impact. Finally, it contributes to the broader discourse on digital equity in scholarly communication, highlighting the challenges and opportunities facing academic communities in environments where resources constitute a challenge. </w:t>
      </w:r>
    </w:p>
    <w:p w14:paraId="41E581DB" w14:textId="77777777" w:rsidR="00602402" w:rsidRDefault="00602402" w:rsidP="00602402">
      <w:pPr>
        <w:ind w:firstLine="720"/>
        <w:jc w:val="both"/>
        <w:rPr>
          <w:rFonts w:ascii="Times New Roman" w:hAnsi="Times New Roman" w:cs="Times New Roman"/>
          <w:sz w:val="24"/>
          <w:szCs w:val="24"/>
          <w:lang w:val="en-NG"/>
        </w:rPr>
      </w:pPr>
    </w:p>
    <w:p w14:paraId="2F8A16F6" w14:textId="77777777" w:rsidR="00602402" w:rsidRPr="0007240D" w:rsidRDefault="00602402" w:rsidP="00602402">
      <w:pPr>
        <w:ind w:firstLine="720"/>
        <w:jc w:val="both"/>
        <w:rPr>
          <w:rFonts w:ascii="Times New Roman" w:hAnsi="Times New Roman" w:cs="Times New Roman"/>
          <w:sz w:val="24"/>
          <w:szCs w:val="24"/>
          <w:lang w:val="en-NG"/>
        </w:rPr>
      </w:pPr>
    </w:p>
    <w:p w14:paraId="70ADAEF3" w14:textId="77777777" w:rsidR="00AF2CFD" w:rsidRPr="007C44F6" w:rsidRDefault="00AF2CFD" w:rsidP="00AF2CFD">
      <w:pPr>
        <w:jc w:val="both"/>
        <w:rPr>
          <w:rFonts w:ascii="Times New Roman" w:hAnsi="Times New Roman" w:cs="Times New Roman"/>
          <w:b/>
          <w:bCs/>
          <w:sz w:val="24"/>
          <w:szCs w:val="24"/>
          <w:lang w:val="en-NG"/>
        </w:rPr>
      </w:pPr>
      <w:r w:rsidRPr="007C44F6">
        <w:rPr>
          <w:rFonts w:ascii="Times New Roman" w:hAnsi="Times New Roman" w:cs="Times New Roman"/>
          <w:b/>
          <w:bCs/>
          <w:sz w:val="24"/>
          <w:szCs w:val="24"/>
          <w:lang w:val="en-NG"/>
        </w:rPr>
        <w:lastRenderedPageBreak/>
        <w:t>Statement of the Problem</w:t>
      </w:r>
    </w:p>
    <w:p w14:paraId="521D8EDF" w14:textId="4A7A940E" w:rsidR="00AF2CFD" w:rsidRPr="007C44F6" w:rsidRDefault="00AF2CFD" w:rsidP="00602402">
      <w:pPr>
        <w:ind w:firstLine="720"/>
        <w:jc w:val="both"/>
        <w:rPr>
          <w:rFonts w:ascii="Times New Roman" w:hAnsi="Times New Roman" w:cs="Times New Roman"/>
          <w:sz w:val="24"/>
          <w:szCs w:val="24"/>
          <w:lang w:val="en-NG"/>
        </w:rPr>
      </w:pPr>
      <w:r w:rsidRPr="007C44F6">
        <w:rPr>
          <w:rFonts w:ascii="Times New Roman" w:hAnsi="Times New Roman" w:cs="Times New Roman"/>
          <w:sz w:val="24"/>
          <w:szCs w:val="24"/>
          <w:lang w:val="en-NG"/>
        </w:rPr>
        <w:t>Scholarly infrastructure</w:t>
      </w:r>
      <w:r w:rsidRPr="00546339">
        <w:rPr>
          <w:rFonts w:ascii="Times New Roman" w:hAnsi="Times New Roman" w:cs="Times New Roman"/>
          <w:sz w:val="24"/>
          <w:szCs w:val="24"/>
          <w:lang w:val="en-NG"/>
        </w:rPr>
        <w:t xml:space="preserve"> </w:t>
      </w:r>
      <w:r w:rsidRPr="007C44F6">
        <w:rPr>
          <w:rFonts w:ascii="Times New Roman" w:hAnsi="Times New Roman" w:cs="Times New Roman"/>
          <w:sz w:val="24"/>
          <w:szCs w:val="24"/>
          <w:lang w:val="en-NG"/>
        </w:rPr>
        <w:t xml:space="preserve">has become essential for increasing research visibility, fostering collaboration, and enhancing academic impact. </w:t>
      </w:r>
      <w:r w:rsidRPr="00546339">
        <w:rPr>
          <w:rFonts w:ascii="Times New Roman" w:hAnsi="Times New Roman" w:cs="Times New Roman"/>
          <w:sz w:val="24"/>
          <w:szCs w:val="24"/>
        </w:rPr>
        <w:t>Recognizing the importance of web visibility of academics, the National Universities Commission (2021) circulated a memo strongly encouraging all academic researchers in Nigerian universities to create profile in databases such as Google Scholar, Scopus, and ORCID with the aim of making research emanating from Nigerian universities to be visible and boost the universities ranking. Aduba (2024) and Kamba and Gwarzo (2024) amplified the position of some universities in Nigeria who in line with the NUC memo directed that scientists must publish in reputable journals to further uplift the image of the institutions as a whole. Some federal universities have also put in place monetary rewards for researchers who publish in Q1 journals.</w:t>
      </w:r>
    </w:p>
    <w:p w14:paraId="52FEDEBF" w14:textId="46164FDF" w:rsidR="00AF2CFD" w:rsidRPr="007C44F6" w:rsidRDefault="00AF2CFD" w:rsidP="00602402">
      <w:pPr>
        <w:ind w:firstLine="720"/>
        <w:jc w:val="both"/>
        <w:rPr>
          <w:rFonts w:ascii="Times New Roman" w:hAnsi="Times New Roman" w:cs="Times New Roman"/>
          <w:sz w:val="24"/>
          <w:szCs w:val="24"/>
          <w:lang w:val="en-NG"/>
        </w:rPr>
      </w:pPr>
      <w:r w:rsidRPr="007C44F6">
        <w:rPr>
          <w:rFonts w:ascii="Times New Roman" w:hAnsi="Times New Roman" w:cs="Times New Roman"/>
          <w:sz w:val="24"/>
          <w:szCs w:val="24"/>
          <w:lang w:val="en-NG"/>
        </w:rPr>
        <w:t>However, despite the strategic importance of these infrastructures, many Library and Information Science (LIS) academics in developing regions, including Northern Nigeria, appear to underutilize them.</w:t>
      </w:r>
      <w:r w:rsidRPr="00546339">
        <w:rPr>
          <w:rFonts w:ascii="Times New Roman" w:hAnsi="Times New Roman" w:cs="Times New Roman"/>
          <w:sz w:val="24"/>
          <w:szCs w:val="24"/>
          <w:lang w:val="en-NG"/>
        </w:rPr>
        <w:t xml:space="preserve"> </w:t>
      </w:r>
      <w:r w:rsidRPr="007C44F6">
        <w:rPr>
          <w:rFonts w:ascii="Times New Roman" w:hAnsi="Times New Roman" w:cs="Times New Roman"/>
          <w:sz w:val="24"/>
          <w:szCs w:val="24"/>
          <w:lang w:val="en-NG"/>
        </w:rPr>
        <w:t>Preliminary observations and related studies suggest a disparity between the availability</w:t>
      </w:r>
      <w:r w:rsidR="009B19CD">
        <w:rPr>
          <w:rFonts w:ascii="Times New Roman" w:hAnsi="Times New Roman" w:cs="Times New Roman"/>
          <w:sz w:val="24"/>
          <w:szCs w:val="24"/>
          <w:lang w:val="en-NG"/>
        </w:rPr>
        <w:t xml:space="preserve"> and awareness</w:t>
      </w:r>
      <w:r w:rsidRPr="007C44F6">
        <w:rPr>
          <w:rFonts w:ascii="Times New Roman" w:hAnsi="Times New Roman" w:cs="Times New Roman"/>
          <w:sz w:val="24"/>
          <w:szCs w:val="24"/>
          <w:lang w:val="en-NG"/>
        </w:rPr>
        <w:t xml:space="preserve"> of scholarly infrastructure and </w:t>
      </w:r>
      <w:r w:rsidR="009B19CD">
        <w:rPr>
          <w:rFonts w:ascii="Times New Roman" w:hAnsi="Times New Roman" w:cs="Times New Roman"/>
          <w:sz w:val="24"/>
          <w:szCs w:val="24"/>
          <w:lang w:val="en-NG"/>
        </w:rPr>
        <w:t>the</w:t>
      </w:r>
      <w:r w:rsidRPr="007C44F6">
        <w:rPr>
          <w:rFonts w:ascii="Times New Roman" w:hAnsi="Times New Roman" w:cs="Times New Roman"/>
          <w:sz w:val="24"/>
          <w:szCs w:val="24"/>
          <w:lang w:val="en-NG"/>
        </w:rPr>
        <w:t xml:space="preserve"> actual utilization by LIS scholars in Nigerian </w:t>
      </w:r>
      <w:r w:rsidR="009B19CD">
        <w:rPr>
          <w:rFonts w:ascii="Times New Roman" w:hAnsi="Times New Roman" w:cs="Times New Roman"/>
          <w:sz w:val="24"/>
          <w:szCs w:val="24"/>
          <w:lang w:val="en-NG"/>
        </w:rPr>
        <w:t xml:space="preserve">federal </w:t>
      </w:r>
      <w:r w:rsidRPr="007C44F6">
        <w:rPr>
          <w:rFonts w:ascii="Times New Roman" w:hAnsi="Times New Roman" w:cs="Times New Roman"/>
          <w:sz w:val="24"/>
          <w:szCs w:val="24"/>
          <w:lang w:val="en-NG"/>
        </w:rPr>
        <w:t>universities. Although many universities in Northern Nigeria have established institutional repositories and promote platforms like ORCID, ResearchGate, and Google Scholar, the level of awareness and engagement remains uneven and often low. This underutilization undermines the potential of LIS scholars to showcase their intellectual output, contribute to global knowledge exchange, and attain greater academic visibility.</w:t>
      </w:r>
    </w:p>
    <w:p w14:paraId="16B42825" w14:textId="77777777" w:rsidR="00AF2CFD" w:rsidRPr="007C44F6" w:rsidRDefault="00AF2CFD" w:rsidP="00602402">
      <w:pPr>
        <w:ind w:firstLine="720"/>
        <w:jc w:val="both"/>
        <w:rPr>
          <w:rFonts w:ascii="Times New Roman" w:hAnsi="Times New Roman" w:cs="Times New Roman"/>
          <w:sz w:val="24"/>
          <w:szCs w:val="24"/>
          <w:lang w:val="en-NG"/>
        </w:rPr>
      </w:pPr>
      <w:r w:rsidRPr="007C44F6">
        <w:rPr>
          <w:rFonts w:ascii="Times New Roman" w:hAnsi="Times New Roman" w:cs="Times New Roman"/>
          <w:sz w:val="24"/>
          <w:szCs w:val="24"/>
          <w:lang w:val="en-NG"/>
        </w:rPr>
        <w:t>Furthermore, there is limited empirical research examining the specific factors that influence awareness and utilization of scholarly infrastructure among LIS academics in Northern Nigeria. The relationship between such infrastructure and the web visibility of research contributions also remains underexplored. Without clear insights into how scholarly infrastructure is adopted and its impact on visibility, LIS scholars in the region may continue to face challenges in gaining recognition for their work, limiting their ability to influence policy, practice, and further research.</w:t>
      </w:r>
    </w:p>
    <w:p w14:paraId="76902D27" w14:textId="1874D65B" w:rsidR="00C37E59" w:rsidRPr="0007240D" w:rsidRDefault="00AF2CFD" w:rsidP="00602402">
      <w:pPr>
        <w:ind w:firstLine="720"/>
        <w:jc w:val="both"/>
        <w:rPr>
          <w:rFonts w:ascii="Times New Roman" w:hAnsi="Times New Roman" w:cs="Times New Roman"/>
          <w:sz w:val="24"/>
          <w:szCs w:val="24"/>
        </w:rPr>
      </w:pPr>
      <w:r w:rsidRPr="007C44F6">
        <w:rPr>
          <w:rFonts w:ascii="Times New Roman" w:hAnsi="Times New Roman" w:cs="Times New Roman"/>
          <w:sz w:val="24"/>
          <w:szCs w:val="24"/>
          <w:lang w:val="en-NG"/>
        </w:rPr>
        <w:t>This study, therefore, seeks to investigate the awareness, utilization, and influence of scholarly infrastructure on the web visibility of LIS scholars in federal universities in Northern Nigeria. By addressing this gap, the study aims to provide data-driven recommendations for improving scholarly communication practices in the region.</w:t>
      </w:r>
    </w:p>
    <w:p w14:paraId="79E19743" w14:textId="77777777" w:rsidR="009F5569" w:rsidRPr="009F5569" w:rsidRDefault="009F5569" w:rsidP="009F5569">
      <w:pPr>
        <w:rPr>
          <w:rFonts w:ascii="Times New Roman" w:hAnsi="Times New Roman" w:cs="Times New Roman"/>
          <w:b/>
          <w:bCs/>
          <w:sz w:val="24"/>
          <w:szCs w:val="24"/>
        </w:rPr>
      </w:pPr>
      <w:r w:rsidRPr="009F5569">
        <w:rPr>
          <w:rFonts w:ascii="Times New Roman" w:hAnsi="Times New Roman" w:cs="Times New Roman"/>
          <w:b/>
          <w:bCs/>
          <w:sz w:val="24"/>
          <w:szCs w:val="24"/>
        </w:rPr>
        <w:t>Objectives of the Study</w:t>
      </w:r>
    </w:p>
    <w:p w14:paraId="5E74E970" w14:textId="77777777" w:rsidR="009F5569" w:rsidRPr="009F5569" w:rsidRDefault="009F5569" w:rsidP="009F5569">
      <w:pPr>
        <w:spacing w:after="0"/>
        <w:rPr>
          <w:rFonts w:ascii="Times New Roman" w:hAnsi="Times New Roman" w:cs="Times New Roman"/>
          <w:sz w:val="24"/>
          <w:szCs w:val="24"/>
        </w:rPr>
      </w:pPr>
      <w:r w:rsidRPr="009F5569">
        <w:rPr>
          <w:rFonts w:ascii="Times New Roman" w:hAnsi="Times New Roman" w:cs="Times New Roman"/>
          <w:sz w:val="24"/>
          <w:szCs w:val="24"/>
        </w:rPr>
        <w:t>The objectives of this study are to:</w:t>
      </w:r>
    </w:p>
    <w:p w14:paraId="462C5085" w14:textId="64E3C81C" w:rsidR="009F5569" w:rsidRPr="009F5569" w:rsidRDefault="009F5569" w:rsidP="009F5569">
      <w:pPr>
        <w:pStyle w:val="ListParagraph"/>
        <w:numPr>
          <w:ilvl w:val="0"/>
          <w:numId w:val="1"/>
        </w:numPr>
        <w:spacing w:after="0"/>
        <w:rPr>
          <w:rFonts w:ascii="Times New Roman" w:hAnsi="Times New Roman" w:cs="Times New Roman"/>
          <w:sz w:val="24"/>
          <w:szCs w:val="24"/>
        </w:rPr>
      </w:pPr>
      <w:r w:rsidRPr="009F5569">
        <w:rPr>
          <w:rFonts w:ascii="Times New Roman" w:hAnsi="Times New Roman" w:cs="Times New Roman"/>
          <w:sz w:val="24"/>
          <w:szCs w:val="24"/>
        </w:rPr>
        <w:t>Examine the level of awareness of scholarly infrastructure among LIS academics in federal universities in Northern Nigeria.</w:t>
      </w:r>
    </w:p>
    <w:p w14:paraId="2D19C832" w14:textId="163272F7" w:rsidR="009F5569" w:rsidRPr="009F5569" w:rsidRDefault="009F5569" w:rsidP="009F5569">
      <w:pPr>
        <w:pStyle w:val="ListParagraph"/>
        <w:numPr>
          <w:ilvl w:val="0"/>
          <w:numId w:val="1"/>
        </w:numPr>
        <w:rPr>
          <w:rFonts w:ascii="Times New Roman" w:hAnsi="Times New Roman" w:cs="Times New Roman"/>
          <w:sz w:val="24"/>
          <w:szCs w:val="24"/>
        </w:rPr>
      </w:pPr>
      <w:r w:rsidRPr="009F5569">
        <w:rPr>
          <w:rFonts w:ascii="Times New Roman" w:hAnsi="Times New Roman" w:cs="Times New Roman"/>
          <w:sz w:val="24"/>
          <w:szCs w:val="24"/>
        </w:rPr>
        <w:t>Examine the extent of utilization of scholarly infrastructure among LIS academics in federal universities in Northern Nigeria.</w:t>
      </w:r>
    </w:p>
    <w:p w14:paraId="512203C0" w14:textId="77777777" w:rsidR="009F5569" w:rsidRPr="009F5569" w:rsidRDefault="009F5569" w:rsidP="009F5569">
      <w:pPr>
        <w:spacing w:after="0"/>
        <w:rPr>
          <w:rFonts w:ascii="Times New Roman" w:hAnsi="Times New Roman" w:cs="Times New Roman"/>
          <w:sz w:val="24"/>
          <w:szCs w:val="24"/>
        </w:rPr>
      </w:pPr>
      <w:r w:rsidRPr="009F5569">
        <w:rPr>
          <w:rFonts w:ascii="Times New Roman" w:hAnsi="Times New Roman" w:cs="Times New Roman"/>
          <w:sz w:val="24"/>
          <w:szCs w:val="24"/>
        </w:rPr>
        <w:t>Research Questions</w:t>
      </w:r>
    </w:p>
    <w:p w14:paraId="20F6B192" w14:textId="45D34201" w:rsidR="009F5569" w:rsidRPr="00E5256B" w:rsidRDefault="009F5569" w:rsidP="00E5256B">
      <w:pPr>
        <w:pStyle w:val="ListParagraph"/>
        <w:numPr>
          <w:ilvl w:val="0"/>
          <w:numId w:val="2"/>
        </w:numPr>
        <w:spacing w:after="0"/>
        <w:rPr>
          <w:rFonts w:ascii="Times New Roman" w:hAnsi="Times New Roman" w:cs="Times New Roman"/>
          <w:sz w:val="24"/>
          <w:szCs w:val="24"/>
        </w:rPr>
      </w:pPr>
      <w:r w:rsidRPr="00E5256B">
        <w:rPr>
          <w:rFonts w:ascii="Times New Roman" w:hAnsi="Times New Roman" w:cs="Times New Roman"/>
          <w:sz w:val="24"/>
          <w:szCs w:val="24"/>
        </w:rPr>
        <w:lastRenderedPageBreak/>
        <w:t>What is the level of awareness of scholarly infrastructure among LIS academics in federal universities in Northern Nigeria?</w:t>
      </w:r>
    </w:p>
    <w:p w14:paraId="3306F931" w14:textId="62C5CCD3" w:rsidR="009F5569" w:rsidRPr="00E5256B" w:rsidRDefault="009F5569" w:rsidP="00E5256B">
      <w:pPr>
        <w:pStyle w:val="ListParagraph"/>
        <w:numPr>
          <w:ilvl w:val="0"/>
          <w:numId w:val="2"/>
        </w:numPr>
        <w:rPr>
          <w:rFonts w:ascii="Times New Roman" w:hAnsi="Times New Roman" w:cs="Times New Roman"/>
          <w:sz w:val="24"/>
          <w:szCs w:val="24"/>
        </w:rPr>
      </w:pPr>
      <w:r w:rsidRPr="00E5256B">
        <w:rPr>
          <w:rFonts w:ascii="Times New Roman" w:hAnsi="Times New Roman" w:cs="Times New Roman"/>
          <w:sz w:val="24"/>
          <w:szCs w:val="24"/>
        </w:rPr>
        <w:t>What is the extent of utilization of scholarly infrastructure by LIS academics in federal universities in Northern Nigeria?</w:t>
      </w:r>
    </w:p>
    <w:p w14:paraId="2D92ADC2" w14:textId="77777777" w:rsidR="009F5569" w:rsidRPr="009F5569" w:rsidRDefault="009F5569" w:rsidP="009F5569">
      <w:pPr>
        <w:spacing w:after="0"/>
        <w:rPr>
          <w:rFonts w:ascii="Times New Roman" w:hAnsi="Times New Roman" w:cs="Times New Roman"/>
          <w:sz w:val="24"/>
          <w:szCs w:val="24"/>
        </w:rPr>
      </w:pPr>
      <w:r w:rsidRPr="009F5569">
        <w:rPr>
          <w:rFonts w:ascii="Times New Roman" w:hAnsi="Times New Roman" w:cs="Times New Roman"/>
          <w:sz w:val="24"/>
          <w:szCs w:val="24"/>
        </w:rPr>
        <w:t>Hypothesis</w:t>
      </w:r>
    </w:p>
    <w:p w14:paraId="1026A0D7" w14:textId="4B7DA5C3" w:rsidR="00E5256B" w:rsidRDefault="009F5569" w:rsidP="00E5256B">
      <w:pPr>
        <w:pStyle w:val="ListParagraph"/>
        <w:numPr>
          <w:ilvl w:val="0"/>
          <w:numId w:val="3"/>
        </w:numPr>
        <w:spacing w:after="0"/>
        <w:rPr>
          <w:rFonts w:ascii="Times New Roman" w:hAnsi="Times New Roman" w:cs="Times New Roman"/>
          <w:sz w:val="24"/>
          <w:szCs w:val="24"/>
        </w:rPr>
      </w:pPr>
      <w:r w:rsidRPr="00E5256B">
        <w:rPr>
          <w:rFonts w:ascii="Times New Roman" w:hAnsi="Times New Roman" w:cs="Times New Roman"/>
          <w:sz w:val="24"/>
          <w:szCs w:val="24"/>
        </w:rPr>
        <w:t>HO</w:t>
      </w:r>
      <w:r w:rsidR="009B19CD">
        <w:rPr>
          <w:rFonts w:ascii="Times New Roman" w:hAnsi="Times New Roman" w:cs="Times New Roman"/>
          <w:sz w:val="24"/>
          <w:szCs w:val="24"/>
        </w:rPr>
        <w:t>1</w:t>
      </w:r>
      <w:r w:rsidRPr="00E5256B">
        <w:rPr>
          <w:rFonts w:ascii="Times New Roman" w:hAnsi="Times New Roman" w:cs="Times New Roman"/>
          <w:sz w:val="24"/>
          <w:szCs w:val="24"/>
        </w:rPr>
        <w:t xml:space="preserve">: There is no significant relationship between awareness, utilization and web visibility of scholarly infrastructure among LIS academics in federal universities in northern Nigeria  </w:t>
      </w:r>
    </w:p>
    <w:p w14:paraId="52BB166C" w14:textId="77777777" w:rsidR="00E5256B" w:rsidRDefault="00E5256B" w:rsidP="00E5256B">
      <w:pPr>
        <w:spacing w:after="0"/>
        <w:rPr>
          <w:rFonts w:ascii="Times New Roman" w:hAnsi="Times New Roman" w:cs="Times New Roman"/>
          <w:sz w:val="24"/>
          <w:szCs w:val="24"/>
        </w:rPr>
      </w:pPr>
    </w:p>
    <w:p w14:paraId="4420AFC5" w14:textId="77777777" w:rsidR="00E5256B" w:rsidRPr="006D0D01" w:rsidRDefault="00E5256B" w:rsidP="00E5256B">
      <w:pPr>
        <w:jc w:val="both"/>
        <w:rPr>
          <w:rFonts w:ascii="Times New Roman" w:hAnsi="Times New Roman" w:cs="Times New Roman"/>
          <w:b/>
          <w:bCs/>
          <w:sz w:val="24"/>
          <w:szCs w:val="24"/>
          <w:lang w:val="en-NG"/>
        </w:rPr>
      </w:pPr>
      <w:r w:rsidRPr="006D0D01">
        <w:rPr>
          <w:rFonts w:ascii="Times New Roman" w:hAnsi="Times New Roman" w:cs="Times New Roman"/>
          <w:b/>
          <w:bCs/>
          <w:sz w:val="24"/>
          <w:szCs w:val="24"/>
          <w:lang w:val="en-NG"/>
        </w:rPr>
        <w:t>Review of Related Literature</w:t>
      </w:r>
    </w:p>
    <w:p w14:paraId="3503EED0" w14:textId="5F7F1EAF" w:rsidR="00E5256B" w:rsidRPr="006D0D01" w:rsidRDefault="009B19CD" w:rsidP="00602402">
      <w:pPr>
        <w:ind w:firstLine="720"/>
        <w:jc w:val="both"/>
        <w:rPr>
          <w:rFonts w:ascii="Times New Roman" w:hAnsi="Times New Roman" w:cs="Times New Roman"/>
          <w:sz w:val="24"/>
          <w:szCs w:val="24"/>
          <w:lang w:val="en-NG"/>
        </w:rPr>
      </w:pPr>
      <w:r>
        <w:rPr>
          <w:rFonts w:ascii="Times New Roman" w:hAnsi="Times New Roman" w:cs="Times New Roman"/>
          <w:sz w:val="24"/>
          <w:szCs w:val="24"/>
          <w:lang w:val="en-NG"/>
        </w:rPr>
        <w:t>D</w:t>
      </w:r>
      <w:r w:rsidR="00E5256B" w:rsidRPr="006D0D01">
        <w:rPr>
          <w:rFonts w:ascii="Times New Roman" w:hAnsi="Times New Roman" w:cs="Times New Roman"/>
          <w:sz w:val="24"/>
          <w:szCs w:val="24"/>
          <w:lang w:val="en-NG"/>
        </w:rPr>
        <w:t xml:space="preserve">igital transformation of academic communication has fundamentally reshaped how scholarly knowledge is created, managed, and disseminated. Scholarly infrastructure </w:t>
      </w:r>
      <w:r w:rsidR="00E5256B">
        <w:rPr>
          <w:rFonts w:ascii="Times New Roman" w:hAnsi="Times New Roman" w:cs="Times New Roman"/>
          <w:sz w:val="24"/>
          <w:szCs w:val="24"/>
          <w:lang w:val="en-NG"/>
        </w:rPr>
        <w:t xml:space="preserve">in the context of this research </w:t>
      </w:r>
      <w:r w:rsidR="00E5256B" w:rsidRPr="006D0D01">
        <w:rPr>
          <w:rFonts w:ascii="Times New Roman" w:hAnsi="Times New Roman" w:cs="Times New Roman"/>
          <w:sz w:val="24"/>
          <w:szCs w:val="24"/>
          <w:lang w:val="en-NG"/>
        </w:rPr>
        <w:t xml:space="preserve">encompasses the comprehensive ecosystem of digital platforms, tools, and services that facilitate </w:t>
      </w:r>
      <w:r w:rsidR="00E5256B">
        <w:rPr>
          <w:rFonts w:ascii="Times New Roman" w:hAnsi="Times New Roman" w:cs="Times New Roman"/>
          <w:sz w:val="24"/>
          <w:szCs w:val="24"/>
          <w:lang w:val="en-NG"/>
        </w:rPr>
        <w:t>knowledge creation, management and dissemination.</w:t>
      </w:r>
      <w:r w:rsidR="00E5256B" w:rsidRPr="006D0D01">
        <w:rPr>
          <w:rFonts w:ascii="Times New Roman" w:hAnsi="Times New Roman" w:cs="Times New Roman"/>
          <w:sz w:val="24"/>
          <w:szCs w:val="24"/>
          <w:lang w:val="en-NG"/>
        </w:rPr>
        <w:t xml:space="preserve"> </w:t>
      </w:r>
      <w:r w:rsidR="00E5256B">
        <w:rPr>
          <w:rFonts w:ascii="Times New Roman" w:hAnsi="Times New Roman" w:cs="Times New Roman"/>
          <w:sz w:val="24"/>
          <w:szCs w:val="24"/>
          <w:lang w:val="en-NG"/>
        </w:rPr>
        <w:t>They</w:t>
      </w:r>
      <w:r w:rsidR="00E5256B" w:rsidRPr="006D0D01">
        <w:rPr>
          <w:rFonts w:ascii="Times New Roman" w:hAnsi="Times New Roman" w:cs="Times New Roman"/>
          <w:sz w:val="24"/>
          <w:szCs w:val="24"/>
          <w:lang w:val="en-NG"/>
        </w:rPr>
        <w:t xml:space="preserve"> includ</w:t>
      </w:r>
      <w:r w:rsidR="00E5256B">
        <w:rPr>
          <w:rFonts w:ascii="Times New Roman" w:hAnsi="Times New Roman" w:cs="Times New Roman"/>
          <w:sz w:val="24"/>
          <w:szCs w:val="24"/>
          <w:lang w:val="en-NG"/>
        </w:rPr>
        <w:t>e</w:t>
      </w:r>
      <w:r w:rsidR="00E5256B" w:rsidRPr="006D0D01">
        <w:rPr>
          <w:rFonts w:ascii="Times New Roman" w:hAnsi="Times New Roman" w:cs="Times New Roman"/>
          <w:sz w:val="24"/>
          <w:szCs w:val="24"/>
          <w:lang w:val="en-NG"/>
        </w:rPr>
        <w:t xml:space="preserve"> institutional repositories, open access publishing systems, persistent author identifiers such as ORCID, bibliometric databases like Scopus and Web of Science, and academic networking platforms including ResearchGate and Academia.edu. These infrastructural components serve as the backbone of modern scholarly communication, enabling researchers to enhance the visibility, accessibility, and measurable impact of their research outputs in an increasingly interconnected academic landscape.</w:t>
      </w:r>
      <w:r w:rsidR="00E5256B">
        <w:rPr>
          <w:rFonts w:ascii="Times New Roman" w:hAnsi="Times New Roman" w:cs="Times New Roman"/>
          <w:sz w:val="24"/>
          <w:szCs w:val="24"/>
          <w:lang w:val="en-NG"/>
        </w:rPr>
        <w:t xml:space="preserve"> </w:t>
      </w:r>
      <w:r w:rsidR="00E5256B" w:rsidRPr="006D0D01">
        <w:rPr>
          <w:rFonts w:ascii="Times New Roman" w:hAnsi="Times New Roman" w:cs="Times New Roman"/>
          <w:sz w:val="24"/>
          <w:szCs w:val="24"/>
          <w:lang w:val="en-NG"/>
        </w:rPr>
        <w:t>The significance of scholarly infrastructure extends beyond mere technological adoption</w:t>
      </w:r>
      <w:r w:rsidR="00E5256B">
        <w:rPr>
          <w:rFonts w:ascii="Times New Roman" w:hAnsi="Times New Roman" w:cs="Times New Roman"/>
          <w:sz w:val="24"/>
          <w:szCs w:val="24"/>
          <w:lang w:val="en-NG"/>
        </w:rPr>
        <w:t>,</w:t>
      </w:r>
      <w:r w:rsidR="00E5256B" w:rsidRPr="006D0D01">
        <w:rPr>
          <w:rFonts w:ascii="Times New Roman" w:hAnsi="Times New Roman" w:cs="Times New Roman"/>
          <w:sz w:val="24"/>
          <w:szCs w:val="24"/>
          <w:lang w:val="en-NG"/>
        </w:rPr>
        <w:t xml:space="preserve"> it represents a paradigm shift toward more transparent, collaborative, and democratized knowledge sharing. As </w:t>
      </w:r>
      <w:r w:rsidR="00DF1294">
        <w:rPr>
          <w:rFonts w:ascii="Times New Roman" w:hAnsi="Times New Roman" w:cs="Times New Roman"/>
          <w:sz w:val="24"/>
          <w:szCs w:val="24"/>
          <w:lang w:val="en-NG"/>
        </w:rPr>
        <w:t>Majhi</w:t>
      </w:r>
      <w:r w:rsidR="00E5256B" w:rsidRPr="006D0D01">
        <w:rPr>
          <w:rFonts w:ascii="Times New Roman" w:hAnsi="Times New Roman" w:cs="Times New Roman"/>
          <w:sz w:val="24"/>
          <w:szCs w:val="24"/>
          <w:lang w:val="en-NG"/>
        </w:rPr>
        <w:t xml:space="preserve"> et al. (20</w:t>
      </w:r>
      <w:r w:rsidR="00DF1294">
        <w:rPr>
          <w:rFonts w:ascii="Times New Roman" w:hAnsi="Times New Roman" w:cs="Times New Roman"/>
          <w:sz w:val="24"/>
          <w:szCs w:val="24"/>
          <w:lang w:val="en-NG"/>
        </w:rPr>
        <w:t>23</w:t>
      </w:r>
      <w:r w:rsidR="00E5256B" w:rsidRPr="006D0D01">
        <w:rPr>
          <w:rFonts w:ascii="Times New Roman" w:hAnsi="Times New Roman" w:cs="Times New Roman"/>
          <w:sz w:val="24"/>
          <w:szCs w:val="24"/>
          <w:lang w:val="en-NG"/>
        </w:rPr>
        <w:t>) argue, the Findable, Accessible, Interoperable and Reusable</w:t>
      </w:r>
      <w:r w:rsidR="00E5256B">
        <w:rPr>
          <w:rFonts w:ascii="Times New Roman" w:hAnsi="Times New Roman" w:cs="Times New Roman"/>
          <w:sz w:val="24"/>
          <w:szCs w:val="24"/>
          <w:lang w:val="en-NG"/>
        </w:rPr>
        <w:t xml:space="preserve"> (</w:t>
      </w:r>
      <w:r w:rsidR="00E5256B" w:rsidRPr="006D0D01">
        <w:rPr>
          <w:rFonts w:ascii="Times New Roman" w:hAnsi="Times New Roman" w:cs="Times New Roman"/>
          <w:sz w:val="24"/>
          <w:szCs w:val="24"/>
          <w:lang w:val="en-NG"/>
        </w:rPr>
        <w:t>FAIR) principles have become fundamental to modern research infrastructure, emphasizing the need for systems that not only store and disseminate knowledge but also ensure its long-term discoverability and utility.</w:t>
      </w:r>
    </w:p>
    <w:p w14:paraId="72ED631F" w14:textId="390DD6B9" w:rsidR="00E5256B" w:rsidRPr="006D0D01" w:rsidRDefault="00E5256B" w:rsidP="00602402">
      <w:pPr>
        <w:ind w:firstLine="720"/>
        <w:jc w:val="both"/>
        <w:rPr>
          <w:rFonts w:ascii="Times New Roman" w:hAnsi="Times New Roman" w:cs="Times New Roman"/>
          <w:sz w:val="24"/>
          <w:szCs w:val="24"/>
          <w:lang w:val="en-NG"/>
        </w:rPr>
      </w:pPr>
      <w:r w:rsidRPr="006D0D01">
        <w:rPr>
          <w:rFonts w:ascii="Times New Roman" w:hAnsi="Times New Roman" w:cs="Times New Roman"/>
          <w:sz w:val="24"/>
          <w:szCs w:val="24"/>
          <w:lang w:val="en-NG"/>
        </w:rPr>
        <w:t>The implementation and adoption of scholarly infrastructure present unique challenges and opportunities</w:t>
      </w:r>
      <w:r>
        <w:rPr>
          <w:rFonts w:ascii="Times New Roman" w:hAnsi="Times New Roman" w:cs="Times New Roman"/>
          <w:sz w:val="24"/>
          <w:szCs w:val="24"/>
          <w:lang w:val="en-NG"/>
        </w:rPr>
        <w:t xml:space="preserve"> </w:t>
      </w:r>
      <w:r w:rsidRPr="006D0D01">
        <w:rPr>
          <w:rFonts w:ascii="Times New Roman" w:hAnsi="Times New Roman" w:cs="Times New Roman"/>
          <w:sz w:val="24"/>
          <w:szCs w:val="24"/>
          <w:lang w:val="en-NG"/>
        </w:rPr>
        <w:t xml:space="preserve">particularly in Sub-Saharan Africa. </w:t>
      </w:r>
      <w:r>
        <w:rPr>
          <w:rFonts w:ascii="Times New Roman" w:hAnsi="Times New Roman" w:cs="Times New Roman"/>
          <w:sz w:val="24"/>
          <w:szCs w:val="24"/>
          <w:lang w:val="en-NG"/>
        </w:rPr>
        <w:t xml:space="preserve">According to </w:t>
      </w:r>
      <w:r w:rsidRPr="006D0D01">
        <w:rPr>
          <w:rFonts w:ascii="Times New Roman" w:hAnsi="Times New Roman" w:cs="Times New Roman"/>
          <w:sz w:val="24"/>
          <w:szCs w:val="24"/>
          <w:lang w:val="en-NG"/>
        </w:rPr>
        <w:t xml:space="preserve">Ezema </w:t>
      </w:r>
      <w:r>
        <w:rPr>
          <w:rFonts w:ascii="Times New Roman" w:hAnsi="Times New Roman" w:cs="Times New Roman"/>
          <w:sz w:val="24"/>
          <w:szCs w:val="24"/>
          <w:lang w:val="en-NG"/>
        </w:rPr>
        <w:t>(</w:t>
      </w:r>
      <w:r w:rsidRPr="006D0D01">
        <w:rPr>
          <w:rFonts w:ascii="Times New Roman" w:hAnsi="Times New Roman" w:cs="Times New Roman"/>
          <w:sz w:val="24"/>
          <w:szCs w:val="24"/>
          <w:lang w:val="en-NG"/>
        </w:rPr>
        <w:t>2013</w:t>
      </w:r>
      <w:r>
        <w:rPr>
          <w:rFonts w:ascii="Times New Roman" w:hAnsi="Times New Roman" w:cs="Times New Roman"/>
          <w:sz w:val="24"/>
          <w:szCs w:val="24"/>
          <w:lang w:val="en-NG"/>
        </w:rPr>
        <w:t>), i</w:t>
      </w:r>
      <w:r w:rsidRPr="006D0D01">
        <w:rPr>
          <w:rFonts w:ascii="Times New Roman" w:hAnsi="Times New Roman" w:cs="Times New Roman"/>
          <w:sz w:val="24"/>
          <w:szCs w:val="24"/>
          <w:lang w:val="en-NG"/>
        </w:rPr>
        <w:t>n Nigeria</w:t>
      </w:r>
      <w:r>
        <w:rPr>
          <w:rFonts w:ascii="Times New Roman" w:hAnsi="Times New Roman" w:cs="Times New Roman"/>
          <w:sz w:val="24"/>
          <w:szCs w:val="24"/>
          <w:lang w:val="en-NG"/>
        </w:rPr>
        <w:t xml:space="preserve"> </w:t>
      </w:r>
      <w:r w:rsidRPr="006D0D01">
        <w:rPr>
          <w:rFonts w:ascii="Times New Roman" w:hAnsi="Times New Roman" w:cs="Times New Roman"/>
          <w:sz w:val="24"/>
          <w:szCs w:val="24"/>
          <w:lang w:val="en-NG"/>
        </w:rPr>
        <w:t xml:space="preserve">as in many developing countries, the integration of digital scholarly tools is significantly influenced by a complex interplay of factors including institutional policies, digital literacy levels, technological infrastructure readiness, and resource availability. Onyancha </w:t>
      </w:r>
      <w:r>
        <w:rPr>
          <w:rFonts w:ascii="Times New Roman" w:hAnsi="Times New Roman" w:cs="Times New Roman"/>
          <w:sz w:val="24"/>
          <w:szCs w:val="24"/>
          <w:lang w:val="en-NG"/>
        </w:rPr>
        <w:t>(</w:t>
      </w:r>
      <w:r w:rsidRPr="006D0D01">
        <w:rPr>
          <w:rFonts w:ascii="Times New Roman" w:hAnsi="Times New Roman" w:cs="Times New Roman"/>
          <w:sz w:val="24"/>
          <w:szCs w:val="24"/>
          <w:lang w:val="en-NG"/>
        </w:rPr>
        <w:t>20</w:t>
      </w:r>
      <w:r>
        <w:rPr>
          <w:rFonts w:ascii="Times New Roman" w:hAnsi="Times New Roman" w:cs="Times New Roman"/>
          <w:sz w:val="24"/>
          <w:szCs w:val="24"/>
          <w:lang w:val="en-NG"/>
        </w:rPr>
        <w:t>1</w:t>
      </w:r>
      <w:r w:rsidR="00A00C9A">
        <w:rPr>
          <w:rFonts w:ascii="Times New Roman" w:hAnsi="Times New Roman" w:cs="Times New Roman"/>
          <w:sz w:val="24"/>
          <w:szCs w:val="24"/>
          <w:lang w:val="en-NG"/>
        </w:rPr>
        <w:t>1</w:t>
      </w:r>
      <w:r w:rsidRPr="006D0D01">
        <w:rPr>
          <w:rFonts w:ascii="Times New Roman" w:hAnsi="Times New Roman" w:cs="Times New Roman"/>
          <w:sz w:val="24"/>
          <w:szCs w:val="24"/>
          <w:lang w:val="en-NG"/>
        </w:rPr>
        <w:t>)</w:t>
      </w:r>
      <w:r>
        <w:rPr>
          <w:rFonts w:ascii="Times New Roman" w:hAnsi="Times New Roman" w:cs="Times New Roman"/>
          <w:sz w:val="24"/>
          <w:szCs w:val="24"/>
          <w:lang w:val="en-NG"/>
        </w:rPr>
        <w:t xml:space="preserve"> explained that w</w:t>
      </w:r>
      <w:r w:rsidRPr="006D0D01">
        <w:rPr>
          <w:rFonts w:ascii="Times New Roman" w:hAnsi="Times New Roman" w:cs="Times New Roman"/>
          <w:sz w:val="24"/>
          <w:szCs w:val="24"/>
          <w:lang w:val="en-NG"/>
        </w:rPr>
        <w:t>hile many Nigerian universities have established institutional repositories, demonstrating a growing institutional recognition of the importance of preserving and disseminating research outputs, the actual utilization of these platforms by scholars including those in Library and Information Science (LIS) remains disappointingly inconsistent and often sporadic</w:t>
      </w:r>
      <w:r>
        <w:rPr>
          <w:rFonts w:ascii="Times New Roman" w:hAnsi="Times New Roman" w:cs="Times New Roman"/>
          <w:sz w:val="24"/>
          <w:szCs w:val="24"/>
          <w:lang w:val="en-NG"/>
        </w:rPr>
        <w:t xml:space="preserve">.  </w:t>
      </w:r>
      <w:r w:rsidRPr="006D0D01">
        <w:rPr>
          <w:rFonts w:ascii="Times New Roman" w:hAnsi="Times New Roman" w:cs="Times New Roman"/>
          <w:sz w:val="24"/>
          <w:szCs w:val="24"/>
          <w:lang w:val="en-NG"/>
        </w:rPr>
        <w:t xml:space="preserve">This disparity between infrastructure availability and utilization reflects broader systemic challenges within the academic ecosystem of </w:t>
      </w:r>
      <w:r>
        <w:rPr>
          <w:rFonts w:ascii="Times New Roman" w:hAnsi="Times New Roman" w:cs="Times New Roman"/>
          <w:sz w:val="24"/>
          <w:szCs w:val="24"/>
          <w:lang w:val="en-NG"/>
        </w:rPr>
        <w:t>northern Nigeria</w:t>
      </w:r>
      <w:r w:rsidRPr="006D0D01">
        <w:rPr>
          <w:rFonts w:ascii="Times New Roman" w:hAnsi="Times New Roman" w:cs="Times New Roman"/>
          <w:sz w:val="24"/>
          <w:szCs w:val="24"/>
          <w:lang w:val="en-NG"/>
        </w:rPr>
        <w:t xml:space="preserve">. </w:t>
      </w:r>
      <w:r w:rsidR="00235AFC">
        <w:rPr>
          <w:rFonts w:ascii="Times New Roman" w:hAnsi="Times New Roman" w:cs="Times New Roman"/>
          <w:sz w:val="24"/>
          <w:szCs w:val="24"/>
          <w:lang w:val="en-NG"/>
        </w:rPr>
        <w:t>Okeji et.al.</w:t>
      </w:r>
      <w:r w:rsidRPr="006D0D01">
        <w:rPr>
          <w:rFonts w:ascii="Times New Roman" w:hAnsi="Times New Roman" w:cs="Times New Roman"/>
          <w:sz w:val="24"/>
          <w:szCs w:val="24"/>
          <w:lang w:val="en-NG"/>
        </w:rPr>
        <w:t xml:space="preserve"> (2018) identified several barriers to </w:t>
      </w:r>
      <w:r w:rsidR="009B19CD">
        <w:rPr>
          <w:rFonts w:ascii="Times New Roman" w:hAnsi="Times New Roman" w:cs="Times New Roman"/>
          <w:sz w:val="24"/>
          <w:szCs w:val="24"/>
          <w:lang w:val="en-NG"/>
        </w:rPr>
        <w:t>utilization</w:t>
      </w:r>
      <w:r w:rsidRPr="006D0D01">
        <w:rPr>
          <w:rFonts w:ascii="Times New Roman" w:hAnsi="Times New Roman" w:cs="Times New Roman"/>
          <w:sz w:val="24"/>
          <w:szCs w:val="24"/>
          <w:lang w:val="en-NG"/>
        </w:rPr>
        <w:t>, including inadequate technical support, limited awareness campaigns, and the absence of institutional mandates that would encourage or require scholars to engage with digital platforms. Furthermore, the persistence of traditional academic evaluation systems that primarily recognize conventional publication formats may inadvertently discourage scholars from exploring alternative dissemination channels.</w:t>
      </w:r>
    </w:p>
    <w:p w14:paraId="180099FF" w14:textId="11713373" w:rsidR="00E5256B" w:rsidRPr="006D0D01" w:rsidRDefault="00E5256B" w:rsidP="00602402">
      <w:pPr>
        <w:ind w:firstLine="720"/>
        <w:jc w:val="both"/>
        <w:rPr>
          <w:rFonts w:ascii="Times New Roman" w:hAnsi="Times New Roman" w:cs="Times New Roman"/>
          <w:sz w:val="24"/>
          <w:szCs w:val="24"/>
          <w:lang w:val="en-NG"/>
        </w:rPr>
      </w:pPr>
      <w:r w:rsidRPr="006D0D01">
        <w:rPr>
          <w:rFonts w:ascii="Times New Roman" w:hAnsi="Times New Roman" w:cs="Times New Roman"/>
          <w:sz w:val="24"/>
          <w:szCs w:val="24"/>
          <w:lang w:val="en-NG"/>
        </w:rPr>
        <w:lastRenderedPageBreak/>
        <w:t xml:space="preserve">Awareness serves as the foundational prerequisite for the meaningful adoption of any technological innovation within academic contexts. </w:t>
      </w:r>
      <w:r w:rsidR="00596CEC">
        <w:rPr>
          <w:rFonts w:ascii="Times New Roman" w:hAnsi="Times New Roman" w:cs="Times New Roman"/>
          <w:sz w:val="24"/>
          <w:szCs w:val="24"/>
          <w:lang w:val="en-NG"/>
        </w:rPr>
        <w:t xml:space="preserve">Giresh </w:t>
      </w:r>
      <w:r w:rsidRPr="006D0D01">
        <w:rPr>
          <w:rFonts w:ascii="Times New Roman" w:hAnsi="Times New Roman" w:cs="Times New Roman"/>
          <w:sz w:val="24"/>
          <w:szCs w:val="24"/>
          <w:lang w:val="en-NG"/>
        </w:rPr>
        <w:t>(2020)</w:t>
      </w:r>
      <w:r w:rsidR="00596CEC">
        <w:rPr>
          <w:rFonts w:ascii="Times New Roman" w:hAnsi="Times New Roman" w:cs="Times New Roman"/>
          <w:sz w:val="24"/>
          <w:szCs w:val="24"/>
          <w:lang w:val="en-NG"/>
        </w:rPr>
        <w:t xml:space="preserve"> </w:t>
      </w:r>
      <w:r w:rsidR="00596CEC" w:rsidRPr="006D0D01">
        <w:rPr>
          <w:rFonts w:ascii="Times New Roman" w:hAnsi="Times New Roman" w:cs="Times New Roman"/>
          <w:sz w:val="24"/>
          <w:szCs w:val="24"/>
          <w:lang w:val="en-NG"/>
        </w:rPr>
        <w:t>conceptualized</w:t>
      </w:r>
      <w:r w:rsidR="00596CEC">
        <w:rPr>
          <w:rFonts w:ascii="Times New Roman" w:hAnsi="Times New Roman" w:cs="Times New Roman"/>
          <w:sz w:val="24"/>
          <w:szCs w:val="24"/>
          <w:lang w:val="en-NG"/>
        </w:rPr>
        <w:t xml:space="preserve"> that</w:t>
      </w:r>
      <w:r w:rsidRPr="006D0D01">
        <w:rPr>
          <w:rFonts w:ascii="Times New Roman" w:hAnsi="Times New Roman" w:cs="Times New Roman"/>
          <w:sz w:val="24"/>
          <w:szCs w:val="24"/>
          <w:lang w:val="en-NG"/>
        </w:rPr>
        <w:t xml:space="preserve"> comprehensive awareness encompasses not merely the superficial knowledge of platform existence, but rather a deep understanding of functionalities, strategic advantages, and potential applications of diverse scholarly tools. This includes familiarity with institutional repositories, open-access journals, academic social networks such as ResearchGate and Academia.edu, and sophisticated bibliometric tools including Scopus, Web of Science, and emerging altimetric platforms.</w:t>
      </w:r>
      <w:r>
        <w:rPr>
          <w:rFonts w:ascii="Times New Roman" w:hAnsi="Times New Roman" w:cs="Times New Roman"/>
          <w:sz w:val="24"/>
          <w:szCs w:val="24"/>
          <w:lang w:val="en-NG"/>
        </w:rPr>
        <w:t xml:space="preserve"> </w:t>
      </w:r>
      <w:r w:rsidRPr="006D0D01">
        <w:rPr>
          <w:rFonts w:ascii="Times New Roman" w:hAnsi="Times New Roman" w:cs="Times New Roman"/>
          <w:sz w:val="24"/>
          <w:szCs w:val="24"/>
          <w:lang w:val="en-NG"/>
        </w:rPr>
        <w:t xml:space="preserve">The absence of adequate awareness creates a cascading effect that significantly constrains the potential of scholarly communication systems to foster enhanced visibility and measurable academic impact. Davis </w:t>
      </w:r>
      <w:r>
        <w:rPr>
          <w:rFonts w:ascii="Times New Roman" w:hAnsi="Times New Roman" w:cs="Times New Roman"/>
          <w:sz w:val="24"/>
          <w:szCs w:val="24"/>
          <w:lang w:val="en-NG"/>
        </w:rPr>
        <w:t xml:space="preserve">and </w:t>
      </w:r>
      <w:r w:rsidRPr="006D0D01">
        <w:rPr>
          <w:rFonts w:ascii="Times New Roman" w:hAnsi="Times New Roman" w:cs="Times New Roman"/>
          <w:sz w:val="24"/>
          <w:szCs w:val="24"/>
          <w:lang w:val="en-NG"/>
        </w:rPr>
        <w:t xml:space="preserve">Connolly </w:t>
      </w:r>
      <w:r>
        <w:rPr>
          <w:rFonts w:ascii="Times New Roman" w:hAnsi="Times New Roman" w:cs="Times New Roman"/>
          <w:sz w:val="24"/>
          <w:szCs w:val="24"/>
          <w:lang w:val="en-NG"/>
        </w:rPr>
        <w:t>(</w:t>
      </w:r>
      <w:r w:rsidRPr="006D0D01">
        <w:rPr>
          <w:rFonts w:ascii="Times New Roman" w:hAnsi="Times New Roman" w:cs="Times New Roman"/>
          <w:sz w:val="24"/>
          <w:szCs w:val="24"/>
          <w:lang w:val="en-NG"/>
        </w:rPr>
        <w:t>2007</w:t>
      </w:r>
      <w:r>
        <w:rPr>
          <w:rFonts w:ascii="Times New Roman" w:hAnsi="Times New Roman" w:cs="Times New Roman"/>
          <w:sz w:val="24"/>
          <w:szCs w:val="24"/>
          <w:lang w:val="en-NG"/>
        </w:rPr>
        <w:t>) and</w:t>
      </w:r>
      <w:r w:rsidRPr="006D0D01">
        <w:rPr>
          <w:rFonts w:ascii="Times New Roman" w:hAnsi="Times New Roman" w:cs="Times New Roman"/>
          <w:sz w:val="24"/>
          <w:szCs w:val="24"/>
          <w:lang w:val="en-NG"/>
        </w:rPr>
        <w:t xml:space="preserve"> Xia </w:t>
      </w:r>
      <w:r>
        <w:rPr>
          <w:rFonts w:ascii="Times New Roman" w:hAnsi="Times New Roman" w:cs="Times New Roman"/>
          <w:sz w:val="24"/>
          <w:szCs w:val="24"/>
          <w:lang w:val="en-NG"/>
        </w:rPr>
        <w:t>(</w:t>
      </w:r>
      <w:r w:rsidRPr="006D0D01">
        <w:rPr>
          <w:rFonts w:ascii="Times New Roman" w:hAnsi="Times New Roman" w:cs="Times New Roman"/>
          <w:sz w:val="24"/>
          <w:szCs w:val="24"/>
          <w:lang w:val="en-NG"/>
        </w:rPr>
        <w:t>2010)</w:t>
      </w:r>
      <w:r>
        <w:rPr>
          <w:rFonts w:ascii="Times New Roman" w:hAnsi="Times New Roman" w:cs="Times New Roman"/>
          <w:sz w:val="24"/>
          <w:szCs w:val="24"/>
          <w:lang w:val="en-NG"/>
        </w:rPr>
        <w:t>, opined that r</w:t>
      </w:r>
      <w:r w:rsidRPr="006D0D01">
        <w:rPr>
          <w:rFonts w:ascii="Times New Roman" w:hAnsi="Times New Roman" w:cs="Times New Roman"/>
          <w:sz w:val="24"/>
          <w:szCs w:val="24"/>
          <w:lang w:val="en-NG"/>
        </w:rPr>
        <w:t>esearch conducted across various academic frameworks has consistently demonstrated that substantial numbers of academics remain either completely unaware of available scholarly infrastructure or lack the necessary technical competencies to utilize these tools effectively</w:t>
      </w:r>
      <w:r>
        <w:rPr>
          <w:rFonts w:ascii="Times New Roman" w:hAnsi="Times New Roman" w:cs="Times New Roman"/>
          <w:sz w:val="24"/>
          <w:szCs w:val="24"/>
          <w:lang w:val="en-NG"/>
        </w:rPr>
        <w:t xml:space="preserve">. </w:t>
      </w:r>
      <w:r w:rsidRPr="006D0D01">
        <w:rPr>
          <w:rFonts w:ascii="Times New Roman" w:hAnsi="Times New Roman" w:cs="Times New Roman"/>
          <w:sz w:val="24"/>
          <w:szCs w:val="24"/>
          <w:lang w:val="en-NG"/>
        </w:rPr>
        <w:t>In the specific context of Sub-Saharan Africa, Agu and Nkebem (2022) identified that awareness of critical platforms such as ORCID, Scopus, and Web of Science remains severely limited, primarily attributed to inadequate training programs and the persistent digital divide that characterizes many academic institutions in the region. Even in instances where researchers possess basic awareness of such tools, their practical utilization is frequently constrained by multifaceted challenges including infrastructural limitations, perceived relevance to their specific research contexts, and insufficient institutional support mechanisms.</w:t>
      </w:r>
    </w:p>
    <w:p w14:paraId="6A207751" w14:textId="4964C2CE" w:rsidR="00E5256B" w:rsidRPr="006D0D01" w:rsidRDefault="00E5256B" w:rsidP="00602402">
      <w:pPr>
        <w:ind w:firstLine="720"/>
        <w:jc w:val="both"/>
        <w:rPr>
          <w:rFonts w:ascii="Times New Roman" w:hAnsi="Times New Roman" w:cs="Times New Roman"/>
          <w:sz w:val="24"/>
          <w:szCs w:val="24"/>
          <w:lang w:val="en-NG"/>
        </w:rPr>
      </w:pPr>
      <w:r w:rsidRPr="006D0D01">
        <w:rPr>
          <w:rFonts w:ascii="Times New Roman" w:hAnsi="Times New Roman" w:cs="Times New Roman"/>
          <w:sz w:val="24"/>
          <w:szCs w:val="24"/>
          <w:lang w:val="en-NG"/>
        </w:rPr>
        <w:t>The Nigerian academic landscape presents a particularly illuminating case study of the complex relationship between awareness, infrastructure availability, and actual utilization of scholarly tools. Ezema's (2013) comprehensive investigation revealed that despite the establishment of institutional repositories across numerous Nigerian universities, usage levels among LIS scholars remain persistently low, primarily due to inadequate training programs and the conspicuous absence of mandatory publishing policies that would incentivize platform adoption.</w:t>
      </w:r>
      <w:r>
        <w:rPr>
          <w:rFonts w:ascii="Times New Roman" w:hAnsi="Times New Roman" w:cs="Times New Roman"/>
          <w:sz w:val="24"/>
          <w:szCs w:val="24"/>
          <w:lang w:val="en-NG"/>
        </w:rPr>
        <w:t xml:space="preserve"> </w:t>
      </w:r>
      <w:r w:rsidRPr="006D0D01">
        <w:rPr>
          <w:rFonts w:ascii="Times New Roman" w:hAnsi="Times New Roman" w:cs="Times New Roman"/>
          <w:sz w:val="24"/>
          <w:szCs w:val="24"/>
          <w:lang w:val="en-NG"/>
        </w:rPr>
        <w:t>This finding is corroborated by Edem's (2015) research, which highlighted the continued reliance of LIS professionals on traditional publishing models and their notable hesitancy to embrace open-access platforms and digital scholarly tools. The persistence of conventional approaches to scholarly communication reflects not merely technological resistance, but rather a complex web of structural, cultural, and economic factors that collectively impede the transition to digital-first scholarly practices.</w:t>
      </w:r>
      <w:r>
        <w:rPr>
          <w:rFonts w:ascii="Times New Roman" w:hAnsi="Times New Roman" w:cs="Times New Roman"/>
          <w:sz w:val="24"/>
          <w:szCs w:val="24"/>
          <w:lang w:val="en-NG"/>
        </w:rPr>
        <w:t xml:space="preserve"> </w:t>
      </w:r>
      <w:r w:rsidR="00AE2D87">
        <w:rPr>
          <w:rFonts w:ascii="Times New Roman" w:hAnsi="Times New Roman" w:cs="Times New Roman"/>
          <w:sz w:val="24"/>
          <w:szCs w:val="24"/>
          <w:lang w:val="en-NG"/>
        </w:rPr>
        <w:t xml:space="preserve">Sife </w:t>
      </w:r>
      <w:r w:rsidR="00AE2D87">
        <w:rPr>
          <w:rFonts w:ascii="Times New Roman" w:hAnsi="Times New Roman" w:cs="Times New Roman"/>
          <w:sz w:val="24"/>
          <w:szCs w:val="24"/>
          <w:lang w:val="en-NG"/>
        </w:rPr>
        <w:t>and</w:t>
      </w:r>
      <w:r w:rsidR="00AE2D87" w:rsidRPr="006D0D01">
        <w:rPr>
          <w:rFonts w:ascii="Times New Roman" w:hAnsi="Times New Roman" w:cs="Times New Roman"/>
          <w:sz w:val="24"/>
          <w:szCs w:val="24"/>
          <w:lang w:val="en-NG"/>
        </w:rPr>
        <w:t xml:space="preserve"> </w:t>
      </w:r>
      <w:r w:rsidRPr="006D0D01">
        <w:rPr>
          <w:rFonts w:ascii="Times New Roman" w:hAnsi="Times New Roman" w:cs="Times New Roman"/>
          <w:sz w:val="24"/>
          <w:szCs w:val="24"/>
          <w:lang w:val="en-NG"/>
        </w:rPr>
        <w:t xml:space="preserve">Lwoga </w:t>
      </w:r>
      <w:r>
        <w:rPr>
          <w:rFonts w:ascii="Times New Roman" w:hAnsi="Times New Roman" w:cs="Times New Roman"/>
          <w:sz w:val="24"/>
          <w:szCs w:val="24"/>
          <w:lang w:val="en-NG"/>
        </w:rPr>
        <w:t>(</w:t>
      </w:r>
      <w:r w:rsidRPr="006D0D01">
        <w:rPr>
          <w:rFonts w:ascii="Times New Roman" w:hAnsi="Times New Roman" w:cs="Times New Roman"/>
          <w:sz w:val="24"/>
          <w:szCs w:val="24"/>
          <w:lang w:val="en-NG"/>
        </w:rPr>
        <w:t>2014)</w:t>
      </w:r>
      <w:r>
        <w:rPr>
          <w:rFonts w:ascii="Times New Roman" w:hAnsi="Times New Roman" w:cs="Times New Roman"/>
          <w:sz w:val="24"/>
          <w:szCs w:val="24"/>
          <w:lang w:val="en-NG"/>
        </w:rPr>
        <w:t xml:space="preserve"> further explained that a</w:t>
      </w:r>
      <w:r w:rsidRPr="006D0D01">
        <w:rPr>
          <w:rFonts w:ascii="Times New Roman" w:hAnsi="Times New Roman" w:cs="Times New Roman"/>
          <w:sz w:val="24"/>
          <w:szCs w:val="24"/>
          <w:lang w:val="en-NG"/>
        </w:rPr>
        <w:t>dditional barriers identified in the literature include chronic internet connectivity issues, prohibitive subscription costs for premium features of academic platforms, and the absence of clear motivational frameworks that would encourage scholars to invest time and effort in learning new digital tools. These challenges are further compounded by limited technical support infrastructure within many academic institutions and the absence of peer networks that could facilitate knowledge transfer and skill development.</w:t>
      </w:r>
    </w:p>
    <w:p w14:paraId="7A8E5AA7" w14:textId="4AEC7714" w:rsidR="00E5256B" w:rsidRPr="006D0D01" w:rsidRDefault="00E5256B" w:rsidP="00602402">
      <w:pPr>
        <w:ind w:firstLine="720"/>
        <w:jc w:val="both"/>
        <w:rPr>
          <w:rFonts w:ascii="Times New Roman" w:hAnsi="Times New Roman" w:cs="Times New Roman"/>
          <w:sz w:val="24"/>
          <w:szCs w:val="24"/>
          <w:lang w:val="en-NG"/>
        </w:rPr>
      </w:pPr>
      <w:r>
        <w:rPr>
          <w:rFonts w:ascii="Times New Roman" w:hAnsi="Times New Roman" w:cs="Times New Roman"/>
          <w:sz w:val="24"/>
          <w:szCs w:val="24"/>
          <w:lang w:val="en-NG"/>
        </w:rPr>
        <w:t xml:space="preserve">The place of web visibility in contemporary research cannot be glossed over. </w:t>
      </w:r>
      <w:r w:rsidRPr="006D0D01">
        <w:rPr>
          <w:rFonts w:ascii="Times New Roman" w:hAnsi="Times New Roman" w:cs="Times New Roman"/>
          <w:sz w:val="24"/>
          <w:szCs w:val="24"/>
          <w:lang w:val="en-NG"/>
        </w:rPr>
        <w:t xml:space="preserve">Web visibility has emerged as a critical determinant of scholarly impact in the digital age, fundamentally altering how academic success is measured and achieved. Thelwall </w:t>
      </w:r>
      <w:r>
        <w:rPr>
          <w:rFonts w:ascii="Times New Roman" w:hAnsi="Times New Roman" w:cs="Times New Roman"/>
          <w:sz w:val="24"/>
          <w:szCs w:val="24"/>
          <w:lang w:val="en-NG"/>
        </w:rPr>
        <w:t>and</w:t>
      </w:r>
      <w:r w:rsidRPr="006D0D01">
        <w:rPr>
          <w:rFonts w:ascii="Times New Roman" w:hAnsi="Times New Roman" w:cs="Times New Roman"/>
          <w:sz w:val="24"/>
          <w:szCs w:val="24"/>
          <w:lang w:val="en-NG"/>
        </w:rPr>
        <w:t xml:space="preserve"> Kousha </w:t>
      </w:r>
      <w:r>
        <w:rPr>
          <w:rFonts w:ascii="Times New Roman" w:hAnsi="Times New Roman" w:cs="Times New Roman"/>
          <w:sz w:val="24"/>
          <w:szCs w:val="24"/>
          <w:lang w:val="en-NG"/>
        </w:rPr>
        <w:t>(</w:t>
      </w:r>
      <w:r w:rsidRPr="006D0D01">
        <w:rPr>
          <w:rFonts w:ascii="Times New Roman" w:hAnsi="Times New Roman" w:cs="Times New Roman"/>
          <w:sz w:val="24"/>
          <w:szCs w:val="24"/>
          <w:lang w:val="en-NG"/>
        </w:rPr>
        <w:t>2015</w:t>
      </w:r>
      <w:r>
        <w:rPr>
          <w:rFonts w:ascii="Times New Roman" w:hAnsi="Times New Roman" w:cs="Times New Roman"/>
          <w:sz w:val="24"/>
          <w:szCs w:val="24"/>
          <w:lang w:val="en-NG"/>
        </w:rPr>
        <w:t>) and</w:t>
      </w:r>
      <w:r w:rsidRPr="006D0D01">
        <w:rPr>
          <w:rFonts w:ascii="Times New Roman" w:hAnsi="Times New Roman" w:cs="Times New Roman"/>
          <w:sz w:val="24"/>
          <w:szCs w:val="24"/>
          <w:lang w:val="en-NG"/>
        </w:rPr>
        <w:t xml:space="preserve"> Ortega </w:t>
      </w:r>
      <w:r>
        <w:rPr>
          <w:rFonts w:ascii="Times New Roman" w:hAnsi="Times New Roman" w:cs="Times New Roman"/>
          <w:sz w:val="24"/>
          <w:szCs w:val="24"/>
          <w:lang w:val="en-NG"/>
        </w:rPr>
        <w:t>(</w:t>
      </w:r>
      <w:r w:rsidRPr="006D0D01">
        <w:rPr>
          <w:rFonts w:ascii="Times New Roman" w:hAnsi="Times New Roman" w:cs="Times New Roman"/>
          <w:sz w:val="24"/>
          <w:szCs w:val="24"/>
          <w:lang w:val="en-NG"/>
        </w:rPr>
        <w:t>2017)</w:t>
      </w:r>
      <w:r>
        <w:rPr>
          <w:rFonts w:ascii="Times New Roman" w:hAnsi="Times New Roman" w:cs="Times New Roman"/>
          <w:sz w:val="24"/>
          <w:szCs w:val="24"/>
          <w:lang w:val="en-NG"/>
        </w:rPr>
        <w:t xml:space="preserve"> explained that w</w:t>
      </w:r>
      <w:r w:rsidRPr="006D0D01">
        <w:rPr>
          <w:rFonts w:ascii="Times New Roman" w:hAnsi="Times New Roman" w:cs="Times New Roman"/>
          <w:sz w:val="24"/>
          <w:szCs w:val="24"/>
          <w:lang w:val="en-NG"/>
        </w:rPr>
        <w:t xml:space="preserve">eb visibility encompasses the degree to which a scholar's work is discoverable, </w:t>
      </w:r>
      <w:r w:rsidRPr="006D0D01">
        <w:rPr>
          <w:rFonts w:ascii="Times New Roman" w:hAnsi="Times New Roman" w:cs="Times New Roman"/>
          <w:sz w:val="24"/>
          <w:szCs w:val="24"/>
          <w:lang w:val="en-NG"/>
        </w:rPr>
        <w:lastRenderedPageBreak/>
        <w:t>accessible, and engaging within online academic spaces. Sophisticated tools such as Google Scholar, ResearchGate, Academia.edu, and institutional repositories have been demonstrated to contribute significantly to increasing both the visibility and citation impact of scholarly publications</w:t>
      </w:r>
      <w:r>
        <w:rPr>
          <w:rFonts w:ascii="Times New Roman" w:hAnsi="Times New Roman" w:cs="Times New Roman"/>
          <w:sz w:val="24"/>
          <w:szCs w:val="24"/>
          <w:lang w:val="en-NG"/>
        </w:rPr>
        <w:t xml:space="preserve">. </w:t>
      </w:r>
      <w:r w:rsidRPr="006D0D01">
        <w:rPr>
          <w:rFonts w:ascii="Times New Roman" w:hAnsi="Times New Roman" w:cs="Times New Roman"/>
          <w:sz w:val="24"/>
          <w:szCs w:val="24"/>
          <w:lang w:val="en-NG"/>
        </w:rPr>
        <w:t xml:space="preserve">Empirical evidence strongly supports the correlation between digital visibility and academic impact. Rowlands and Nicholas (2005) documented that researchers who strategically utilized open access repositories experienced substantial increases in both download rates and citation frequencies compared to their peers who relied exclusively on traditional publishing channels. Similarly, Erfanmanesh et al., </w:t>
      </w:r>
      <w:r>
        <w:rPr>
          <w:rFonts w:ascii="Times New Roman" w:hAnsi="Times New Roman" w:cs="Times New Roman"/>
          <w:sz w:val="24"/>
          <w:szCs w:val="24"/>
          <w:lang w:val="en-NG"/>
        </w:rPr>
        <w:t>(</w:t>
      </w:r>
      <w:r w:rsidRPr="006D0D01">
        <w:rPr>
          <w:rFonts w:ascii="Times New Roman" w:hAnsi="Times New Roman" w:cs="Times New Roman"/>
          <w:sz w:val="24"/>
          <w:szCs w:val="24"/>
          <w:lang w:val="en-NG"/>
        </w:rPr>
        <w:t>20</w:t>
      </w:r>
      <w:r w:rsidR="009B19CD">
        <w:rPr>
          <w:rFonts w:ascii="Times New Roman" w:hAnsi="Times New Roman" w:cs="Times New Roman"/>
          <w:sz w:val="24"/>
          <w:szCs w:val="24"/>
          <w:lang w:val="en-NG"/>
        </w:rPr>
        <w:t>2</w:t>
      </w:r>
      <w:r w:rsidRPr="006D0D01">
        <w:rPr>
          <w:rFonts w:ascii="Times New Roman" w:hAnsi="Times New Roman" w:cs="Times New Roman"/>
          <w:sz w:val="24"/>
          <w:szCs w:val="24"/>
          <w:lang w:val="en-NG"/>
        </w:rPr>
        <w:t>2</w:t>
      </w:r>
      <w:r>
        <w:rPr>
          <w:rFonts w:ascii="Times New Roman" w:hAnsi="Times New Roman" w:cs="Times New Roman"/>
          <w:sz w:val="24"/>
          <w:szCs w:val="24"/>
          <w:lang w:val="en-NG"/>
        </w:rPr>
        <w:t xml:space="preserve">) found that </w:t>
      </w:r>
      <w:r w:rsidRPr="006D0D01">
        <w:rPr>
          <w:rFonts w:ascii="Times New Roman" w:hAnsi="Times New Roman" w:cs="Times New Roman"/>
          <w:sz w:val="24"/>
          <w:szCs w:val="24"/>
          <w:lang w:val="en-NG"/>
        </w:rPr>
        <w:t>more recent studies have shown that scholars who maintain active profiles on academic social networks and contribute to institutional repositories achieve measurably higher h-indices and broader international collaboration networks.</w:t>
      </w:r>
    </w:p>
    <w:p w14:paraId="4238BF04" w14:textId="23D633F2" w:rsidR="00E5256B" w:rsidRPr="006D0D01" w:rsidRDefault="00E5256B" w:rsidP="00602402">
      <w:pPr>
        <w:ind w:firstLine="720"/>
        <w:jc w:val="both"/>
        <w:rPr>
          <w:rFonts w:ascii="Times New Roman" w:hAnsi="Times New Roman" w:cs="Times New Roman"/>
          <w:sz w:val="24"/>
          <w:szCs w:val="24"/>
          <w:lang w:val="en-NG"/>
        </w:rPr>
      </w:pPr>
      <w:r>
        <w:rPr>
          <w:rFonts w:ascii="Times New Roman" w:hAnsi="Times New Roman" w:cs="Times New Roman"/>
          <w:sz w:val="24"/>
          <w:szCs w:val="24"/>
          <w:lang w:val="en-NG"/>
        </w:rPr>
        <w:t xml:space="preserve">On the contrary, </w:t>
      </w:r>
      <w:r w:rsidRPr="006D0D01">
        <w:rPr>
          <w:rFonts w:ascii="Times New Roman" w:hAnsi="Times New Roman" w:cs="Times New Roman"/>
          <w:sz w:val="24"/>
          <w:szCs w:val="24"/>
          <w:lang w:val="en-NG"/>
        </w:rPr>
        <w:t>Rodrigues</w:t>
      </w:r>
      <w:r w:rsidR="005A64B1">
        <w:rPr>
          <w:rFonts w:ascii="Times New Roman" w:hAnsi="Times New Roman" w:cs="Times New Roman"/>
          <w:sz w:val="24"/>
          <w:szCs w:val="24"/>
          <w:lang w:val="en-NG"/>
        </w:rPr>
        <w:t xml:space="preserve"> and Gallardo</w:t>
      </w:r>
      <w:r w:rsidRPr="006D0D01">
        <w:rPr>
          <w:rFonts w:ascii="Times New Roman" w:hAnsi="Times New Roman" w:cs="Times New Roman"/>
          <w:sz w:val="24"/>
          <w:szCs w:val="24"/>
          <w:lang w:val="en-NG"/>
        </w:rPr>
        <w:t xml:space="preserve"> </w:t>
      </w:r>
      <w:r>
        <w:rPr>
          <w:rFonts w:ascii="Times New Roman" w:hAnsi="Times New Roman" w:cs="Times New Roman"/>
          <w:sz w:val="24"/>
          <w:szCs w:val="24"/>
          <w:lang w:val="en-NG"/>
        </w:rPr>
        <w:t>(</w:t>
      </w:r>
      <w:r w:rsidRPr="006D0D01">
        <w:rPr>
          <w:rFonts w:ascii="Times New Roman" w:hAnsi="Times New Roman" w:cs="Times New Roman"/>
          <w:sz w:val="24"/>
          <w:szCs w:val="24"/>
          <w:lang w:val="en-NG"/>
        </w:rPr>
        <w:t>20</w:t>
      </w:r>
      <w:r w:rsidR="005A64B1">
        <w:rPr>
          <w:rFonts w:ascii="Times New Roman" w:hAnsi="Times New Roman" w:cs="Times New Roman"/>
          <w:sz w:val="24"/>
          <w:szCs w:val="24"/>
          <w:lang w:val="en-NG"/>
        </w:rPr>
        <w:t>18</w:t>
      </w:r>
      <w:r w:rsidRPr="006D0D01">
        <w:rPr>
          <w:rFonts w:ascii="Times New Roman" w:hAnsi="Times New Roman" w:cs="Times New Roman"/>
          <w:sz w:val="24"/>
          <w:szCs w:val="24"/>
          <w:lang w:val="en-NG"/>
        </w:rPr>
        <w:t>)</w:t>
      </w:r>
      <w:r>
        <w:rPr>
          <w:rFonts w:ascii="Times New Roman" w:hAnsi="Times New Roman" w:cs="Times New Roman"/>
          <w:sz w:val="24"/>
          <w:szCs w:val="24"/>
          <w:lang w:val="en-NG"/>
        </w:rPr>
        <w:t xml:space="preserve"> argued that</w:t>
      </w:r>
      <w:r w:rsidRPr="006D0D01">
        <w:rPr>
          <w:rFonts w:ascii="Times New Roman" w:hAnsi="Times New Roman" w:cs="Times New Roman"/>
          <w:sz w:val="24"/>
          <w:szCs w:val="24"/>
          <w:lang w:val="en-NG"/>
        </w:rPr>
        <w:t xml:space="preserve"> in developing countries, achieving meaningful web visibility remains a significant challenge due to persistent digital literacy gaps, infrastructural constraints, and limited access to high-quality internet connectivity. These challenges are particularly pronounced for LIS academics, who, as custodians and advocates of information access principles, are expected to model best practices in scholarly communication yet often find themselves constrained by the same systemic barriers that affect their broader academic communities.</w:t>
      </w:r>
    </w:p>
    <w:p w14:paraId="1604CA28" w14:textId="77777777" w:rsidR="00E5256B" w:rsidRPr="00692D73" w:rsidRDefault="00E5256B" w:rsidP="00602402">
      <w:pPr>
        <w:ind w:firstLine="720"/>
        <w:jc w:val="both"/>
        <w:rPr>
          <w:rFonts w:ascii="Times New Roman" w:hAnsi="Times New Roman" w:cs="Times New Roman"/>
          <w:sz w:val="24"/>
          <w:szCs w:val="24"/>
          <w:lang w:val="en-NG"/>
        </w:rPr>
      </w:pPr>
      <w:r w:rsidRPr="006D0D01">
        <w:rPr>
          <w:rFonts w:ascii="Times New Roman" w:hAnsi="Times New Roman" w:cs="Times New Roman"/>
          <w:sz w:val="24"/>
          <w:szCs w:val="24"/>
          <w:lang w:val="en-NG"/>
        </w:rPr>
        <w:t>The role of institutions in facilitating awareness and promoting utilization of scholarly infrastructure cannot be overstated. Aguaded (2021) argues persuasively that universities must develop and implement comprehensive policies that actively promote the use of institutional repositories, encourage ORCID adoption, and incentivize open access publishing. Without clear institutional mandates, structured incentive systems, or supportive policy frameworks, individual academics may lack the motivation or institutional pressure necessary to prioritize engagement with digital scholarly tools.</w:t>
      </w:r>
      <w:r>
        <w:rPr>
          <w:rFonts w:ascii="Times New Roman" w:hAnsi="Times New Roman" w:cs="Times New Roman"/>
          <w:sz w:val="24"/>
          <w:szCs w:val="24"/>
          <w:lang w:val="en-NG"/>
        </w:rPr>
        <w:t xml:space="preserve"> </w:t>
      </w:r>
      <w:r w:rsidRPr="006D0D01">
        <w:rPr>
          <w:rFonts w:ascii="Times New Roman" w:hAnsi="Times New Roman" w:cs="Times New Roman"/>
          <w:sz w:val="24"/>
          <w:szCs w:val="24"/>
          <w:lang w:val="en-NG"/>
        </w:rPr>
        <w:t>The importance of systematic institutional support is further emphasized by Mingle et al. (2020), who advocate for the implementation of comprehensive training programs and sustained awareness campaigns, particularly in regions where the digital divide continues to impede academic progress. Their research demonstrates that well-designed training interventions and workshops can significantly improve digital literacy levels and enhance awareness of available platforms, leading to measurably increased adoption rates</w:t>
      </w:r>
      <w:r>
        <w:rPr>
          <w:rFonts w:ascii="Times New Roman" w:hAnsi="Times New Roman" w:cs="Times New Roman"/>
          <w:sz w:val="24"/>
          <w:szCs w:val="24"/>
          <w:lang w:val="en-NG"/>
        </w:rPr>
        <w:t xml:space="preserve">. </w:t>
      </w:r>
      <w:r w:rsidRPr="006D0D01">
        <w:rPr>
          <w:rFonts w:ascii="Times New Roman" w:hAnsi="Times New Roman" w:cs="Times New Roman"/>
          <w:sz w:val="24"/>
          <w:szCs w:val="24"/>
          <w:lang w:val="en-NG"/>
        </w:rPr>
        <w:t xml:space="preserve">Tenopir et al., </w:t>
      </w:r>
      <w:r>
        <w:rPr>
          <w:rFonts w:ascii="Times New Roman" w:hAnsi="Times New Roman" w:cs="Times New Roman"/>
          <w:sz w:val="24"/>
          <w:szCs w:val="24"/>
          <w:lang w:val="en-NG"/>
        </w:rPr>
        <w:t>(</w:t>
      </w:r>
      <w:r w:rsidRPr="006D0D01">
        <w:rPr>
          <w:rFonts w:ascii="Times New Roman" w:hAnsi="Times New Roman" w:cs="Times New Roman"/>
          <w:sz w:val="24"/>
          <w:szCs w:val="24"/>
          <w:lang w:val="en-NG"/>
        </w:rPr>
        <w:t>2015)</w:t>
      </w:r>
      <w:r>
        <w:rPr>
          <w:rFonts w:ascii="Times New Roman" w:hAnsi="Times New Roman" w:cs="Times New Roman"/>
          <w:sz w:val="24"/>
          <w:szCs w:val="24"/>
          <w:lang w:val="en-NG"/>
        </w:rPr>
        <w:t xml:space="preserve"> f</w:t>
      </w:r>
      <w:r w:rsidRPr="006D0D01">
        <w:rPr>
          <w:rFonts w:ascii="Times New Roman" w:hAnsi="Times New Roman" w:cs="Times New Roman"/>
          <w:sz w:val="24"/>
          <w:szCs w:val="24"/>
          <w:lang w:val="en-NG"/>
        </w:rPr>
        <w:t>urther</w:t>
      </w:r>
      <w:r>
        <w:rPr>
          <w:rFonts w:ascii="Times New Roman" w:hAnsi="Times New Roman" w:cs="Times New Roman"/>
          <w:sz w:val="24"/>
          <w:szCs w:val="24"/>
          <w:lang w:val="en-NG"/>
        </w:rPr>
        <w:t xml:space="preserve"> explained that</w:t>
      </w:r>
      <w:r w:rsidRPr="006D0D01">
        <w:rPr>
          <w:rFonts w:ascii="Times New Roman" w:hAnsi="Times New Roman" w:cs="Times New Roman"/>
          <w:sz w:val="24"/>
          <w:szCs w:val="24"/>
          <w:lang w:val="en-NG"/>
        </w:rPr>
        <w:t xml:space="preserve"> the establishment of mentoring systems within academic departments and libraries has shown particular promise in helping junior scholars navigate the complex landscape of digital scholarly tools and develop effective strategies for maximizing their academic visibility and impact. These mentoring relationships not only facilitate technical skill development but also help to create sustainable cultures of digital scholarship that can persist beyond individual training interventions.</w:t>
      </w:r>
    </w:p>
    <w:p w14:paraId="2B700FC9" w14:textId="07951AB2" w:rsidR="00405C88" w:rsidRPr="00DF4208" w:rsidRDefault="00DF4208" w:rsidP="00602402">
      <w:pPr>
        <w:rPr>
          <w:rFonts w:ascii="Times New Roman" w:hAnsi="Times New Roman" w:cs="Times New Roman"/>
          <w:b/>
          <w:bCs/>
          <w:sz w:val="24"/>
          <w:szCs w:val="24"/>
        </w:rPr>
      </w:pPr>
      <w:r w:rsidRPr="00DF4208">
        <w:rPr>
          <w:rFonts w:ascii="Times New Roman" w:hAnsi="Times New Roman" w:cs="Times New Roman"/>
          <w:b/>
          <w:bCs/>
          <w:sz w:val="24"/>
          <w:szCs w:val="24"/>
        </w:rPr>
        <w:t>Conceptual Framework</w:t>
      </w:r>
    </w:p>
    <w:p w14:paraId="1B725F6B" w14:textId="58BF7676" w:rsidR="00DF4208" w:rsidRPr="00DF4208" w:rsidRDefault="00DF4208" w:rsidP="00602402">
      <w:pPr>
        <w:spacing w:after="0"/>
        <w:ind w:firstLine="720"/>
        <w:jc w:val="both"/>
        <w:rPr>
          <w:rFonts w:ascii="Times New Roman" w:hAnsi="Times New Roman" w:cs="Times New Roman"/>
          <w:sz w:val="24"/>
          <w:szCs w:val="24"/>
        </w:rPr>
      </w:pPr>
      <w:r w:rsidRPr="00DF4208">
        <w:rPr>
          <w:rFonts w:ascii="Times New Roman" w:hAnsi="Times New Roman" w:cs="Times New Roman"/>
          <w:sz w:val="24"/>
          <w:szCs w:val="24"/>
        </w:rPr>
        <w:t xml:space="preserve">The conceptual framework for this study is anchored on the premise that scholarly infrastructure plays a role in enhancing the global visibility of research outputs. In the context of Library and Information Science (LIS) academics, scholarly infrastructure includes institutional repositories, open-access platforms, digital identifiers (e.g., ORCID), academic social networks (e.g., ResearchGate, Academia.edu), citation indexing services (e.g., Google Scholar, Scopus), and </w:t>
      </w:r>
      <w:r w:rsidRPr="00DF4208">
        <w:rPr>
          <w:rFonts w:ascii="Times New Roman" w:hAnsi="Times New Roman" w:cs="Times New Roman"/>
          <w:sz w:val="24"/>
          <w:szCs w:val="24"/>
        </w:rPr>
        <w:lastRenderedPageBreak/>
        <w:t>other digital tools that support scholarly communication and dissemination.</w:t>
      </w:r>
      <w:r>
        <w:rPr>
          <w:rFonts w:ascii="Times New Roman" w:hAnsi="Times New Roman" w:cs="Times New Roman"/>
          <w:sz w:val="24"/>
          <w:szCs w:val="24"/>
        </w:rPr>
        <w:t xml:space="preserve"> </w:t>
      </w:r>
      <w:r w:rsidRPr="00DF4208">
        <w:rPr>
          <w:rFonts w:ascii="Times New Roman" w:hAnsi="Times New Roman" w:cs="Times New Roman"/>
          <w:sz w:val="24"/>
          <w:szCs w:val="24"/>
        </w:rPr>
        <w:t xml:space="preserve">This framework conceptualizes three core variables namely; awareness of scholarly infrastructure, utilization of scholarly infrastructure and web visibility of </w:t>
      </w:r>
      <w:r>
        <w:rPr>
          <w:rFonts w:ascii="Times New Roman" w:hAnsi="Times New Roman" w:cs="Times New Roman"/>
          <w:sz w:val="24"/>
          <w:szCs w:val="24"/>
        </w:rPr>
        <w:t>research</w:t>
      </w:r>
      <w:r w:rsidRPr="00DF4208">
        <w:rPr>
          <w:rFonts w:ascii="Times New Roman" w:hAnsi="Times New Roman" w:cs="Times New Roman"/>
          <w:sz w:val="24"/>
          <w:szCs w:val="24"/>
        </w:rPr>
        <w:t xml:space="preserve"> </w:t>
      </w:r>
      <w:r>
        <w:rPr>
          <w:rFonts w:ascii="Times New Roman" w:hAnsi="Times New Roman" w:cs="Times New Roman"/>
          <w:sz w:val="24"/>
          <w:szCs w:val="24"/>
        </w:rPr>
        <w:t>outputs</w:t>
      </w:r>
      <w:r w:rsidRPr="00DF4208">
        <w:rPr>
          <w:rFonts w:ascii="Times New Roman" w:hAnsi="Times New Roman" w:cs="Times New Roman"/>
          <w:sz w:val="24"/>
          <w:szCs w:val="24"/>
        </w:rPr>
        <w:t>.</w:t>
      </w:r>
    </w:p>
    <w:p w14:paraId="34A25BAC" w14:textId="4149037F" w:rsidR="00DF4208" w:rsidRDefault="00DF4208" w:rsidP="00602402">
      <w:pPr>
        <w:spacing w:after="0"/>
        <w:ind w:firstLine="720"/>
        <w:jc w:val="both"/>
        <w:rPr>
          <w:rFonts w:ascii="Times New Roman" w:hAnsi="Times New Roman" w:cs="Times New Roman"/>
          <w:sz w:val="24"/>
          <w:szCs w:val="24"/>
        </w:rPr>
      </w:pPr>
      <w:r w:rsidRPr="00DF4208">
        <w:rPr>
          <w:rFonts w:ascii="Times New Roman" w:hAnsi="Times New Roman" w:cs="Times New Roman"/>
          <w:sz w:val="24"/>
          <w:szCs w:val="24"/>
        </w:rPr>
        <w:t>Awareness refers to the degree to which LIS academics are informed about the existence, purpose, and functionality of scholarly infrastructure. It is influenced by factors such as training programs, peer influence, institutional policies, and exposure through academic forums. Awareness is critical as it often precedes the actual adoption or usage of the infrastructure. Utilization encompasses the frequency and depth of engagement with available scholarly infrastructure. This includes activities like uploading research to institutional repositories, maintaining ORCID profiles, publishing in open-access platforms, and participating in citation tracking services. Utilization is influenced by digital literacy, institutional support, infrastructure availability, and perceived benefits. Web visibility refers to the degree to which an academic’s research output is accessible, discoverable, and cited online. High web visibility can lead to increased citations, collaborations, academic reputation, and professional opportunities. Visibility is assumed to be enhanced by effective utilization of scholarly infrastructure.</w:t>
      </w:r>
    </w:p>
    <w:p w14:paraId="1819626D" w14:textId="6456C0A4" w:rsidR="00654F94" w:rsidRDefault="00A76772" w:rsidP="00602402">
      <w:pPr>
        <w:ind w:firstLine="720"/>
        <w:jc w:val="both"/>
        <w:rPr>
          <w:rFonts w:ascii="Times New Roman" w:hAnsi="Times New Roman" w:cs="Times New Roman"/>
          <w:sz w:val="24"/>
          <w:szCs w:val="24"/>
          <w:lang w:val="en-NG"/>
        </w:rPr>
      </w:pPr>
      <w:r>
        <w:rPr>
          <w:rFonts w:ascii="Times New Roman" w:hAnsi="Times New Roman" w:cs="Times New Roman"/>
          <w:sz w:val="24"/>
          <w:szCs w:val="24"/>
          <w:lang w:val="en-NG"/>
        </w:rPr>
        <w:t>The i</w:t>
      </w:r>
      <w:r w:rsidRPr="00CC1977">
        <w:rPr>
          <w:rFonts w:ascii="Times New Roman" w:hAnsi="Times New Roman" w:cs="Times New Roman"/>
          <w:sz w:val="24"/>
          <w:szCs w:val="24"/>
          <w:lang w:val="en-NG"/>
        </w:rPr>
        <w:t>nterrelationships in the Framework</w:t>
      </w:r>
      <w:r>
        <w:rPr>
          <w:rFonts w:ascii="Times New Roman" w:hAnsi="Times New Roman" w:cs="Times New Roman"/>
          <w:sz w:val="24"/>
          <w:szCs w:val="24"/>
          <w:lang w:val="en-NG"/>
        </w:rPr>
        <w:t xml:space="preserve"> </w:t>
      </w:r>
      <w:r w:rsidR="0051199C">
        <w:rPr>
          <w:rFonts w:ascii="Times New Roman" w:hAnsi="Times New Roman" w:cs="Times New Roman"/>
          <w:sz w:val="24"/>
          <w:szCs w:val="24"/>
          <w:lang w:val="en-NG"/>
        </w:rPr>
        <w:t>are</w:t>
      </w:r>
      <w:r>
        <w:rPr>
          <w:rFonts w:ascii="Times New Roman" w:hAnsi="Times New Roman" w:cs="Times New Roman"/>
          <w:sz w:val="24"/>
          <w:szCs w:val="24"/>
          <w:lang w:val="en-NG"/>
        </w:rPr>
        <w:t xml:space="preserve"> that a</w:t>
      </w:r>
      <w:r w:rsidRPr="00CC1977">
        <w:rPr>
          <w:rFonts w:ascii="Times New Roman" w:hAnsi="Times New Roman" w:cs="Times New Roman"/>
          <w:sz w:val="24"/>
          <w:szCs w:val="24"/>
          <w:lang w:val="en-NG"/>
        </w:rPr>
        <w:t>wareness</w:t>
      </w:r>
      <w:r w:rsidRPr="00657DC7">
        <w:rPr>
          <w:rFonts w:ascii="Times New Roman" w:hAnsi="Times New Roman" w:cs="Times New Roman"/>
          <w:sz w:val="24"/>
          <w:szCs w:val="24"/>
          <w:lang w:val="en-NG"/>
        </w:rPr>
        <w:t xml:space="preserve"> is assumed to be a </w:t>
      </w:r>
      <w:r w:rsidRPr="00CC1977">
        <w:rPr>
          <w:rFonts w:ascii="Times New Roman" w:hAnsi="Times New Roman" w:cs="Times New Roman"/>
          <w:sz w:val="24"/>
          <w:szCs w:val="24"/>
          <w:lang w:val="en-NG"/>
        </w:rPr>
        <w:t>precursor</w:t>
      </w:r>
      <w:r w:rsidRPr="00657DC7">
        <w:rPr>
          <w:rFonts w:ascii="Times New Roman" w:hAnsi="Times New Roman" w:cs="Times New Roman"/>
          <w:sz w:val="24"/>
          <w:szCs w:val="24"/>
          <w:lang w:val="en-NG"/>
        </w:rPr>
        <w:t xml:space="preserve"> to </w:t>
      </w:r>
      <w:r w:rsidRPr="00CC1977">
        <w:rPr>
          <w:rFonts w:ascii="Times New Roman" w:hAnsi="Times New Roman" w:cs="Times New Roman"/>
          <w:sz w:val="24"/>
          <w:szCs w:val="24"/>
          <w:lang w:val="en-NG"/>
        </w:rPr>
        <w:t>utilization</w:t>
      </w:r>
      <w:r w:rsidRPr="00657DC7">
        <w:rPr>
          <w:rFonts w:ascii="Times New Roman" w:hAnsi="Times New Roman" w:cs="Times New Roman"/>
          <w:sz w:val="24"/>
          <w:szCs w:val="24"/>
          <w:lang w:val="en-NG"/>
        </w:rPr>
        <w:t>. Academics are unlikely to engage with tools they are unaware of.</w:t>
      </w:r>
      <w:r>
        <w:rPr>
          <w:rFonts w:ascii="Times New Roman" w:hAnsi="Times New Roman" w:cs="Times New Roman"/>
          <w:sz w:val="24"/>
          <w:szCs w:val="24"/>
          <w:lang w:val="en-NG"/>
        </w:rPr>
        <w:t xml:space="preserve"> N the other hand, </w:t>
      </w:r>
      <w:r w:rsidRPr="00CC1977">
        <w:rPr>
          <w:rFonts w:ascii="Times New Roman" w:hAnsi="Times New Roman" w:cs="Times New Roman"/>
          <w:sz w:val="24"/>
          <w:szCs w:val="24"/>
          <w:lang w:val="en-NG"/>
        </w:rPr>
        <w:t>Utilization</w:t>
      </w:r>
      <w:r w:rsidRPr="00657DC7">
        <w:rPr>
          <w:rFonts w:ascii="Times New Roman" w:hAnsi="Times New Roman" w:cs="Times New Roman"/>
          <w:sz w:val="24"/>
          <w:szCs w:val="24"/>
          <w:lang w:val="en-NG"/>
        </w:rPr>
        <w:t xml:space="preserve"> is posited as the </w:t>
      </w:r>
      <w:r w:rsidRPr="00CC1977">
        <w:rPr>
          <w:rFonts w:ascii="Times New Roman" w:hAnsi="Times New Roman" w:cs="Times New Roman"/>
          <w:sz w:val="24"/>
          <w:szCs w:val="24"/>
          <w:lang w:val="en-NG"/>
        </w:rPr>
        <w:t>direct</w:t>
      </w:r>
      <w:r w:rsidRPr="00657DC7">
        <w:rPr>
          <w:rFonts w:ascii="Times New Roman" w:hAnsi="Times New Roman" w:cs="Times New Roman"/>
          <w:b/>
          <w:bCs/>
          <w:sz w:val="24"/>
          <w:szCs w:val="24"/>
          <w:lang w:val="en-NG"/>
        </w:rPr>
        <w:t xml:space="preserve"> </w:t>
      </w:r>
      <w:r w:rsidRPr="00CC1977">
        <w:rPr>
          <w:rFonts w:ascii="Times New Roman" w:hAnsi="Times New Roman" w:cs="Times New Roman"/>
          <w:sz w:val="24"/>
          <w:szCs w:val="24"/>
          <w:lang w:val="en-NG"/>
        </w:rPr>
        <w:t>influencer</w:t>
      </w:r>
      <w:r w:rsidRPr="00657DC7">
        <w:rPr>
          <w:rFonts w:ascii="Times New Roman" w:hAnsi="Times New Roman" w:cs="Times New Roman"/>
          <w:sz w:val="24"/>
          <w:szCs w:val="24"/>
          <w:lang w:val="en-NG"/>
        </w:rPr>
        <w:t xml:space="preserve"> of </w:t>
      </w:r>
      <w:r w:rsidRPr="00CC1977">
        <w:rPr>
          <w:rFonts w:ascii="Times New Roman" w:hAnsi="Times New Roman" w:cs="Times New Roman"/>
          <w:sz w:val="24"/>
          <w:szCs w:val="24"/>
          <w:lang w:val="en-NG"/>
        </w:rPr>
        <w:t>web</w:t>
      </w:r>
      <w:r w:rsidRPr="00657DC7">
        <w:rPr>
          <w:rFonts w:ascii="Times New Roman" w:hAnsi="Times New Roman" w:cs="Times New Roman"/>
          <w:b/>
          <w:bCs/>
          <w:sz w:val="24"/>
          <w:szCs w:val="24"/>
          <w:lang w:val="en-NG"/>
        </w:rPr>
        <w:t xml:space="preserve"> </w:t>
      </w:r>
      <w:r w:rsidRPr="00CC1977">
        <w:rPr>
          <w:rFonts w:ascii="Times New Roman" w:hAnsi="Times New Roman" w:cs="Times New Roman"/>
          <w:sz w:val="24"/>
          <w:szCs w:val="24"/>
          <w:lang w:val="en-NG"/>
        </w:rPr>
        <w:t>visibility</w:t>
      </w:r>
      <w:r w:rsidRPr="00657DC7">
        <w:rPr>
          <w:rFonts w:ascii="Times New Roman" w:hAnsi="Times New Roman" w:cs="Times New Roman"/>
          <w:sz w:val="24"/>
          <w:szCs w:val="24"/>
          <w:lang w:val="en-NG"/>
        </w:rPr>
        <w:t>. Effective and consistent use of scholarly infrastructure increases the discoverability of academic work online.</w:t>
      </w:r>
      <w:r>
        <w:rPr>
          <w:rFonts w:ascii="Times New Roman" w:hAnsi="Times New Roman" w:cs="Times New Roman"/>
          <w:sz w:val="24"/>
          <w:szCs w:val="24"/>
          <w:lang w:val="en-NG"/>
        </w:rPr>
        <w:t xml:space="preserve"> </w:t>
      </w:r>
      <w:r w:rsidRPr="00657DC7">
        <w:rPr>
          <w:rFonts w:ascii="Times New Roman" w:hAnsi="Times New Roman" w:cs="Times New Roman"/>
          <w:sz w:val="24"/>
          <w:szCs w:val="24"/>
          <w:lang w:val="en-NG"/>
        </w:rPr>
        <w:t xml:space="preserve">Additionally, </w:t>
      </w:r>
      <w:r w:rsidRPr="00CC1977">
        <w:rPr>
          <w:rFonts w:ascii="Times New Roman" w:hAnsi="Times New Roman" w:cs="Times New Roman"/>
          <w:sz w:val="24"/>
          <w:szCs w:val="24"/>
          <w:lang w:val="en-NG"/>
        </w:rPr>
        <w:t>contextual</w:t>
      </w:r>
      <w:r w:rsidRPr="00657DC7">
        <w:rPr>
          <w:rFonts w:ascii="Times New Roman" w:hAnsi="Times New Roman" w:cs="Times New Roman"/>
          <w:b/>
          <w:bCs/>
          <w:sz w:val="24"/>
          <w:szCs w:val="24"/>
          <w:lang w:val="en-NG"/>
        </w:rPr>
        <w:t xml:space="preserve"> </w:t>
      </w:r>
      <w:r w:rsidRPr="00CC1977">
        <w:rPr>
          <w:rFonts w:ascii="Times New Roman" w:hAnsi="Times New Roman" w:cs="Times New Roman"/>
          <w:sz w:val="24"/>
          <w:szCs w:val="24"/>
          <w:lang w:val="en-NG"/>
        </w:rPr>
        <w:t>factors</w:t>
      </w:r>
      <w:r w:rsidRPr="00657DC7">
        <w:rPr>
          <w:rFonts w:ascii="Times New Roman" w:hAnsi="Times New Roman" w:cs="Times New Roman"/>
          <w:sz w:val="24"/>
          <w:szCs w:val="24"/>
          <w:lang w:val="en-NG"/>
        </w:rPr>
        <w:t xml:space="preserve"> such as academic rank, years of experience, access to ICT infrastructure, and institutional policies may moderate the relationships between these variables.</w:t>
      </w:r>
      <w:r w:rsidR="00654F94">
        <w:rPr>
          <w:rFonts w:ascii="Times New Roman" w:hAnsi="Times New Roman" w:cs="Times New Roman"/>
          <w:sz w:val="24"/>
          <w:szCs w:val="24"/>
          <w:lang w:val="en-NG"/>
        </w:rPr>
        <w:t xml:space="preserve"> </w:t>
      </w:r>
      <w:r w:rsidR="00654F94" w:rsidRPr="00657DC7">
        <w:rPr>
          <w:rFonts w:ascii="Times New Roman" w:hAnsi="Times New Roman" w:cs="Times New Roman"/>
          <w:sz w:val="24"/>
          <w:szCs w:val="24"/>
          <w:lang w:val="en-NG"/>
        </w:rPr>
        <w:t xml:space="preserve">This framework is guided by the </w:t>
      </w:r>
      <w:r w:rsidR="00654F94" w:rsidRPr="00095425">
        <w:rPr>
          <w:rFonts w:ascii="Times New Roman" w:hAnsi="Times New Roman" w:cs="Times New Roman"/>
          <w:sz w:val="24"/>
          <w:szCs w:val="24"/>
          <w:lang w:val="en-NG"/>
        </w:rPr>
        <w:t>Technology Acceptance Model (TAM)</w:t>
      </w:r>
      <w:r w:rsidR="00654F94" w:rsidRPr="00657DC7">
        <w:rPr>
          <w:rFonts w:ascii="Times New Roman" w:hAnsi="Times New Roman" w:cs="Times New Roman"/>
          <w:sz w:val="24"/>
          <w:szCs w:val="24"/>
          <w:lang w:val="en-NG"/>
        </w:rPr>
        <w:t>, which posits that users’ acceptance of technology is influenced by perceived usefulness and ease of use. In this study, the perceived usefulness of scholarly infrastructure and the ease of integrating them into academic workflows shape LIS scholars’ awareness and eventual utilization.</w:t>
      </w:r>
      <w:r w:rsidR="0051199C">
        <w:rPr>
          <w:rFonts w:ascii="Times New Roman" w:hAnsi="Times New Roman" w:cs="Times New Roman"/>
          <w:sz w:val="24"/>
          <w:szCs w:val="24"/>
          <w:lang w:val="en-NG"/>
        </w:rPr>
        <w:t xml:space="preserve"> The conceptual framework is depicted in figure 1 below:</w:t>
      </w:r>
    </w:p>
    <w:p w14:paraId="1E57DEA7" w14:textId="39755F2E" w:rsidR="0051199C" w:rsidRDefault="006154E9" w:rsidP="0051199C">
      <w:pPr>
        <w:jc w:val="center"/>
        <w:rPr>
          <w:rFonts w:ascii="Times New Roman" w:hAnsi="Times New Roman" w:cs="Times New Roman"/>
          <w:sz w:val="24"/>
          <w:szCs w:val="24"/>
          <w:lang w:val="en-NG"/>
        </w:rPr>
      </w:pPr>
      <w:r>
        <w:rPr>
          <w:rFonts w:ascii="Times New Roman" w:hAnsi="Times New Roman" w:cs="Times New Roman"/>
          <w:noProof/>
          <w:sz w:val="24"/>
          <w:szCs w:val="24"/>
          <w:lang w:val="en-NG"/>
        </w:rPr>
        <w:lastRenderedPageBreak/>
        <w:drawing>
          <wp:inline distT="0" distB="0" distL="0" distR="0" wp14:anchorId="66D13D6D" wp14:editId="6832F4BD">
            <wp:extent cx="3486150" cy="3931190"/>
            <wp:effectExtent l="0" t="0" r="0" b="0"/>
            <wp:docPr id="1345665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65186" name="Picture 1345665186"/>
                    <pic:cNvPicPr/>
                  </pic:nvPicPr>
                  <pic:blipFill>
                    <a:blip r:embed="rId8">
                      <a:extLst>
                        <a:ext uri="{28A0092B-C50C-407E-A947-70E740481C1C}">
                          <a14:useLocalDpi xmlns:a14="http://schemas.microsoft.com/office/drawing/2010/main" val="0"/>
                        </a:ext>
                      </a:extLst>
                    </a:blip>
                    <a:stretch>
                      <a:fillRect/>
                    </a:stretch>
                  </pic:blipFill>
                  <pic:spPr>
                    <a:xfrm>
                      <a:off x="0" y="0"/>
                      <a:ext cx="3495958" cy="3942251"/>
                    </a:xfrm>
                    <a:prstGeom prst="rect">
                      <a:avLst/>
                    </a:prstGeom>
                  </pic:spPr>
                </pic:pic>
              </a:graphicData>
            </a:graphic>
          </wp:inline>
        </w:drawing>
      </w:r>
    </w:p>
    <w:p w14:paraId="0EEBBBF7" w14:textId="25861FA6" w:rsidR="00CE2737" w:rsidRDefault="0051199C" w:rsidP="002D5806">
      <w:pPr>
        <w:jc w:val="center"/>
        <w:rPr>
          <w:rFonts w:ascii="Times New Roman" w:hAnsi="Times New Roman" w:cs="Times New Roman"/>
          <w:sz w:val="24"/>
          <w:szCs w:val="24"/>
          <w:lang w:val="en-NG"/>
        </w:rPr>
      </w:pPr>
      <w:r>
        <w:rPr>
          <w:rFonts w:ascii="Times New Roman" w:hAnsi="Times New Roman" w:cs="Times New Roman"/>
          <w:sz w:val="24"/>
          <w:szCs w:val="24"/>
          <w:lang w:val="en-NG"/>
        </w:rPr>
        <w:t>Fig</w:t>
      </w:r>
      <w:r w:rsidR="006154E9">
        <w:rPr>
          <w:rFonts w:ascii="Times New Roman" w:hAnsi="Times New Roman" w:cs="Times New Roman"/>
          <w:sz w:val="24"/>
          <w:szCs w:val="24"/>
          <w:lang w:val="en-NG"/>
        </w:rPr>
        <w:t>.</w:t>
      </w:r>
      <w:r>
        <w:rPr>
          <w:rFonts w:ascii="Times New Roman" w:hAnsi="Times New Roman" w:cs="Times New Roman"/>
          <w:sz w:val="24"/>
          <w:szCs w:val="24"/>
          <w:lang w:val="en-NG"/>
        </w:rPr>
        <w:t xml:space="preserve"> 1: </w:t>
      </w:r>
      <w:r w:rsidR="00D8680C">
        <w:rPr>
          <w:rFonts w:ascii="Times New Roman" w:hAnsi="Times New Roman" w:cs="Times New Roman"/>
          <w:sz w:val="24"/>
          <w:szCs w:val="24"/>
          <w:lang w:val="en-NG"/>
        </w:rPr>
        <w:t>Conceptual framework</w:t>
      </w:r>
      <w:r w:rsidR="006154E9">
        <w:rPr>
          <w:rFonts w:ascii="Times New Roman" w:hAnsi="Times New Roman" w:cs="Times New Roman"/>
          <w:sz w:val="24"/>
          <w:szCs w:val="24"/>
          <w:lang w:val="en-NG"/>
        </w:rPr>
        <w:t xml:space="preserve"> showing relationship: awareness, utilization and web visibility</w:t>
      </w:r>
    </w:p>
    <w:p w14:paraId="34F3E196" w14:textId="6085FA99" w:rsidR="00FE427E" w:rsidRPr="00681081" w:rsidRDefault="00CE2737" w:rsidP="00FE427E">
      <w:pPr>
        <w:rPr>
          <w:rFonts w:ascii="Times New Roman" w:hAnsi="Times New Roman" w:cs="Times New Roman"/>
          <w:b/>
          <w:bCs/>
          <w:sz w:val="24"/>
          <w:szCs w:val="24"/>
          <w:lang w:val="en-NG"/>
        </w:rPr>
      </w:pPr>
      <w:r w:rsidRPr="00681081">
        <w:rPr>
          <w:rFonts w:ascii="Times New Roman" w:hAnsi="Times New Roman" w:cs="Times New Roman"/>
          <w:b/>
          <w:bCs/>
          <w:sz w:val="24"/>
          <w:szCs w:val="24"/>
          <w:lang w:val="en-NG"/>
        </w:rPr>
        <w:t xml:space="preserve">Methodology </w:t>
      </w:r>
    </w:p>
    <w:p w14:paraId="1AEA7F6A" w14:textId="0E157785" w:rsidR="00A76772" w:rsidRPr="00657DC7" w:rsidRDefault="0000679D" w:rsidP="00602402">
      <w:pPr>
        <w:ind w:firstLine="720"/>
        <w:jc w:val="both"/>
        <w:rPr>
          <w:rFonts w:ascii="Times New Roman" w:hAnsi="Times New Roman" w:cs="Times New Roman"/>
          <w:sz w:val="24"/>
          <w:szCs w:val="24"/>
          <w:lang w:val="en-NG"/>
        </w:rPr>
      </w:pPr>
      <w:r w:rsidRPr="000C7EDF">
        <w:rPr>
          <w:rFonts w:ascii="Times New Roman" w:hAnsi="Times New Roman" w:cs="Times New Roman"/>
          <w:sz w:val="24"/>
          <w:szCs w:val="24"/>
          <w:lang w:val="en-NG"/>
        </w:rPr>
        <w:t>This study adopted a quantitative descriptive survey design</w:t>
      </w:r>
      <w:r w:rsidRPr="00596242">
        <w:rPr>
          <w:rFonts w:ascii="Times New Roman" w:hAnsi="Times New Roman" w:cs="Times New Roman"/>
          <w:sz w:val="24"/>
          <w:szCs w:val="24"/>
        </w:rPr>
        <w:t xml:space="preserve">. </w:t>
      </w:r>
      <w:r>
        <w:rPr>
          <w:rFonts w:ascii="Times New Roman" w:hAnsi="Times New Roman" w:cs="Times New Roman"/>
          <w:sz w:val="24"/>
          <w:szCs w:val="24"/>
        </w:rPr>
        <w:t>P</w:t>
      </w:r>
      <w:r w:rsidRPr="00596242">
        <w:rPr>
          <w:rFonts w:ascii="Times New Roman" w:hAnsi="Times New Roman" w:cs="Times New Roman"/>
          <w:sz w:val="24"/>
          <w:szCs w:val="24"/>
        </w:rPr>
        <w:t xml:space="preserve">urposive sampling method was used to select </w:t>
      </w:r>
      <w:r>
        <w:rPr>
          <w:rFonts w:ascii="Times New Roman" w:hAnsi="Times New Roman" w:cs="Times New Roman"/>
          <w:sz w:val="24"/>
          <w:szCs w:val="24"/>
        </w:rPr>
        <w:t>9</w:t>
      </w:r>
      <w:r w:rsidRPr="00596242">
        <w:rPr>
          <w:rFonts w:ascii="Times New Roman" w:hAnsi="Times New Roman" w:cs="Times New Roman"/>
          <w:sz w:val="24"/>
          <w:szCs w:val="24"/>
        </w:rPr>
        <w:t xml:space="preserve"> out of the 16 </w:t>
      </w:r>
      <w:r>
        <w:rPr>
          <w:rFonts w:ascii="Times New Roman" w:hAnsi="Times New Roman" w:cs="Times New Roman"/>
          <w:sz w:val="24"/>
          <w:szCs w:val="24"/>
        </w:rPr>
        <w:t>federal</w:t>
      </w:r>
      <w:r w:rsidRPr="00596242">
        <w:rPr>
          <w:rFonts w:ascii="Times New Roman" w:hAnsi="Times New Roman" w:cs="Times New Roman"/>
          <w:sz w:val="24"/>
          <w:szCs w:val="24"/>
        </w:rPr>
        <w:t xml:space="preserve"> universities in </w:t>
      </w:r>
      <w:r>
        <w:rPr>
          <w:rFonts w:ascii="Times New Roman" w:hAnsi="Times New Roman" w:cs="Times New Roman"/>
          <w:sz w:val="24"/>
          <w:szCs w:val="24"/>
        </w:rPr>
        <w:t>northern</w:t>
      </w:r>
      <w:r w:rsidRPr="00596242">
        <w:rPr>
          <w:rFonts w:ascii="Times New Roman" w:hAnsi="Times New Roman" w:cs="Times New Roman"/>
          <w:sz w:val="24"/>
          <w:szCs w:val="24"/>
        </w:rPr>
        <w:t xml:space="preserve"> Nigeria. All the </w:t>
      </w:r>
      <w:r>
        <w:rPr>
          <w:rFonts w:ascii="Times New Roman" w:hAnsi="Times New Roman" w:cs="Times New Roman"/>
          <w:sz w:val="24"/>
          <w:szCs w:val="24"/>
        </w:rPr>
        <w:t>LIS academics</w:t>
      </w:r>
      <w:r w:rsidRPr="00596242">
        <w:rPr>
          <w:rFonts w:ascii="Times New Roman" w:hAnsi="Times New Roman" w:cs="Times New Roman"/>
          <w:sz w:val="24"/>
          <w:szCs w:val="24"/>
        </w:rPr>
        <w:t xml:space="preserve"> in the selected </w:t>
      </w:r>
      <w:r>
        <w:rPr>
          <w:rFonts w:ascii="Times New Roman" w:hAnsi="Times New Roman" w:cs="Times New Roman"/>
          <w:sz w:val="24"/>
          <w:szCs w:val="24"/>
        </w:rPr>
        <w:t xml:space="preserve">federal </w:t>
      </w:r>
      <w:r w:rsidRPr="00596242">
        <w:rPr>
          <w:rFonts w:ascii="Times New Roman" w:hAnsi="Times New Roman" w:cs="Times New Roman"/>
          <w:sz w:val="24"/>
          <w:szCs w:val="24"/>
        </w:rPr>
        <w:t xml:space="preserve">universities were covered using total enumeration method. The purposive sampling method was adopted because the </w:t>
      </w:r>
      <w:r>
        <w:rPr>
          <w:rFonts w:ascii="Times New Roman" w:hAnsi="Times New Roman" w:cs="Times New Roman"/>
          <w:sz w:val="24"/>
          <w:szCs w:val="24"/>
        </w:rPr>
        <w:t>nine federal</w:t>
      </w:r>
      <w:r w:rsidRPr="00596242">
        <w:rPr>
          <w:rFonts w:ascii="Times New Roman" w:hAnsi="Times New Roman" w:cs="Times New Roman"/>
          <w:sz w:val="24"/>
          <w:szCs w:val="24"/>
        </w:rPr>
        <w:t xml:space="preserve"> universities </w:t>
      </w:r>
      <w:r w:rsidRPr="000C7EDF">
        <w:rPr>
          <w:rFonts w:ascii="Times New Roman" w:hAnsi="Times New Roman" w:cs="Times New Roman"/>
          <w:sz w:val="24"/>
          <w:szCs w:val="24"/>
          <w:lang w:val="en-NG"/>
        </w:rPr>
        <w:t>had both academic libraries and LIS departments</w:t>
      </w:r>
      <w:r w:rsidRPr="00596242">
        <w:rPr>
          <w:rFonts w:ascii="Times New Roman" w:hAnsi="Times New Roman" w:cs="Times New Roman"/>
          <w:sz w:val="24"/>
          <w:szCs w:val="24"/>
        </w:rPr>
        <w:t xml:space="preserve">.  </w:t>
      </w:r>
      <w:r w:rsidRPr="000C7EDF">
        <w:rPr>
          <w:rFonts w:ascii="Times New Roman" w:hAnsi="Times New Roman" w:cs="Times New Roman"/>
          <w:sz w:val="24"/>
          <w:szCs w:val="24"/>
          <w:lang w:val="en-NG"/>
        </w:rPr>
        <w:t>A structured questionnaire using a 5-point Likert scale</w:t>
      </w:r>
      <w:r w:rsidRPr="00596242">
        <w:rPr>
          <w:rFonts w:ascii="Times New Roman" w:hAnsi="Times New Roman" w:cs="Times New Roman"/>
          <w:sz w:val="24"/>
          <w:szCs w:val="24"/>
        </w:rPr>
        <w:t xml:space="preserve"> was used to collect data from respondents. </w:t>
      </w:r>
      <w:r>
        <w:rPr>
          <w:rFonts w:ascii="Times New Roman" w:hAnsi="Times New Roman" w:cs="Times New Roman"/>
          <w:sz w:val="24"/>
          <w:szCs w:val="24"/>
        </w:rPr>
        <w:t>Four</w:t>
      </w:r>
      <w:r w:rsidRPr="00596242">
        <w:rPr>
          <w:rFonts w:ascii="Times New Roman" w:hAnsi="Times New Roman" w:cs="Times New Roman"/>
          <w:sz w:val="24"/>
          <w:szCs w:val="24"/>
        </w:rPr>
        <w:t xml:space="preserve"> hundred and </w:t>
      </w:r>
      <w:r>
        <w:rPr>
          <w:rFonts w:ascii="Times New Roman" w:hAnsi="Times New Roman" w:cs="Times New Roman"/>
          <w:sz w:val="24"/>
          <w:szCs w:val="24"/>
        </w:rPr>
        <w:t>fourteen</w:t>
      </w:r>
      <w:r w:rsidRPr="00596242">
        <w:rPr>
          <w:rFonts w:ascii="Times New Roman" w:hAnsi="Times New Roman" w:cs="Times New Roman"/>
          <w:sz w:val="24"/>
          <w:szCs w:val="24"/>
        </w:rPr>
        <w:t xml:space="preserve"> (</w:t>
      </w:r>
      <w:r>
        <w:rPr>
          <w:rFonts w:ascii="Times New Roman" w:hAnsi="Times New Roman" w:cs="Times New Roman"/>
          <w:sz w:val="24"/>
          <w:szCs w:val="24"/>
        </w:rPr>
        <w:t>414</w:t>
      </w:r>
      <w:r w:rsidRPr="00596242">
        <w:rPr>
          <w:rFonts w:ascii="Times New Roman" w:hAnsi="Times New Roman" w:cs="Times New Roman"/>
          <w:sz w:val="24"/>
          <w:szCs w:val="24"/>
        </w:rPr>
        <w:t xml:space="preserve">) copies of the questionnaire were administered, and </w:t>
      </w:r>
      <w:r>
        <w:rPr>
          <w:rFonts w:ascii="Times New Roman" w:hAnsi="Times New Roman" w:cs="Times New Roman"/>
          <w:sz w:val="24"/>
          <w:szCs w:val="24"/>
        </w:rPr>
        <w:t>three hundred and eleven (311)</w:t>
      </w:r>
      <w:r w:rsidRPr="00596242">
        <w:rPr>
          <w:rFonts w:ascii="Times New Roman" w:hAnsi="Times New Roman" w:cs="Times New Roman"/>
          <w:sz w:val="24"/>
          <w:szCs w:val="24"/>
        </w:rPr>
        <w:t xml:space="preserve"> were retrieved giving a response rate of </w:t>
      </w:r>
      <w:r>
        <w:rPr>
          <w:rFonts w:ascii="Times New Roman" w:hAnsi="Times New Roman" w:cs="Times New Roman"/>
          <w:sz w:val="24"/>
          <w:szCs w:val="24"/>
        </w:rPr>
        <w:t>74</w:t>
      </w:r>
      <w:r w:rsidRPr="00596242">
        <w:rPr>
          <w:rFonts w:ascii="Times New Roman" w:hAnsi="Times New Roman" w:cs="Times New Roman"/>
          <w:sz w:val="24"/>
          <w:szCs w:val="24"/>
        </w:rPr>
        <w:t>.</w:t>
      </w:r>
      <w:r>
        <w:rPr>
          <w:rFonts w:ascii="Times New Roman" w:hAnsi="Times New Roman" w:cs="Times New Roman"/>
          <w:sz w:val="24"/>
          <w:szCs w:val="24"/>
        </w:rPr>
        <w:t>9</w:t>
      </w:r>
      <w:r w:rsidRPr="00596242">
        <w:rPr>
          <w:rFonts w:ascii="Times New Roman" w:hAnsi="Times New Roman" w:cs="Times New Roman"/>
          <w:sz w:val="24"/>
          <w:szCs w:val="24"/>
        </w:rPr>
        <w:t xml:space="preserve">%. </w:t>
      </w:r>
      <w:r w:rsidRPr="000C7EDF">
        <w:rPr>
          <w:rFonts w:ascii="Times New Roman" w:hAnsi="Times New Roman" w:cs="Times New Roman"/>
          <w:sz w:val="24"/>
          <w:szCs w:val="24"/>
          <w:lang w:val="en-NG"/>
        </w:rPr>
        <w:t>Data were analyzed using SPSS software. Descriptive statistics (mean and standard deviation) were computed to assess general trends. One-way ANOVA tested institutional differences, and Pearson correlation examined relationships between variables</w:t>
      </w:r>
      <w:r w:rsidR="0002688E">
        <w:rPr>
          <w:rFonts w:ascii="Times New Roman" w:hAnsi="Times New Roman" w:cs="Times New Roman"/>
          <w:sz w:val="24"/>
          <w:szCs w:val="24"/>
          <w:lang w:val="en-NG"/>
        </w:rPr>
        <w:t xml:space="preserve">. </w:t>
      </w:r>
      <w:r w:rsidR="0002688E" w:rsidRPr="0002688E">
        <w:rPr>
          <w:rFonts w:ascii="Times New Roman" w:hAnsi="Times New Roman" w:cs="Times New Roman"/>
          <w:sz w:val="24"/>
          <w:szCs w:val="24"/>
          <w:lang w:val="en-NG"/>
        </w:rPr>
        <w:t>A mean score of 3.0 was used as a benchmark for the interpretation of data</w:t>
      </w:r>
      <w:r w:rsidR="0002688E">
        <w:rPr>
          <w:rFonts w:ascii="Times New Roman" w:hAnsi="Times New Roman" w:cs="Times New Roman"/>
          <w:sz w:val="24"/>
          <w:szCs w:val="24"/>
          <w:lang w:val="en-NG"/>
        </w:rPr>
        <w:t>.</w:t>
      </w:r>
    </w:p>
    <w:p w14:paraId="3B922D5C" w14:textId="77777777" w:rsidR="00252D72" w:rsidRPr="00681081" w:rsidRDefault="00252D72" w:rsidP="00681081">
      <w:pPr>
        <w:spacing w:after="0" w:line="240" w:lineRule="auto"/>
        <w:rPr>
          <w:rFonts w:ascii="Times New Roman" w:hAnsi="Times New Roman" w:cs="Times New Roman"/>
          <w:b/>
          <w:i/>
          <w:sz w:val="24"/>
          <w:szCs w:val="24"/>
        </w:rPr>
      </w:pPr>
      <w:r w:rsidRPr="00681081">
        <w:rPr>
          <w:rFonts w:ascii="Times New Roman" w:hAnsi="Times New Roman" w:cs="Times New Roman"/>
          <w:b/>
          <w:sz w:val="24"/>
          <w:szCs w:val="24"/>
        </w:rPr>
        <w:t>Table 1:  Questionnaire Administration and Response Rate</w:t>
      </w:r>
    </w:p>
    <w:tbl>
      <w:tblPr>
        <w:tblStyle w:val="TableGrid"/>
        <w:tblW w:w="0" w:type="auto"/>
        <w:tblLook w:val="04A0" w:firstRow="1" w:lastRow="0" w:firstColumn="1" w:lastColumn="0" w:noHBand="0" w:noVBand="1"/>
      </w:tblPr>
      <w:tblGrid>
        <w:gridCol w:w="590"/>
        <w:gridCol w:w="3658"/>
        <w:gridCol w:w="1670"/>
        <w:gridCol w:w="1670"/>
        <w:gridCol w:w="1349"/>
      </w:tblGrid>
      <w:tr w:rsidR="00252D72" w:rsidRPr="00F52236" w14:paraId="264CEAB6" w14:textId="77777777" w:rsidTr="007D3718">
        <w:tc>
          <w:tcPr>
            <w:tcW w:w="590" w:type="dxa"/>
          </w:tcPr>
          <w:p w14:paraId="71E2EDB9" w14:textId="77777777" w:rsidR="00252D72" w:rsidRPr="00F52236" w:rsidRDefault="00252D72" w:rsidP="007D3718">
            <w:pPr>
              <w:jc w:val="center"/>
              <w:rPr>
                <w:rFonts w:ascii="Times New Roman" w:hAnsi="Times New Roman" w:cs="Times New Roman"/>
                <w:b/>
                <w:bCs/>
                <w:sz w:val="24"/>
                <w:szCs w:val="24"/>
              </w:rPr>
            </w:pPr>
          </w:p>
          <w:p w14:paraId="29C6C11A" w14:textId="77777777" w:rsidR="00252D72" w:rsidRPr="00F52236" w:rsidRDefault="00252D72" w:rsidP="007D3718">
            <w:pPr>
              <w:jc w:val="center"/>
              <w:rPr>
                <w:rFonts w:ascii="Times New Roman" w:hAnsi="Times New Roman" w:cs="Times New Roman"/>
                <w:b/>
                <w:bCs/>
                <w:sz w:val="24"/>
                <w:szCs w:val="24"/>
              </w:rPr>
            </w:pPr>
            <w:r w:rsidRPr="00F52236">
              <w:rPr>
                <w:rFonts w:ascii="Times New Roman" w:hAnsi="Times New Roman" w:cs="Times New Roman"/>
                <w:b/>
                <w:bCs/>
                <w:sz w:val="24"/>
                <w:szCs w:val="24"/>
              </w:rPr>
              <w:t>S/N</w:t>
            </w:r>
          </w:p>
        </w:tc>
        <w:tc>
          <w:tcPr>
            <w:tcW w:w="3658" w:type="dxa"/>
          </w:tcPr>
          <w:p w14:paraId="48EAD5B1" w14:textId="77777777" w:rsidR="00252D72" w:rsidRPr="00F52236" w:rsidRDefault="00252D72" w:rsidP="007D3718">
            <w:pPr>
              <w:jc w:val="center"/>
              <w:rPr>
                <w:rFonts w:ascii="Times New Roman" w:hAnsi="Times New Roman" w:cs="Times New Roman"/>
                <w:b/>
                <w:bCs/>
                <w:sz w:val="24"/>
                <w:szCs w:val="24"/>
              </w:rPr>
            </w:pPr>
          </w:p>
          <w:p w14:paraId="7414B992" w14:textId="77777777" w:rsidR="00252D72" w:rsidRPr="00F52236" w:rsidRDefault="00252D72" w:rsidP="007D3718">
            <w:pPr>
              <w:jc w:val="center"/>
              <w:rPr>
                <w:rFonts w:ascii="Times New Roman" w:hAnsi="Times New Roman" w:cs="Times New Roman"/>
                <w:b/>
                <w:bCs/>
                <w:sz w:val="24"/>
                <w:szCs w:val="24"/>
              </w:rPr>
            </w:pPr>
            <w:r w:rsidRPr="00F52236">
              <w:rPr>
                <w:rFonts w:ascii="Times New Roman" w:hAnsi="Times New Roman" w:cs="Times New Roman"/>
                <w:b/>
                <w:bCs/>
                <w:sz w:val="24"/>
                <w:szCs w:val="24"/>
              </w:rPr>
              <w:t>University</w:t>
            </w:r>
          </w:p>
        </w:tc>
        <w:tc>
          <w:tcPr>
            <w:tcW w:w="1666" w:type="dxa"/>
          </w:tcPr>
          <w:p w14:paraId="5A2000D0" w14:textId="77777777" w:rsidR="00252D72" w:rsidRPr="00F52236" w:rsidRDefault="00252D72" w:rsidP="007D3718">
            <w:pPr>
              <w:jc w:val="center"/>
              <w:rPr>
                <w:rFonts w:ascii="Times New Roman" w:hAnsi="Times New Roman" w:cs="Times New Roman"/>
                <w:b/>
                <w:bCs/>
                <w:sz w:val="24"/>
                <w:szCs w:val="24"/>
              </w:rPr>
            </w:pPr>
            <w:r w:rsidRPr="00F52236">
              <w:rPr>
                <w:rFonts w:ascii="Times New Roman" w:hAnsi="Times New Roman" w:cs="Times New Roman"/>
                <w:b/>
                <w:bCs/>
                <w:sz w:val="24"/>
                <w:szCs w:val="24"/>
              </w:rPr>
              <w:t>Questionnaire Distributed</w:t>
            </w:r>
          </w:p>
        </w:tc>
        <w:tc>
          <w:tcPr>
            <w:tcW w:w="1666" w:type="dxa"/>
          </w:tcPr>
          <w:p w14:paraId="18CBFF43" w14:textId="77777777" w:rsidR="00252D72" w:rsidRPr="00F52236" w:rsidRDefault="00252D72" w:rsidP="007D3718">
            <w:pPr>
              <w:jc w:val="center"/>
              <w:rPr>
                <w:rFonts w:ascii="Times New Roman" w:hAnsi="Times New Roman" w:cs="Times New Roman"/>
                <w:b/>
                <w:bCs/>
                <w:sz w:val="24"/>
                <w:szCs w:val="24"/>
              </w:rPr>
            </w:pPr>
            <w:r w:rsidRPr="00F52236">
              <w:rPr>
                <w:rFonts w:ascii="Times New Roman" w:hAnsi="Times New Roman" w:cs="Times New Roman"/>
                <w:b/>
                <w:bCs/>
                <w:sz w:val="24"/>
                <w:szCs w:val="24"/>
              </w:rPr>
              <w:t>Questionnaire Completed</w:t>
            </w:r>
          </w:p>
        </w:tc>
        <w:tc>
          <w:tcPr>
            <w:tcW w:w="1345" w:type="dxa"/>
          </w:tcPr>
          <w:p w14:paraId="650C5CB1" w14:textId="77777777" w:rsidR="00252D72" w:rsidRPr="00F52236" w:rsidRDefault="00252D72" w:rsidP="007D3718">
            <w:pPr>
              <w:jc w:val="center"/>
              <w:rPr>
                <w:rFonts w:ascii="Times New Roman" w:hAnsi="Times New Roman" w:cs="Times New Roman"/>
                <w:b/>
                <w:bCs/>
                <w:sz w:val="24"/>
                <w:szCs w:val="24"/>
              </w:rPr>
            </w:pPr>
            <w:r w:rsidRPr="00F52236">
              <w:rPr>
                <w:rFonts w:ascii="Times New Roman" w:hAnsi="Times New Roman" w:cs="Times New Roman"/>
                <w:b/>
                <w:bCs/>
                <w:sz w:val="24"/>
                <w:szCs w:val="24"/>
              </w:rPr>
              <w:t>Percentage</w:t>
            </w:r>
          </w:p>
        </w:tc>
      </w:tr>
      <w:tr w:rsidR="00252D72" w:rsidRPr="00F52236" w14:paraId="3A42C6FC" w14:textId="77777777" w:rsidTr="007D3718">
        <w:tc>
          <w:tcPr>
            <w:tcW w:w="590" w:type="dxa"/>
          </w:tcPr>
          <w:p w14:paraId="6FD51DFB"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t>1</w:t>
            </w:r>
          </w:p>
        </w:tc>
        <w:tc>
          <w:tcPr>
            <w:tcW w:w="3658" w:type="dxa"/>
          </w:tcPr>
          <w:p w14:paraId="5DEC2C87"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t>Ahmadu Bello University (ABU), Zaria</w:t>
            </w:r>
          </w:p>
        </w:tc>
        <w:tc>
          <w:tcPr>
            <w:tcW w:w="1666" w:type="dxa"/>
          </w:tcPr>
          <w:p w14:paraId="48752B1B"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112</w:t>
            </w:r>
          </w:p>
        </w:tc>
        <w:tc>
          <w:tcPr>
            <w:tcW w:w="1666" w:type="dxa"/>
          </w:tcPr>
          <w:p w14:paraId="52039282"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68</w:t>
            </w:r>
          </w:p>
        </w:tc>
        <w:tc>
          <w:tcPr>
            <w:tcW w:w="1345" w:type="dxa"/>
          </w:tcPr>
          <w:p w14:paraId="6E186E0C"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16.4</w:t>
            </w:r>
          </w:p>
        </w:tc>
      </w:tr>
      <w:tr w:rsidR="00252D72" w:rsidRPr="00F52236" w14:paraId="5DD1D73B" w14:textId="77777777" w:rsidTr="007D3718">
        <w:tc>
          <w:tcPr>
            <w:tcW w:w="590" w:type="dxa"/>
          </w:tcPr>
          <w:p w14:paraId="2ED87881"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t>2</w:t>
            </w:r>
          </w:p>
        </w:tc>
        <w:tc>
          <w:tcPr>
            <w:tcW w:w="3658" w:type="dxa"/>
          </w:tcPr>
          <w:p w14:paraId="4193C73A"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t>Bayero University Kano (BUK), Kano</w:t>
            </w:r>
          </w:p>
        </w:tc>
        <w:tc>
          <w:tcPr>
            <w:tcW w:w="1666" w:type="dxa"/>
          </w:tcPr>
          <w:p w14:paraId="5D4ED828"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56</w:t>
            </w:r>
          </w:p>
        </w:tc>
        <w:tc>
          <w:tcPr>
            <w:tcW w:w="1666" w:type="dxa"/>
          </w:tcPr>
          <w:p w14:paraId="34C75970"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49</w:t>
            </w:r>
          </w:p>
        </w:tc>
        <w:tc>
          <w:tcPr>
            <w:tcW w:w="1345" w:type="dxa"/>
          </w:tcPr>
          <w:p w14:paraId="5EBEEE89"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11.8</w:t>
            </w:r>
          </w:p>
        </w:tc>
      </w:tr>
      <w:tr w:rsidR="00252D72" w:rsidRPr="00F52236" w14:paraId="412415B5" w14:textId="77777777" w:rsidTr="007D3718">
        <w:tc>
          <w:tcPr>
            <w:tcW w:w="590" w:type="dxa"/>
          </w:tcPr>
          <w:p w14:paraId="563AEDFD"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lastRenderedPageBreak/>
              <w:t>3</w:t>
            </w:r>
          </w:p>
        </w:tc>
        <w:tc>
          <w:tcPr>
            <w:tcW w:w="3658" w:type="dxa"/>
          </w:tcPr>
          <w:p w14:paraId="2DC8F0E8"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t xml:space="preserve">Usmanu Danfodiyo University (UDUS), Sokoto </w:t>
            </w:r>
          </w:p>
        </w:tc>
        <w:tc>
          <w:tcPr>
            <w:tcW w:w="1666" w:type="dxa"/>
          </w:tcPr>
          <w:p w14:paraId="10CEC0A3"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20</w:t>
            </w:r>
          </w:p>
        </w:tc>
        <w:tc>
          <w:tcPr>
            <w:tcW w:w="1666" w:type="dxa"/>
          </w:tcPr>
          <w:p w14:paraId="66C0E436"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20</w:t>
            </w:r>
          </w:p>
        </w:tc>
        <w:tc>
          <w:tcPr>
            <w:tcW w:w="1345" w:type="dxa"/>
          </w:tcPr>
          <w:p w14:paraId="10FFD1E6"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4.8</w:t>
            </w:r>
          </w:p>
        </w:tc>
      </w:tr>
      <w:tr w:rsidR="00252D72" w:rsidRPr="00F52236" w14:paraId="50849C3D" w14:textId="77777777" w:rsidTr="007D3718">
        <w:tc>
          <w:tcPr>
            <w:tcW w:w="590" w:type="dxa"/>
          </w:tcPr>
          <w:p w14:paraId="2061A097"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t>4</w:t>
            </w:r>
          </w:p>
        </w:tc>
        <w:tc>
          <w:tcPr>
            <w:tcW w:w="3658" w:type="dxa"/>
          </w:tcPr>
          <w:p w14:paraId="5C5A808B"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t xml:space="preserve">Federal University of Technology (FUT), Minna </w:t>
            </w:r>
          </w:p>
        </w:tc>
        <w:tc>
          <w:tcPr>
            <w:tcW w:w="1666" w:type="dxa"/>
          </w:tcPr>
          <w:p w14:paraId="17023D79"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46</w:t>
            </w:r>
          </w:p>
        </w:tc>
        <w:tc>
          <w:tcPr>
            <w:tcW w:w="1666" w:type="dxa"/>
          </w:tcPr>
          <w:p w14:paraId="4BFD10CA"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34</w:t>
            </w:r>
          </w:p>
        </w:tc>
        <w:tc>
          <w:tcPr>
            <w:tcW w:w="1345" w:type="dxa"/>
          </w:tcPr>
          <w:p w14:paraId="4679FA50"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8.2</w:t>
            </w:r>
          </w:p>
        </w:tc>
      </w:tr>
      <w:tr w:rsidR="00252D72" w:rsidRPr="00F52236" w14:paraId="4A18295A" w14:textId="77777777" w:rsidTr="007D3718">
        <w:tc>
          <w:tcPr>
            <w:tcW w:w="590" w:type="dxa"/>
          </w:tcPr>
          <w:p w14:paraId="0A6AAD73"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t>5</w:t>
            </w:r>
          </w:p>
        </w:tc>
        <w:tc>
          <w:tcPr>
            <w:tcW w:w="3658" w:type="dxa"/>
          </w:tcPr>
          <w:p w14:paraId="398CCDB9"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t>University of Abuja (UNI ABUJA)</w:t>
            </w:r>
          </w:p>
          <w:p w14:paraId="69BD0DD8" w14:textId="77777777" w:rsidR="00252D72" w:rsidRPr="00F52236" w:rsidRDefault="00252D72" w:rsidP="007D3718">
            <w:pPr>
              <w:rPr>
                <w:rFonts w:ascii="Times New Roman" w:hAnsi="Times New Roman" w:cs="Times New Roman"/>
                <w:sz w:val="24"/>
                <w:szCs w:val="24"/>
              </w:rPr>
            </w:pPr>
          </w:p>
        </w:tc>
        <w:tc>
          <w:tcPr>
            <w:tcW w:w="1666" w:type="dxa"/>
          </w:tcPr>
          <w:p w14:paraId="14C8F6EE"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21</w:t>
            </w:r>
          </w:p>
        </w:tc>
        <w:tc>
          <w:tcPr>
            <w:tcW w:w="1666" w:type="dxa"/>
          </w:tcPr>
          <w:p w14:paraId="7CB5CBAB"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20</w:t>
            </w:r>
          </w:p>
        </w:tc>
        <w:tc>
          <w:tcPr>
            <w:tcW w:w="1345" w:type="dxa"/>
          </w:tcPr>
          <w:p w14:paraId="65535CB3"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4.8</w:t>
            </w:r>
          </w:p>
        </w:tc>
      </w:tr>
      <w:tr w:rsidR="00252D72" w:rsidRPr="00F52236" w14:paraId="5C0F54B3" w14:textId="77777777" w:rsidTr="007D3718">
        <w:tc>
          <w:tcPr>
            <w:tcW w:w="590" w:type="dxa"/>
          </w:tcPr>
          <w:p w14:paraId="1BF731DF"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t>6</w:t>
            </w:r>
          </w:p>
        </w:tc>
        <w:tc>
          <w:tcPr>
            <w:tcW w:w="3658" w:type="dxa"/>
          </w:tcPr>
          <w:p w14:paraId="7540F91F"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t>University of Ilorin, (UNILORIN)</w:t>
            </w:r>
          </w:p>
          <w:p w14:paraId="58A2148B" w14:textId="77777777" w:rsidR="00252D72" w:rsidRPr="00F52236" w:rsidRDefault="00252D72" w:rsidP="007D3718">
            <w:pPr>
              <w:rPr>
                <w:rFonts w:ascii="Times New Roman" w:hAnsi="Times New Roman" w:cs="Times New Roman"/>
                <w:sz w:val="24"/>
                <w:szCs w:val="24"/>
              </w:rPr>
            </w:pPr>
          </w:p>
        </w:tc>
        <w:tc>
          <w:tcPr>
            <w:tcW w:w="1666" w:type="dxa"/>
          </w:tcPr>
          <w:p w14:paraId="5CFB031E"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57</w:t>
            </w:r>
          </w:p>
        </w:tc>
        <w:tc>
          <w:tcPr>
            <w:tcW w:w="1666" w:type="dxa"/>
          </w:tcPr>
          <w:p w14:paraId="24B381F2"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49</w:t>
            </w:r>
          </w:p>
        </w:tc>
        <w:tc>
          <w:tcPr>
            <w:tcW w:w="1345" w:type="dxa"/>
          </w:tcPr>
          <w:p w14:paraId="158CF7E9"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11.8</w:t>
            </w:r>
          </w:p>
        </w:tc>
      </w:tr>
      <w:tr w:rsidR="00252D72" w:rsidRPr="00F52236" w14:paraId="450EA329" w14:textId="77777777" w:rsidTr="007D3718">
        <w:tc>
          <w:tcPr>
            <w:tcW w:w="590" w:type="dxa"/>
          </w:tcPr>
          <w:p w14:paraId="53313390"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t>7</w:t>
            </w:r>
          </w:p>
        </w:tc>
        <w:tc>
          <w:tcPr>
            <w:tcW w:w="3658" w:type="dxa"/>
          </w:tcPr>
          <w:p w14:paraId="219401AB"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t>Modibbo Adama University of Technology (MAUT), Yola</w:t>
            </w:r>
          </w:p>
        </w:tc>
        <w:tc>
          <w:tcPr>
            <w:tcW w:w="1666" w:type="dxa"/>
          </w:tcPr>
          <w:p w14:paraId="4610B53E"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22</w:t>
            </w:r>
          </w:p>
        </w:tc>
        <w:tc>
          <w:tcPr>
            <w:tcW w:w="1666" w:type="dxa"/>
          </w:tcPr>
          <w:p w14:paraId="0A05E73D"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19</w:t>
            </w:r>
          </w:p>
        </w:tc>
        <w:tc>
          <w:tcPr>
            <w:tcW w:w="1345" w:type="dxa"/>
          </w:tcPr>
          <w:p w14:paraId="1F84CF3A"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4.6</w:t>
            </w:r>
          </w:p>
        </w:tc>
      </w:tr>
      <w:tr w:rsidR="00252D72" w:rsidRPr="00F52236" w14:paraId="16ADECDC" w14:textId="77777777" w:rsidTr="007D3718">
        <w:tc>
          <w:tcPr>
            <w:tcW w:w="590" w:type="dxa"/>
          </w:tcPr>
          <w:p w14:paraId="5D96337C"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t>8</w:t>
            </w:r>
          </w:p>
        </w:tc>
        <w:tc>
          <w:tcPr>
            <w:tcW w:w="3658" w:type="dxa"/>
          </w:tcPr>
          <w:p w14:paraId="664202D9"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t>University of Maiduguri (UNIMAID)</w:t>
            </w:r>
          </w:p>
        </w:tc>
        <w:tc>
          <w:tcPr>
            <w:tcW w:w="1666" w:type="dxa"/>
          </w:tcPr>
          <w:p w14:paraId="0D7420C4"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55</w:t>
            </w:r>
          </w:p>
        </w:tc>
        <w:tc>
          <w:tcPr>
            <w:tcW w:w="1666" w:type="dxa"/>
          </w:tcPr>
          <w:p w14:paraId="3B19C231"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32</w:t>
            </w:r>
          </w:p>
        </w:tc>
        <w:tc>
          <w:tcPr>
            <w:tcW w:w="1345" w:type="dxa"/>
          </w:tcPr>
          <w:p w14:paraId="663B941C"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7.7</w:t>
            </w:r>
          </w:p>
        </w:tc>
      </w:tr>
      <w:tr w:rsidR="00252D72" w:rsidRPr="00F52236" w14:paraId="2B92C402" w14:textId="77777777" w:rsidTr="007D3718">
        <w:tc>
          <w:tcPr>
            <w:tcW w:w="590" w:type="dxa"/>
          </w:tcPr>
          <w:p w14:paraId="296482F9"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t>9</w:t>
            </w:r>
          </w:p>
        </w:tc>
        <w:tc>
          <w:tcPr>
            <w:tcW w:w="3658" w:type="dxa"/>
          </w:tcPr>
          <w:p w14:paraId="10015623" w14:textId="77777777" w:rsidR="00252D72" w:rsidRPr="00F52236" w:rsidRDefault="00252D72" w:rsidP="007D3718">
            <w:pPr>
              <w:rPr>
                <w:rFonts w:ascii="Times New Roman" w:hAnsi="Times New Roman" w:cs="Times New Roman"/>
                <w:sz w:val="24"/>
                <w:szCs w:val="24"/>
              </w:rPr>
            </w:pPr>
            <w:r w:rsidRPr="00F52236">
              <w:rPr>
                <w:rFonts w:ascii="Times New Roman" w:hAnsi="Times New Roman" w:cs="Times New Roman"/>
                <w:sz w:val="24"/>
                <w:szCs w:val="24"/>
              </w:rPr>
              <w:t>Abubakar Tafawa Balewa University (ATBU), Bauchi</w:t>
            </w:r>
          </w:p>
        </w:tc>
        <w:tc>
          <w:tcPr>
            <w:tcW w:w="1666" w:type="dxa"/>
          </w:tcPr>
          <w:p w14:paraId="1E5241BA"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25</w:t>
            </w:r>
          </w:p>
        </w:tc>
        <w:tc>
          <w:tcPr>
            <w:tcW w:w="1666" w:type="dxa"/>
          </w:tcPr>
          <w:p w14:paraId="54B03B36"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20</w:t>
            </w:r>
          </w:p>
        </w:tc>
        <w:tc>
          <w:tcPr>
            <w:tcW w:w="1345" w:type="dxa"/>
          </w:tcPr>
          <w:p w14:paraId="07DC5AC4" w14:textId="77777777" w:rsidR="00252D72" w:rsidRPr="00F52236" w:rsidRDefault="00252D72" w:rsidP="007D3718">
            <w:pPr>
              <w:jc w:val="center"/>
              <w:rPr>
                <w:rFonts w:ascii="Times New Roman" w:hAnsi="Times New Roman" w:cs="Times New Roman"/>
                <w:sz w:val="24"/>
                <w:szCs w:val="24"/>
              </w:rPr>
            </w:pPr>
            <w:r w:rsidRPr="00F52236">
              <w:rPr>
                <w:rFonts w:ascii="Times New Roman" w:hAnsi="Times New Roman" w:cs="Times New Roman"/>
                <w:sz w:val="24"/>
                <w:szCs w:val="24"/>
              </w:rPr>
              <w:t>4.8</w:t>
            </w:r>
          </w:p>
        </w:tc>
      </w:tr>
      <w:tr w:rsidR="00252D72" w:rsidRPr="00F52236" w14:paraId="2FA69B97" w14:textId="77777777" w:rsidTr="007D3718">
        <w:tc>
          <w:tcPr>
            <w:tcW w:w="590" w:type="dxa"/>
          </w:tcPr>
          <w:p w14:paraId="38763A0C" w14:textId="77777777" w:rsidR="00252D72" w:rsidRPr="00F52236" w:rsidRDefault="00252D72" w:rsidP="007D3718">
            <w:pPr>
              <w:rPr>
                <w:rFonts w:ascii="Times New Roman" w:hAnsi="Times New Roman" w:cs="Times New Roman"/>
                <w:sz w:val="24"/>
                <w:szCs w:val="24"/>
              </w:rPr>
            </w:pPr>
          </w:p>
        </w:tc>
        <w:tc>
          <w:tcPr>
            <w:tcW w:w="3658" w:type="dxa"/>
          </w:tcPr>
          <w:p w14:paraId="2A9DB67A" w14:textId="77777777" w:rsidR="00252D72" w:rsidRPr="00F52236" w:rsidRDefault="00252D72" w:rsidP="007D3718">
            <w:pPr>
              <w:jc w:val="center"/>
              <w:rPr>
                <w:rFonts w:ascii="Times New Roman" w:hAnsi="Times New Roman" w:cs="Times New Roman"/>
                <w:b/>
                <w:bCs/>
                <w:sz w:val="24"/>
                <w:szCs w:val="24"/>
              </w:rPr>
            </w:pPr>
            <w:r w:rsidRPr="00F52236">
              <w:rPr>
                <w:rFonts w:ascii="Times New Roman" w:hAnsi="Times New Roman" w:cs="Times New Roman"/>
                <w:b/>
                <w:bCs/>
                <w:sz w:val="24"/>
                <w:szCs w:val="24"/>
              </w:rPr>
              <w:t>Total</w:t>
            </w:r>
          </w:p>
        </w:tc>
        <w:tc>
          <w:tcPr>
            <w:tcW w:w="1666" w:type="dxa"/>
          </w:tcPr>
          <w:p w14:paraId="7F6E312C" w14:textId="77777777" w:rsidR="00252D72" w:rsidRPr="00F52236" w:rsidRDefault="00252D72" w:rsidP="007D3718">
            <w:pPr>
              <w:jc w:val="center"/>
              <w:rPr>
                <w:rFonts w:ascii="Times New Roman" w:hAnsi="Times New Roman" w:cs="Times New Roman"/>
                <w:b/>
                <w:bCs/>
                <w:sz w:val="24"/>
                <w:szCs w:val="24"/>
              </w:rPr>
            </w:pPr>
            <w:r w:rsidRPr="00F52236">
              <w:rPr>
                <w:rFonts w:ascii="Times New Roman" w:hAnsi="Times New Roman" w:cs="Times New Roman"/>
                <w:b/>
                <w:bCs/>
                <w:sz w:val="24"/>
                <w:szCs w:val="24"/>
              </w:rPr>
              <w:t>414</w:t>
            </w:r>
          </w:p>
        </w:tc>
        <w:tc>
          <w:tcPr>
            <w:tcW w:w="1666" w:type="dxa"/>
          </w:tcPr>
          <w:p w14:paraId="4161506F" w14:textId="77777777" w:rsidR="00252D72" w:rsidRPr="00F52236" w:rsidRDefault="00252D72" w:rsidP="007D3718">
            <w:pPr>
              <w:jc w:val="center"/>
              <w:rPr>
                <w:rFonts w:ascii="Times New Roman" w:hAnsi="Times New Roman" w:cs="Times New Roman"/>
                <w:b/>
                <w:bCs/>
                <w:sz w:val="24"/>
                <w:szCs w:val="24"/>
              </w:rPr>
            </w:pPr>
            <w:r w:rsidRPr="00F52236">
              <w:rPr>
                <w:rFonts w:ascii="Times New Roman" w:hAnsi="Times New Roman" w:cs="Times New Roman"/>
                <w:b/>
                <w:bCs/>
                <w:sz w:val="24"/>
                <w:szCs w:val="24"/>
              </w:rPr>
              <w:t>311</w:t>
            </w:r>
          </w:p>
        </w:tc>
        <w:tc>
          <w:tcPr>
            <w:tcW w:w="1345" w:type="dxa"/>
          </w:tcPr>
          <w:p w14:paraId="4D577815" w14:textId="77777777" w:rsidR="00252D72" w:rsidRPr="00F52236" w:rsidRDefault="00252D72" w:rsidP="007D3718">
            <w:pPr>
              <w:jc w:val="center"/>
              <w:rPr>
                <w:rFonts w:ascii="Times New Roman" w:hAnsi="Times New Roman" w:cs="Times New Roman"/>
                <w:b/>
                <w:bCs/>
                <w:sz w:val="24"/>
                <w:szCs w:val="24"/>
              </w:rPr>
            </w:pPr>
            <w:r w:rsidRPr="00F52236">
              <w:rPr>
                <w:rFonts w:ascii="Times New Roman" w:hAnsi="Times New Roman" w:cs="Times New Roman"/>
                <w:b/>
                <w:bCs/>
                <w:sz w:val="24"/>
                <w:szCs w:val="24"/>
              </w:rPr>
              <w:t>74.9</w:t>
            </w:r>
          </w:p>
        </w:tc>
      </w:tr>
    </w:tbl>
    <w:p w14:paraId="25ABC128" w14:textId="77777777" w:rsidR="00252D72" w:rsidRPr="00596242" w:rsidRDefault="00252D72" w:rsidP="00252D72">
      <w:pPr>
        <w:spacing w:line="240" w:lineRule="auto"/>
      </w:pPr>
      <w:r w:rsidRPr="00F52236">
        <w:rPr>
          <w:rFonts w:ascii="Times New Roman" w:hAnsi="Times New Roman" w:cs="Times New Roman"/>
          <w:bCs/>
          <w:iCs/>
          <w:sz w:val="24"/>
          <w:szCs w:val="24"/>
        </w:rPr>
        <w:t>Source: Field Survey, 2025</w:t>
      </w:r>
    </w:p>
    <w:p w14:paraId="59F73A32" w14:textId="77777777" w:rsidR="00000DEE" w:rsidRDefault="00000DEE" w:rsidP="00DF4208">
      <w:pPr>
        <w:spacing w:after="0"/>
        <w:jc w:val="both"/>
        <w:rPr>
          <w:rFonts w:ascii="Times New Roman" w:hAnsi="Times New Roman" w:cs="Times New Roman"/>
          <w:sz w:val="24"/>
          <w:szCs w:val="24"/>
        </w:rPr>
      </w:pPr>
    </w:p>
    <w:p w14:paraId="4D38E65E" w14:textId="51B9DFC1" w:rsidR="00A76772" w:rsidRPr="00A1687C" w:rsidRDefault="003A78FB" w:rsidP="00DF4208">
      <w:pPr>
        <w:spacing w:after="0"/>
        <w:jc w:val="both"/>
        <w:rPr>
          <w:rFonts w:ascii="Times New Roman" w:hAnsi="Times New Roman" w:cs="Times New Roman"/>
          <w:b/>
          <w:bCs/>
          <w:sz w:val="24"/>
          <w:szCs w:val="24"/>
        </w:rPr>
      </w:pPr>
      <w:r>
        <w:rPr>
          <w:rFonts w:ascii="Times New Roman" w:hAnsi="Times New Roman" w:cs="Times New Roman"/>
          <w:b/>
          <w:bCs/>
          <w:sz w:val="24"/>
          <w:szCs w:val="24"/>
        </w:rPr>
        <w:t>Results of analysis</w:t>
      </w:r>
    </w:p>
    <w:p w14:paraId="75641C60" w14:textId="77777777" w:rsidR="00A1687C" w:rsidRDefault="00A1687C" w:rsidP="00DF4208">
      <w:pPr>
        <w:spacing w:after="0"/>
        <w:jc w:val="both"/>
        <w:rPr>
          <w:rFonts w:ascii="Times New Roman" w:hAnsi="Times New Roman" w:cs="Times New Roman"/>
          <w:sz w:val="24"/>
          <w:szCs w:val="24"/>
        </w:rPr>
      </w:pPr>
    </w:p>
    <w:p w14:paraId="649DA379" w14:textId="4D05001E" w:rsidR="00000DEE" w:rsidRDefault="00B623EE" w:rsidP="00DF4208">
      <w:pPr>
        <w:spacing w:after="0"/>
        <w:jc w:val="both"/>
        <w:rPr>
          <w:rFonts w:ascii="Times New Roman" w:hAnsi="Times New Roman" w:cs="Times New Roman"/>
          <w:sz w:val="24"/>
          <w:szCs w:val="24"/>
        </w:rPr>
      </w:pPr>
      <w:r w:rsidRPr="00706757">
        <w:rPr>
          <w:rFonts w:ascii="Times New Roman" w:hAnsi="Times New Roman" w:cs="Times New Roman"/>
          <w:b/>
          <w:bCs/>
          <w:sz w:val="24"/>
          <w:szCs w:val="24"/>
        </w:rPr>
        <w:t>Research Question one</w:t>
      </w:r>
      <w:r>
        <w:rPr>
          <w:rFonts w:ascii="Times New Roman" w:hAnsi="Times New Roman" w:cs="Times New Roman"/>
          <w:sz w:val="24"/>
          <w:szCs w:val="24"/>
        </w:rPr>
        <w:t xml:space="preserve">: </w:t>
      </w:r>
      <w:r w:rsidRPr="00706757">
        <w:rPr>
          <w:rFonts w:ascii="Times New Roman" w:hAnsi="Times New Roman" w:cs="Times New Roman"/>
          <w:b/>
          <w:bCs/>
          <w:i/>
          <w:iCs/>
          <w:sz w:val="24"/>
          <w:szCs w:val="24"/>
        </w:rPr>
        <w:t>What is the level of awareness of scholarly infrastructure among LIS academics in federal universities in Northern Nigeria?</w:t>
      </w:r>
    </w:p>
    <w:p w14:paraId="3066F8BF" w14:textId="6D229A01" w:rsidR="00B623EE" w:rsidRDefault="00B623EE" w:rsidP="00DF4208">
      <w:pPr>
        <w:spacing w:after="0"/>
        <w:jc w:val="both"/>
        <w:rPr>
          <w:rFonts w:ascii="Times New Roman" w:hAnsi="Times New Roman" w:cs="Times New Roman"/>
          <w:sz w:val="24"/>
          <w:szCs w:val="24"/>
        </w:rPr>
      </w:pPr>
      <w:r>
        <w:rPr>
          <w:rFonts w:ascii="Times New Roman" w:hAnsi="Times New Roman" w:cs="Times New Roman"/>
          <w:sz w:val="24"/>
          <w:szCs w:val="24"/>
        </w:rPr>
        <w:t xml:space="preserve">The level of awareness of scholarly infrastructure among </w:t>
      </w:r>
      <w:r w:rsidR="008F3254">
        <w:rPr>
          <w:rFonts w:ascii="Times New Roman" w:hAnsi="Times New Roman" w:cs="Times New Roman"/>
          <w:sz w:val="24"/>
          <w:szCs w:val="24"/>
        </w:rPr>
        <w:t>LIS academics</w:t>
      </w:r>
      <w:r>
        <w:rPr>
          <w:rFonts w:ascii="Times New Roman" w:hAnsi="Times New Roman" w:cs="Times New Roman"/>
          <w:sz w:val="24"/>
          <w:szCs w:val="24"/>
        </w:rPr>
        <w:t xml:space="preserve"> in the nine (9) federal universities was</w:t>
      </w:r>
      <w:r w:rsidR="008F3254">
        <w:rPr>
          <w:rFonts w:ascii="Times New Roman" w:hAnsi="Times New Roman" w:cs="Times New Roman"/>
          <w:sz w:val="24"/>
          <w:szCs w:val="24"/>
        </w:rPr>
        <w:t xml:space="preserve"> examined with response scale of</w:t>
      </w:r>
      <w:r>
        <w:rPr>
          <w:rFonts w:ascii="Times New Roman" w:hAnsi="Times New Roman" w:cs="Times New Roman"/>
          <w:sz w:val="24"/>
          <w:szCs w:val="24"/>
        </w:rPr>
        <w:t xml:space="preserve"> </w:t>
      </w:r>
      <w:r w:rsidRPr="00B623EE">
        <w:rPr>
          <w:rFonts w:ascii="Times New Roman" w:hAnsi="Times New Roman" w:cs="Times New Roman"/>
          <w:sz w:val="24"/>
          <w:szCs w:val="24"/>
        </w:rPr>
        <w:t>Very Low</w:t>
      </w:r>
      <w:r w:rsidR="008F3254">
        <w:rPr>
          <w:rFonts w:ascii="Times New Roman" w:hAnsi="Times New Roman" w:cs="Times New Roman"/>
          <w:sz w:val="24"/>
          <w:szCs w:val="24"/>
        </w:rPr>
        <w:t xml:space="preserve"> (</w:t>
      </w:r>
      <w:r w:rsidR="008F3254" w:rsidRPr="008F3254">
        <w:rPr>
          <w:rFonts w:ascii="Times New Roman" w:hAnsi="Times New Roman" w:cs="Times New Roman"/>
          <w:sz w:val="24"/>
          <w:szCs w:val="24"/>
        </w:rPr>
        <w:t>VL</w:t>
      </w:r>
      <w:r w:rsidR="008F3254">
        <w:rPr>
          <w:rFonts w:ascii="Times New Roman" w:hAnsi="Times New Roman" w:cs="Times New Roman"/>
          <w:sz w:val="24"/>
          <w:szCs w:val="24"/>
        </w:rPr>
        <w:t>)</w:t>
      </w:r>
      <w:r w:rsidRPr="00B623EE">
        <w:rPr>
          <w:rFonts w:ascii="Times New Roman" w:hAnsi="Times New Roman" w:cs="Times New Roman"/>
          <w:sz w:val="24"/>
          <w:szCs w:val="24"/>
        </w:rPr>
        <w:t>, Low</w:t>
      </w:r>
      <w:r w:rsidR="008F3254">
        <w:rPr>
          <w:rFonts w:ascii="Times New Roman" w:hAnsi="Times New Roman" w:cs="Times New Roman"/>
          <w:sz w:val="24"/>
          <w:szCs w:val="24"/>
        </w:rPr>
        <w:t xml:space="preserve"> (L)</w:t>
      </w:r>
      <w:r w:rsidRPr="00B623EE">
        <w:rPr>
          <w:rFonts w:ascii="Times New Roman" w:hAnsi="Times New Roman" w:cs="Times New Roman"/>
          <w:sz w:val="24"/>
          <w:szCs w:val="24"/>
        </w:rPr>
        <w:t>, Undecided</w:t>
      </w:r>
      <w:r w:rsidR="008F3254">
        <w:rPr>
          <w:rFonts w:ascii="Times New Roman" w:hAnsi="Times New Roman" w:cs="Times New Roman"/>
          <w:sz w:val="24"/>
          <w:szCs w:val="24"/>
        </w:rPr>
        <w:t xml:space="preserve"> (U)</w:t>
      </w:r>
      <w:r w:rsidRPr="00B623EE">
        <w:rPr>
          <w:rFonts w:ascii="Times New Roman" w:hAnsi="Times New Roman" w:cs="Times New Roman"/>
          <w:sz w:val="24"/>
          <w:szCs w:val="24"/>
        </w:rPr>
        <w:t>, High</w:t>
      </w:r>
      <w:r w:rsidR="008F3254">
        <w:rPr>
          <w:rFonts w:ascii="Times New Roman" w:hAnsi="Times New Roman" w:cs="Times New Roman"/>
          <w:sz w:val="24"/>
          <w:szCs w:val="24"/>
        </w:rPr>
        <w:t xml:space="preserve"> (H) and</w:t>
      </w:r>
      <w:r w:rsidRPr="00B623EE">
        <w:rPr>
          <w:rFonts w:ascii="Times New Roman" w:hAnsi="Times New Roman" w:cs="Times New Roman"/>
          <w:sz w:val="24"/>
          <w:szCs w:val="24"/>
        </w:rPr>
        <w:t xml:space="preserve"> Very High</w:t>
      </w:r>
      <w:r w:rsidR="008F3254">
        <w:rPr>
          <w:rFonts w:ascii="Times New Roman" w:hAnsi="Times New Roman" w:cs="Times New Roman"/>
          <w:sz w:val="24"/>
          <w:szCs w:val="24"/>
        </w:rPr>
        <w:t xml:space="preserve"> (VH) respectively.</w:t>
      </w:r>
    </w:p>
    <w:p w14:paraId="30197DD0" w14:textId="3F884198" w:rsidR="00B623EE" w:rsidRPr="008F3254" w:rsidRDefault="00B623EE" w:rsidP="00DF4208">
      <w:pPr>
        <w:spacing w:after="0"/>
        <w:jc w:val="both"/>
        <w:rPr>
          <w:rFonts w:ascii="Times New Roman" w:hAnsi="Times New Roman" w:cs="Times New Roman"/>
          <w:b/>
          <w:bCs/>
          <w:sz w:val="24"/>
          <w:szCs w:val="24"/>
        </w:rPr>
      </w:pPr>
      <w:r w:rsidRPr="008F3254">
        <w:rPr>
          <w:rFonts w:ascii="Times New Roman" w:hAnsi="Times New Roman" w:cs="Times New Roman"/>
          <w:b/>
          <w:bCs/>
          <w:sz w:val="24"/>
          <w:szCs w:val="24"/>
        </w:rPr>
        <w:t xml:space="preserve">Table </w:t>
      </w:r>
      <w:r w:rsidR="002B10D5">
        <w:rPr>
          <w:rFonts w:ascii="Times New Roman" w:hAnsi="Times New Roman" w:cs="Times New Roman"/>
          <w:b/>
          <w:bCs/>
          <w:sz w:val="24"/>
          <w:szCs w:val="24"/>
        </w:rPr>
        <w:t>2</w:t>
      </w:r>
      <w:r w:rsidRPr="008F3254">
        <w:rPr>
          <w:rFonts w:ascii="Times New Roman" w:hAnsi="Times New Roman" w:cs="Times New Roman"/>
          <w:b/>
          <w:bCs/>
          <w:sz w:val="24"/>
          <w:szCs w:val="24"/>
        </w:rPr>
        <w:t xml:space="preserve">: </w:t>
      </w:r>
      <w:r w:rsidR="008F3254" w:rsidRPr="008F3254">
        <w:rPr>
          <w:rFonts w:ascii="Times New Roman" w:hAnsi="Times New Roman" w:cs="Times New Roman"/>
          <w:b/>
          <w:bCs/>
          <w:sz w:val="24"/>
          <w:szCs w:val="24"/>
        </w:rPr>
        <w:t>Level of awareness of scholarly infrastructure among LIS academics in federal universities in northern Nige</w:t>
      </w:r>
      <w:r w:rsidR="008F3254">
        <w:rPr>
          <w:rFonts w:ascii="Times New Roman" w:hAnsi="Times New Roman" w:cs="Times New Roman"/>
          <w:b/>
          <w:bCs/>
          <w:sz w:val="24"/>
          <w:szCs w:val="24"/>
        </w:rPr>
        <w:t>r</w:t>
      </w:r>
      <w:r w:rsidR="008F3254" w:rsidRPr="008F3254">
        <w:rPr>
          <w:rFonts w:ascii="Times New Roman" w:hAnsi="Times New Roman" w:cs="Times New Roman"/>
          <w:b/>
          <w:bCs/>
          <w:sz w:val="24"/>
          <w:szCs w:val="24"/>
        </w:rPr>
        <w:t>ia</w:t>
      </w:r>
    </w:p>
    <w:tbl>
      <w:tblPr>
        <w:tblStyle w:val="TableGrid"/>
        <w:tblW w:w="0" w:type="auto"/>
        <w:tblLook w:val="04A0" w:firstRow="1" w:lastRow="0" w:firstColumn="1" w:lastColumn="0" w:noHBand="0" w:noVBand="1"/>
      </w:tblPr>
      <w:tblGrid>
        <w:gridCol w:w="620"/>
        <w:gridCol w:w="2542"/>
        <w:gridCol w:w="996"/>
        <w:gridCol w:w="996"/>
        <w:gridCol w:w="996"/>
        <w:gridCol w:w="996"/>
        <w:gridCol w:w="876"/>
        <w:gridCol w:w="664"/>
        <w:gridCol w:w="664"/>
      </w:tblGrid>
      <w:tr w:rsidR="00B623EE" w:rsidRPr="00B623EE" w14:paraId="5EB211BE" w14:textId="77777777">
        <w:tc>
          <w:tcPr>
            <w:tcW w:w="620" w:type="dxa"/>
            <w:vMerge w:val="restart"/>
            <w:tcBorders>
              <w:top w:val="single" w:sz="4" w:space="0" w:color="auto"/>
              <w:left w:val="single" w:sz="4" w:space="0" w:color="auto"/>
              <w:bottom w:val="single" w:sz="4" w:space="0" w:color="auto"/>
              <w:right w:val="single" w:sz="4" w:space="0" w:color="auto"/>
            </w:tcBorders>
          </w:tcPr>
          <w:p w14:paraId="7AC87D40" w14:textId="77777777" w:rsidR="00B623EE" w:rsidRPr="00B623EE" w:rsidRDefault="00B623EE" w:rsidP="00B623EE">
            <w:pPr>
              <w:spacing w:line="259" w:lineRule="auto"/>
              <w:jc w:val="both"/>
              <w:rPr>
                <w:rFonts w:ascii="Times New Roman" w:hAnsi="Times New Roman" w:cs="Times New Roman"/>
                <w:sz w:val="24"/>
                <w:szCs w:val="24"/>
              </w:rPr>
            </w:pPr>
          </w:p>
          <w:p w14:paraId="7879FFED" w14:textId="77777777" w:rsidR="00B623EE" w:rsidRPr="00B623EE" w:rsidRDefault="00B623EE" w:rsidP="00B623EE">
            <w:pPr>
              <w:spacing w:line="259" w:lineRule="auto"/>
              <w:jc w:val="both"/>
              <w:rPr>
                <w:rFonts w:ascii="Times New Roman" w:hAnsi="Times New Roman" w:cs="Times New Roman"/>
                <w:b/>
                <w:bCs/>
                <w:sz w:val="24"/>
                <w:szCs w:val="24"/>
              </w:rPr>
            </w:pPr>
            <w:r w:rsidRPr="00B623EE">
              <w:rPr>
                <w:rFonts w:ascii="Times New Roman" w:hAnsi="Times New Roman" w:cs="Times New Roman"/>
                <w:b/>
                <w:bCs/>
                <w:sz w:val="24"/>
                <w:szCs w:val="24"/>
              </w:rPr>
              <w:t>S/N</w:t>
            </w:r>
          </w:p>
        </w:tc>
        <w:tc>
          <w:tcPr>
            <w:tcW w:w="2542" w:type="dxa"/>
            <w:vMerge w:val="restart"/>
            <w:tcBorders>
              <w:top w:val="single" w:sz="4" w:space="0" w:color="auto"/>
              <w:left w:val="single" w:sz="4" w:space="0" w:color="auto"/>
              <w:bottom w:val="single" w:sz="4" w:space="0" w:color="auto"/>
              <w:right w:val="single" w:sz="4" w:space="0" w:color="auto"/>
            </w:tcBorders>
          </w:tcPr>
          <w:p w14:paraId="7B5C14B7" w14:textId="77777777" w:rsidR="00B623EE" w:rsidRPr="00B623EE" w:rsidRDefault="00B623EE" w:rsidP="00B623EE">
            <w:pPr>
              <w:spacing w:line="259" w:lineRule="auto"/>
              <w:jc w:val="both"/>
              <w:rPr>
                <w:rFonts w:ascii="Times New Roman" w:hAnsi="Times New Roman" w:cs="Times New Roman"/>
                <w:b/>
                <w:sz w:val="24"/>
                <w:szCs w:val="24"/>
              </w:rPr>
            </w:pPr>
          </w:p>
          <w:p w14:paraId="1693A6CC"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b/>
                <w:sz w:val="24"/>
                <w:szCs w:val="24"/>
              </w:rPr>
              <w:t>Scholarly Infrastructures</w:t>
            </w:r>
          </w:p>
        </w:tc>
        <w:tc>
          <w:tcPr>
            <w:tcW w:w="4860" w:type="dxa"/>
            <w:gridSpan w:val="5"/>
            <w:tcBorders>
              <w:top w:val="single" w:sz="4" w:space="0" w:color="auto"/>
              <w:left w:val="single" w:sz="4" w:space="0" w:color="auto"/>
              <w:bottom w:val="single" w:sz="4" w:space="0" w:color="auto"/>
              <w:right w:val="single" w:sz="4" w:space="0" w:color="auto"/>
            </w:tcBorders>
            <w:hideMark/>
          </w:tcPr>
          <w:p w14:paraId="39728C65" w14:textId="77777777" w:rsidR="00B623EE" w:rsidRPr="00B623EE" w:rsidRDefault="00B623EE" w:rsidP="000546E0">
            <w:pPr>
              <w:spacing w:line="259" w:lineRule="auto"/>
              <w:jc w:val="center"/>
              <w:rPr>
                <w:rFonts w:ascii="Times New Roman" w:hAnsi="Times New Roman" w:cs="Times New Roman"/>
                <w:b/>
                <w:bCs/>
                <w:sz w:val="24"/>
                <w:szCs w:val="24"/>
              </w:rPr>
            </w:pPr>
            <w:r w:rsidRPr="00B623EE">
              <w:rPr>
                <w:rFonts w:ascii="Times New Roman" w:hAnsi="Times New Roman" w:cs="Times New Roman"/>
                <w:b/>
                <w:bCs/>
                <w:sz w:val="24"/>
                <w:szCs w:val="24"/>
              </w:rPr>
              <w:t>Level of Awareness</w:t>
            </w:r>
          </w:p>
        </w:tc>
        <w:tc>
          <w:tcPr>
            <w:tcW w:w="664" w:type="dxa"/>
            <w:vMerge w:val="restart"/>
            <w:tcBorders>
              <w:top w:val="single" w:sz="4" w:space="0" w:color="auto"/>
              <w:left w:val="single" w:sz="4" w:space="0" w:color="auto"/>
              <w:bottom w:val="single" w:sz="4" w:space="0" w:color="auto"/>
              <w:right w:val="single" w:sz="4" w:space="0" w:color="auto"/>
            </w:tcBorders>
          </w:tcPr>
          <w:p w14:paraId="7A80BF93" w14:textId="77777777" w:rsidR="00B623EE" w:rsidRPr="00B623EE" w:rsidRDefault="00B623EE" w:rsidP="00B623EE">
            <w:pPr>
              <w:spacing w:line="259" w:lineRule="auto"/>
              <w:jc w:val="both"/>
              <w:rPr>
                <w:rFonts w:ascii="Times New Roman" w:hAnsi="Times New Roman" w:cs="Times New Roman"/>
                <w:b/>
                <w:bCs/>
                <w:sz w:val="24"/>
                <w:szCs w:val="24"/>
              </w:rPr>
            </w:pPr>
          </w:p>
          <w:p w14:paraId="38427625"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b/>
                <w:bCs/>
                <w:sz w:val="24"/>
                <w:szCs w:val="24"/>
              </w:rPr>
              <w:t>M</w:t>
            </w:r>
          </w:p>
        </w:tc>
        <w:tc>
          <w:tcPr>
            <w:tcW w:w="664" w:type="dxa"/>
            <w:vMerge w:val="restart"/>
            <w:tcBorders>
              <w:top w:val="single" w:sz="4" w:space="0" w:color="auto"/>
              <w:left w:val="single" w:sz="4" w:space="0" w:color="auto"/>
              <w:bottom w:val="single" w:sz="4" w:space="0" w:color="auto"/>
              <w:right w:val="single" w:sz="4" w:space="0" w:color="auto"/>
            </w:tcBorders>
          </w:tcPr>
          <w:p w14:paraId="68BB3A23" w14:textId="77777777" w:rsidR="00B623EE" w:rsidRPr="00B623EE" w:rsidRDefault="00B623EE" w:rsidP="00B623EE">
            <w:pPr>
              <w:spacing w:line="259" w:lineRule="auto"/>
              <w:jc w:val="both"/>
              <w:rPr>
                <w:rFonts w:ascii="Times New Roman" w:hAnsi="Times New Roman" w:cs="Times New Roman"/>
                <w:b/>
                <w:bCs/>
                <w:sz w:val="24"/>
                <w:szCs w:val="24"/>
              </w:rPr>
            </w:pPr>
          </w:p>
          <w:p w14:paraId="71B2429A"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b/>
                <w:bCs/>
                <w:sz w:val="24"/>
                <w:szCs w:val="24"/>
              </w:rPr>
              <w:t>SD</w:t>
            </w:r>
          </w:p>
        </w:tc>
      </w:tr>
      <w:tr w:rsidR="00B623EE" w:rsidRPr="00B623EE" w14:paraId="5B45010A"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705F9357" w14:textId="77777777" w:rsidR="00B623EE" w:rsidRPr="00B623EE" w:rsidRDefault="00B623EE" w:rsidP="00B623EE">
            <w:pPr>
              <w:spacing w:line="259" w:lineRule="auto"/>
              <w:jc w:val="both"/>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47156" w14:textId="77777777" w:rsidR="00B623EE" w:rsidRPr="00B623EE" w:rsidRDefault="00B623EE" w:rsidP="00B623EE">
            <w:pPr>
              <w:spacing w:line="259" w:lineRule="auto"/>
              <w:jc w:val="both"/>
              <w:rPr>
                <w:rFonts w:ascii="Times New Roman" w:hAnsi="Times New Roman" w:cs="Times New Roman"/>
                <w:sz w:val="24"/>
                <w:szCs w:val="24"/>
              </w:rPr>
            </w:pPr>
          </w:p>
        </w:tc>
        <w:tc>
          <w:tcPr>
            <w:tcW w:w="996" w:type="dxa"/>
            <w:tcBorders>
              <w:top w:val="single" w:sz="4" w:space="0" w:color="auto"/>
              <w:left w:val="single" w:sz="4" w:space="0" w:color="auto"/>
              <w:bottom w:val="single" w:sz="4" w:space="0" w:color="auto"/>
              <w:right w:val="single" w:sz="4" w:space="0" w:color="auto"/>
            </w:tcBorders>
            <w:hideMark/>
          </w:tcPr>
          <w:p w14:paraId="489CA61E" w14:textId="77777777" w:rsidR="00B623EE" w:rsidRPr="00B623EE" w:rsidRDefault="00B623EE" w:rsidP="00B623EE">
            <w:pPr>
              <w:spacing w:line="259" w:lineRule="auto"/>
              <w:jc w:val="both"/>
              <w:rPr>
                <w:rFonts w:ascii="Times New Roman" w:hAnsi="Times New Roman" w:cs="Times New Roman"/>
                <w:b/>
                <w:bCs/>
                <w:sz w:val="24"/>
                <w:szCs w:val="24"/>
              </w:rPr>
            </w:pPr>
            <w:r w:rsidRPr="00B623EE">
              <w:rPr>
                <w:rFonts w:ascii="Times New Roman" w:hAnsi="Times New Roman" w:cs="Times New Roman"/>
                <w:b/>
                <w:bCs/>
                <w:sz w:val="24"/>
                <w:szCs w:val="24"/>
              </w:rPr>
              <w:t>VL</w:t>
            </w:r>
          </w:p>
        </w:tc>
        <w:tc>
          <w:tcPr>
            <w:tcW w:w="996" w:type="dxa"/>
            <w:tcBorders>
              <w:top w:val="single" w:sz="4" w:space="0" w:color="auto"/>
              <w:left w:val="single" w:sz="4" w:space="0" w:color="auto"/>
              <w:bottom w:val="single" w:sz="4" w:space="0" w:color="auto"/>
              <w:right w:val="single" w:sz="4" w:space="0" w:color="auto"/>
            </w:tcBorders>
            <w:hideMark/>
          </w:tcPr>
          <w:p w14:paraId="3C9D9761" w14:textId="77777777" w:rsidR="00B623EE" w:rsidRPr="00B623EE" w:rsidRDefault="00B623EE" w:rsidP="00B623EE">
            <w:pPr>
              <w:spacing w:line="259" w:lineRule="auto"/>
              <w:jc w:val="both"/>
              <w:rPr>
                <w:rFonts w:ascii="Times New Roman" w:hAnsi="Times New Roman" w:cs="Times New Roman"/>
                <w:b/>
                <w:bCs/>
                <w:sz w:val="24"/>
                <w:szCs w:val="24"/>
              </w:rPr>
            </w:pPr>
            <w:r w:rsidRPr="00B623EE">
              <w:rPr>
                <w:rFonts w:ascii="Times New Roman" w:hAnsi="Times New Roman" w:cs="Times New Roman"/>
                <w:b/>
                <w:bCs/>
                <w:sz w:val="24"/>
                <w:szCs w:val="24"/>
              </w:rPr>
              <w:t>L</w:t>
            </w:r>
          </w:p>
        </w:tc>
        <w:tc>
          <w:tcPr>
            <w:tcW w:w="996" w:type="dxa"/>
            <w:tcBorders>
              <w:top w:val="single" w:sz="4" w:space="0" w:color="auto"/>
              <w:left w:val="single" w:sz="4" w:space="0" w:color="auto"/>
              <w:bottom w:val="single" w:sz="4" w:space="0" w:color="auto"/>
              <w:right w:val="single" w:sz="4" w:space="0" w:color="auto"/>
            </w:tcBorders>
            <w:hideMark/>
          </w:tcPr>
          <w:p w14:paraId="04C52CD9" w14:textId="77777777" w:rsidR="00B623EE" w:rsidRPr="00B623EE" w:rsidRDefault="00B623EE" w:rsidP="00B623EE">
            <w:pPr>
              <w:spacing w:line="259" w:lineRule="auto"/>
              <w:jc w:val="both"/>
              <w:rPr>
                <w:rFonts w:ascii="Times New Roman" w:hAnsi="Times New Roman" w:cs="Times New Roman"/>
                <w:b/>
                <w:bCs/>
                <w:sz w:val="24"/>
                <w:szCs w:val="24"/>
              </w:rPr>
            </w:pPr>
            <w:r w:rsidRPr="00B623EE">
              <w:rPr>
                <w:rFonts w:ascii="Times New Roman" w:hAnsi="Times New Roman" w:cs="Times New Roman"/>
                <w:b/>
                <w:bCs/>
                <w:sz w:val="24"/>
                <w:szCs w:val="24"/>
              </w:rPr>
              <w:t>U</w:t>
            </w:r>
          </w:p>
        </w:tc>
        <w:tc>
          <w:tcPr>
            <w:tcW w:w="996" w:type="dxa"/>
            <w:tcBorders>
              <w:top w:val="single" w:sz="4" w:space="0" w:color="auto"/>
              <w:left w:val="single" w:sz="4" w:space="0" w:color="auto"/>
              <w:bottom w:val="single" w:sz="4" w:space="0" w:color="auto"/>
              <w:right w:val="single" w:sz="4" w:space="0" w:color="auto"/>
            </w:tcBorders>
            <w:hideMark/>
          </w:tcPr>
          <w:p w14:paraId="1B5634AF" w14:textId="77777777" w:rsidR="00B623EE" w:rsidRPr="00B623EE" w:rsidRDefault="00B623EE" w:rsidP="00B623EE">
            <w:pPr>
              <w:spacing w:line="259" w:lineRule="auto"/>
              <w:jc w:val="both"/>
              <w:rPr>
                <w:rFonts w:ascii="Times New Roman" w:hAnsi="Times New Roman" w:cs="Times New Roman"/>
                <w:b/>
                <w:bCs/>
                <w:sz w:val="24"/>
                <w:szCs w:val="24"/>
              </w:rPr>
            </w:pPr>
            <w:r w:rsidRPr="00B623EE">
              <w:rPr>
                <w:rFonts w:ascii="Times New Roman" w:hAnsi="Times New Roman" w:cs="Times New Roman"/>
                <w:b/>
                <w:bCs/>
                <w:sz w:val="24"/>
                <w:szCs w:val="24"/>
              </w:rPr>
              <w:t>H</w:t>
            </w:r>
          </w:p>
        </w:tc>
        <w:tc>
          <w:tcPr>
            <w:tcW w:w="876" w:type="dxa"/>
            <w:tcBorders>
              <w:top w:val="single" w:sz="4" w:space="0" w:color="auto"/>
              <w:left w:val="single" w:sz="4" w:space="0" w:color="auto"/>
              <w:bottom w:val="single" w:sz="4" w:space="0" w:color="auto"/>
              <w:right w:val="single" w:sz="4" w:space="0" w:color="auto"/>
            </w:tcBorders>
            <w:hideMark/>
          </w:tcPr>
          <w:p w14:paraId="552FEBB9" w14:textId="77777777" w:rsidR="00B623EE" w:rsidRPr="00B623EE" w:rsidRDefault="00B623EE" w:rsidP="00B623EE">
            <w:pPr>
              <w:spacing w:line="259" w:lineRule="auto"/>
              <w:jc w:val="both"/>
              <w:rPr>
                <w:rFonts w:ascii="Times New Roman" w:hAnsi="Times New Roman" w:cs="Times New Roman"/>
                <w:b/>
                <w:bCs/>
                <w:sz w:val="24"/>
                <w:szCs w:val="24"/>
              </w:rPr>
            </w:pPr>
            <w:r w:rsidRPr="00B623EE">
              <w:rPr>
                <w:rFonts w:ascii="Times New Roman" w:hAnsi="Times New Roman" w:cs="Times New Roman"/>
                <w:b/>
                <w:bCs/>
                <w:sz w:val="24"/>
                <w:szCs w:val="24"/>
              </w:rPr>
              <w:t>VH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73035B" w14:textId="77777777" w:rsidR="00B623EE" w:rsidRPr="00B623EE" w:rsidRDefault="00B623EE" w:rsidP="00B623EE">
            <w:pPr>
              <w:spacing w:line="259" w:lineRule="auto"/>
              <w:jc w:val="both"/>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548A29" w14:textId="77777777" w:rsidR="00B623EE" w:rsidRPr="00B623EE" w:rsidRDefault="00B623EE" w:rsidP="00B623EE">
            <w:pPr>
              <w:spacing w:line="259" w:lineRule="auto"/>
              <w:jc w:val="both"/>
              <w:rPr>
                <w:rFonts w:ascii="Times New Roman" w:hAnsi="Times New Roman" w:cs="Times New Roman"/>
                <w:sz w:val="24"/>
                <w:szCs w:val="24"/>
              </w:rPr>
            </w:pPr>
          </w:p>
        </w:tc>
      </w:tr>
      <w:tr w:rsidR="00B623EE" w:rsidRPr="00B623EE" w14:paraId="3BA30237" w14:textId="77777777">
        <w:tc>
          <w:tcPr>
            <w:tcW w:w="620" w:type="dxa"/>
            <w:tcBorders>
              <w:top w:val="single" w:sz="4" w:space="0" w:color="auto"/>
              <w:left w:val="single" w:sz="4" w:space="0" w:color="auto"/>
              <w:bottom w:val="single" w:sz="4" w:space="0" w:color="auto"/>
              <w:right w:val="single" w:sz="4" w:space="0" w:color="auto"/>
            </w:tcBorders>
            <w:hideMark/>
          </w:tcPr>
          <w:p w14:paraId="0145B4AD"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1</w:t>
            </w:r>
          </w:p>
        </w:tc>
        <w:tc>
          <w:tcPr>
            <w:tcW w:w="2542" w:type="dxa"/>
            <w:tcBorders>
              <w:top w:val="single" w:sz="4" w:space="0" w:color="auto"/>
              <w:left w:val="single" w:sz="4" w:space="0" w:color="auto"/>
              <w:bottom w:val="single" w:sz="4" w:space="0" w:color="auto"/>
              <w:right w:val="single" w:sz="4" w:space="0" w:color="auto"/>
            </w:tcBorders>
            <w:hideMark/>
          </w:tcPr>
          <w:p w14:paraId="6A3114BB"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 xml:space="preserve">Institutional repositories </w:t>
            </w:r>
          </w:p>
        </w:tc>
        <w:tc>
          <w:tcPr>
            <w:tcW w:w="996" w:type="dxa"/>
            <w:tcBorders>
              <w:top w:val="single" w:sz="4" w:space="0" w:color="auto"/>
              <w:left w:val="single" w:sz="4" w:space="0" w:color="auto"/>
              <w:bottom w:val="single" w:sz="4" w:space="0" w:color="auto"/>
              <w:right w:val="single" w:sz="4" w:space="0" w:color="auto"/>
            </w:tcBorders>
            <w:hideMark/>
          </w:tcPr>
          <w:p w14:paraId="77F53980" w14:textId="77777777" w:rsidR="00B623EE" w:rsidRPr="00B623EE" w:rsidRDefault="00B623EE" w:rsidP="00B623EE">
            <w:pPr>
              <w:spacing w:line="259" w:lineRule="auto"/>
              <w:jc w:val="both"/>
              <w:rPr>
                <w:rFonts w:ascii="Times New Roman" w:hAnsi="Times New Roman" w:cs="Times New Roman"/>
                <w:sz w:val="24"/>
                <w:szCs w:val="24"/>
                <w:lang w:val="en-NG"/>
              </w:rPr>
            </w:pPr>
            <w:r w:rsidRPr="00B623EE">
              <w:rPr>
                <w:rFonts w:ascii="Times New Roman" w:hAnsi="Times New Roman" w:cs="Times New Roman"/>
                <w:sz w:val="24"/>
                <w:szCs w:val="24"/>
                <w:lang w:val="en-NG"/>
              </w:rPr>
              <w:t>11</w:t>
            </w:r>
          </w:p>
          <w:p w14:paraId="15ABDA90"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(3.5%)</w:t>
            </w:r>
          </w:p>
        </w:tc>
        <w:tc>
          <w:tcPr>
            <w:tcW w:w="996" w:type="dxa"/>
            <w:tcBorders>
              <w:top w:val="single" w:sz="4" w:space="0" w:color="auto"/>
              <w:left w:val="single" w:sz="4" w:space="0" w:color="auto"/>
              <w:bottom w:val="single" w:sz="4" w:space="0" w:color="auto"/>
              <w:right w:val="single" w:sz="4" w:space="0" w:color="auto"/>
            </w:tcBorders>
            <w:hideMark/>
          </w:tcPr>
          <w:p w14:paraId="7CEC91E9"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110 (35.4%)</w:t>
            </w:r>
          </w:p>
        </w:tc>
        <w:tc>
          <w:tcPr>
            <w:tcW w:w="996" w:type="dxa"/>
            <w:tcBorders>
              <w:top w:val="single" w:sz="4" w:space="0" w:color="auto"/>
              <w:left w:val="single" w:sz="4" w:space="0" w:color="auto"/>
              <w:bottom w:val="single" w:sz="4" w:space="0" w:color="auto"/>
              <w:right w:val="single" w:sz="4" w:space="0" w:color="auto"/>
            </w:tcBorders>
            <w:hideMark/>
          </w:tcPr>
          <w:p w14:paraId="1AA6A26A" w14:textId="77777777" w:rsidR="00B623EE" w:rsidRPr="00B623EE" w:rsidRDefault="00B623EE" w:rsidP="00B623EE">
            <w:pPr>
              <w:spacing w:line="259" w:lineRule="auto"/>
              <w:jc w:val="both"/>
              <w:rPr>
                <w:rFonts w:ascii="Times New Roman" w:hAnsi="Times New Roman" w:cs="Times New Roman"/>
                <w:sz w:val="24"/>
                <w:szCs w:val="24"/>
                <w:lang w:val="en-NG"/>
              </w:rPr>
            </w:pPr>
            <w:r w:rsidRPr="00B623EE">
              <w:rPr>
                <w:rFonts w:ascii="Times New Roman" w:hAnsi="Times New Roman" w:cs="Times New Roman"/>
                <w:sz w:val="24"/>
                <w:szCs w:val="24"/>
                <w:lang w:val="en-NG"/>
              </w:rPr>
              <w:t xml:space="preserve">70 </w:t>
            </w:r>
          </w:p>
          <w:p w14:paraId="05B17F46"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(22.5%)</w:t>
            </w:r>
          </w:p>
        </w:tc>
        <w:tc>
          <w:tcPr>
            <w:tcW w:w="996" w:type="dxa"/>
            <w:tcBorders>
              <w:top w:val="single" w:sz="4" w:space="0" w:color="auto"/>
              <w:left w:val="single" w:sz="4" w:space="0" w:color="auto"/>
              <w:bottom w:val="single" w:sz="4" w:space="0" w:color="auto"/>
              <w:right w:val="single" w:sz="4" w:space="0" w:color="auto"/>
            </w:tcBorders>
            <w:hideMark/>
          </w:tcPr>
          <w:p w14:paraId="056C4DD7"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104 (33.4%)</w:t>
            </w:r>
          </w:p>
        </w:tc>
        <w:tc>
          <w:tcPr>
            <w:tcW w:w="876" w:type="dxa"/>
            <w:tcBorders>
              <w:top w:val="single" w:sz="4" w:space="0" w:color="auto"/>
              <w:left w:val="single" w:sz="4" w:space="0" w:color="auto"/>
              <w:bottom w:val="single" w:sz="4" w:space="0" w:color="auto"/>
              <w:right w:val="single" w:sz="4" w:space="0" w:color="auto"/>
            </w:tcBorders>
            <w:hideMark/>
          </w:tcPr>
          <w:p w14:paraId="26F2E76E"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16 (5.1%)</w:t>
            </w:r>
          </w:p>
        </w:tc>
        <w:tc>
          <w:tcPr>
            <w:tcW w:w="664" w:type="dxa"/>
            <w:tcBorders>
              <w:top w:val="single" w:sz="4" w:space="0" w:color="auto"/>
              <w:left w:val="single" w:sz="4" w:space="0" w:color="auto"/>
              <w:bottom w:val="single" w:sz="4" w:space="0" w:color="auto"/>
              <w:right w:val="single" w:sz="4" w:space="0" w:color="auto"/>
            </w:tcBorders>
            <w:hideMark/>
          </w:tcPr>
          <w:p w14:paraId="4FA534E3"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3.01</w:t>
            </w:r>
          </w:p>
        </w:tc>
        <w:tc>
          <w:tcPr>
            <w:tcW w:w="664" w:type="dxa"/>
            <w:tcBorders>
              <w:top w:val="single" w:sz="4" w:space="0" w:color="auto"/>
              <w:left w:val="single" w:sz="4" w:space="0" w:color="auto"/>
              <w:bottom w:val="single" w:sz="4" w:space="0" w:color="auto"/>
              <w:right w:val="single" w:sz="4" w:space="0" w:color="auto"/>
            </w:tcBorders>
            <w:hideMark/>
          </w:tcPr>
          <w:p w14:paraId="0FEABEB6"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1.02</w:t>
            </w:r>
          </w:p>
        </w:tc>
      </w:tr>
      <w:tr w:rsidR="00B623EE" w:rsidRPr="00B623EE" w14:paraId="5D903E34" w14:textId="77777777">
        <w:tc>
          <w:tcPr>
            <w:tcW w:w="620" w:type="dxa"/>
            <w:tcBorders>
              <w:top w:val="single" w:sz="4" w:space="0" w:color="auto"/>
              <w:left w:val="single" w:sz="4" w:space="0" w:color="auto"/>
              <w:bottom w:val="single" w:sz="4" w:space="0" w:color="auto"/>
              <w:right w:val="single" w:sz="4" w:space="0" w:color="auto"/>
            </w:tcBorders>
            <w:hideMark/>
          </w:tcPr>
          <w:p w14:paraId="7798D75C"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2</w:t>
            </w:r>
          </w:p>
        </w:tc>
        <w:tc>
          <w:tcPr>
            <w:tcW w:w="2542" w:type="dxa"/>
            <w:tcBorders>
              <w:top w:val="single" w:sz="4" w:space="0" w:color="auto"/>
              <w:left w:val="single" w:sz="4" w:space="0" w:color="auto"/>
              <w:bottom w:val="single" w:sz="4" w:space="0" w:color="auto"/>
              <w:right w:val="single" w:sz="4" w:space="0" w:color="auto"/>
            </w:tcBorders>
            <w:hideMark/>
          </w:tcPr>
          <w:p w14:paraId="3D8AED64"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 xml:space="preserve">Open access publishing platforms </w:t>
            </w:r>
          </w:p>
        </w:tc>
        <w:tc>
          <w:tcPr>
            <w:tcW w:w="996" w:type="dxa"/>
            <w:tcBorders>
              <w:top w:val="single" w:sz="4" w:space="0" w:color="auto"/>
              <w:left w:val="single" w:sz="4" w:space="0" w:color="auto"/>
              <w:bottom w:val="single" w:sz="4" w:space="0" w:color="auto"/>
              <w:right w:val="single" w:sz="4" w:space="0" w:color="auto"/>
            </w:tcBorders>
            <w:hideMark/>
          </w:tcPr>
          <w:p w14:paraId="15C1F0AB" w14:textId="77777777" w:rsidR="00B623EE" w:rsidRPr="00B623EE" w:rsidRDefault="00B623EE" w:rsidP="00B623EE">
            <w:pPr>
              <w:spacing w:line="259" w:lineRule="auto"/>
              <w:jc w:val="both"/>
              <w:rPr>
                <w:rFonts w:ascii="Times New Roman" w:hAnsi="Times New Roman" w:cs="Times New Roman"/>
                <w:sz w:val="24"/>
                <w:szCs w:val="24"/>
                <w:lang w:val="en-NG"/>
              </w:rPr>
            </w:pPr>
            <w:r w:rsidRPr="00B623EE">
              <w:rPr>
                <w:rFonts w:ascii="Times New Roman" w:hAnsi="Times New Roman" w:cs="Times New Roman"/>
                <w:sz w:val="24"/>
                <w:szCs w:val="24"/>
                <w:lang w:val="en-NG"/>
              </w:rPr>
              <w:t>41</w:t>
            </w:r>
          </w:p>
          <w:p w14:paraId="4C3A93B5"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(13.1%)</w:t>
            </w:r>
          </w:p>
        </w:tc>
        <w:tc>
          <w:tcPr>
            <w:tcW w:w="996" w:type="dxa"/>
            <w:tcBorders>
              <w:top w:val="single" w:sz="4" w:space="0" w:color="auto"/>
              <w:left w:val="single" w:sz="4" w:space="0" w:color="auto"/>
              <w:bottom w:val="single" w:sz="4" w:space="0" w:color="auto"/>
              <w:right w:val="single" w:sz="4" w:space="0" w:color="auto"/>
            </w:tcBorders>
            <w:hideMark/>
          </w:tcPr>
          <w:p w14:paraId="7E415A72"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112 (36.0%)</w:t>
            </w:r>
          </w:p>
        </w:tc>
        <w:tc>
          <w:tcPr>
            <w:tcW w:w="996" w:type="dxa"/>
            <w:tcBorders>
              <w:top w:val="single" w:sz="4" w:space="0" w:color="auto"/>
              <w:left w:val="single" w:sz="4" w:space="0" w:color="auto"/>
              <w:bottom w:val="single" w:sz="4" w:space="0" w:color="auto"/>
              <w:right w:val="single" w:sz="4" w:space="0" w:color="auto"/>
            </w:tcBorders>
            <w:hideMark/>
          </w:tcPr>
          <w:p w14:paraId="2C37C37F"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75 (24.1%)</w:t>
            </w:r>
          </w:p>
        </w:tc>
        <w:tc>
          <w:tcPr>
            <w:tcW w:w="996" w:type="dxa"/>
            <w:tcBorders>
              <w:top w:val="single" w:sz="4" w:space="0" w:color="auto"/>
              <w:left w:val="single" w:sz="4" w:space="0" w:color="auto"/>
              <w:bottom w:val="single" w:sz="4" w:space="0" w:color="auto"/>
              <w:right w:val="single" w:sz="4" w:space="0" w:color="auto"/>
            </w:tcBorders>
            <w:hideMark/>
          </w:tcPr>
          <w:p w14:paraId="7253B12E"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72 (23.2%)</w:t>
            </w:r>
          </w:p>
        </w:tc>
        <w:tc>
          <w:tcPr>
            <w:tcW w:w="876" w:type="dxa"/>
            <w:tcBorders>
              <w:top w:val="single" w:sz="4" w:space="0" w:color="auto"/>
              <w:left w:val="single" w:sz="4" w:space="0" w:color="auto"/>
              <w:bottom w:val="single" w:sz="4" w:space="0" w:color="auto"/>
              <w:right w:val="single" w:sz="4" w:space="0" w:color="auto"/>
            </w:tcBorders>
            <w:hideMark/>
          </w:tcPr>
          <w:p w14:paraId="0FC12DF2"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11 (3.5%)</w:t>
            </w:r>
          </w:p>
        </w:tc>
        <w:tc>
          <w:tcPr>
            <w:tcW w:w="664" w:type="dxa"/>
            <w:tcBorders>
              <w:top w:val="single" w:sz="4" w:space="0" w:color="auto"/>
              <w:left w:val="single" w:sz="4" w:space="0" w:color="auto"/>
              <w:bottom w:val="single" w:sz="4" w:space="0" w:color="auto"/>
              <w:right w:val="single" w:sz="4" w:space="0" w:color="auto"/>
            </w:tcBorders>
            <w:hideMark/>
          </w:tcPr>
          <w:p w14:paraId="010C56B0"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2.68</w:t>
            </w:r>
          </w:p>
        </w:tc>
        <w:tc>
          <w:tcPr>
            <w:tcW w:w="664" w:type="dxa"/>
            <w:tcBorders>
              <w:top w:val="single" w:sz="4" w:space="0" w:color="auto"/>
              <w:left w:val="single" w:sz="4" w:space="0" w:color="auto"/>
              <w:bottom w:val="single" w:sz="4" w:space="0" w:color="auto"/>
              <w:right w:val="single" w:sz="4" w:space="0" w:color="auto"/>
            </w:tcBorders>
            <w:hideMark/>
          </w:tcPr>
          <w:p w14:paraId="51665323"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1.08</w:t>
            </w:r>
          </w:p>
        </w:tc>
      </w:tr>
      <w:tr w:rsidR="00B623EE" w:rsidRPr="00B623EE" w14:paraId="2E148820" w14:textId="77777777">
        <w:tc>
          <w:tcPr>
            <w:tcW w:w="620" w:type="dxa"/>
            <w:tcBorders>
              <w:top w:val="single" w:sz="4" w:space="0" w:color="auto"/>
              <w:left w:val="single" w:sz="4" w:space="0" w:color="auto"/>
              <w:bottom w:val="single" w:sz="4" w:space="0" w:color="auto"/>
              <w:right w:val="single" w:sz="4" w:space="0" w:color="auto"/>
            </w:tcBorders>
            <w:hideMark/>
          </w:tcPr>
          <w:p w14:paraId="01AF4A0E"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3</w:t>
            </w:r>
          </w:p>
        </w:tc>
        <w:tc>
          <w:tcPr>
            <w:tcW w:w="2542" w:type="dxa"/>
            <w:tcBorders>
              <w:top w:val="single" w:sz="4" w:space="0" w:color="auto"/>
              <w:left w:val="single" w:sz="4" w:space="0" w:color="auto"/>
              <w:bottom w:val="single" w:sz="4" w:space="0" w:color="auto"/>
              <w:right w:val="single" w:sz="4" w:space="0" w:color="auto"/>
            </w:tcBorders>
            <w:hideMark/>
          </w:tcPr>
          <w:p w14:paraId="3CB8A38C" w14:textId="77777777" w:rsidR="00B623EE" w:rsidRPr="00B623EE" w:rsidRDefault="00B623EE" w:rsidP="000546E0">
            <w:pPr>
              <w:spacing w:line="259" w:lineRule="auto"/>
              <w:rPr>
                <w:rFonts w:ascii="Times New Roman" w:hAnsi="Times New Roman" w:cs="Times New Roman"/>
                <w:sz w:val="24"/>
                <w:szCs w:val="24"/>
              </w:rPr>
            </w:pPr>
            <w:r w:rsidRPr="00B623EE">
              <w:rPr>
                <w:rFonts w:ascii="Times New Roman" w:hAnsi="Times New Roman" w:cs="Times New Roman"/>
                <w:sz w:val="24"/>
                <w:szCs w:val="24"/>
              </w:rPr>
              <w:t xml:space="preserve">Academic social networks </w:t>
            </w:r>
          </w:p>
        </w:tc>
        <w:tc>
          <w:tcPr>
            <w:tcW w:w="996" w:type="dxa"/>
            <w:tcBorders>
              <w:top w:val="single" w:sz="4" w:space="0" w:color="auto"/>
              <w:left w:val="single" w:sz="4" w:space="0" w:color="auto"/>
              <w:bottom w:val="single" w:sz="4" w:space="0" w:color="auto"/>
              <w:right w:val="single" w:sz="4" w:space="0" w:color="auto"/>
            </w:tcBorders>
            <w:hideMark/>
          </w:tcPr>
          <w:p w14:paraId="12670F00"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18 (5.8%)</w:t>
            </w:r>
          </w:p>
        </w:tc>
        <w:tc>
          <w:tcPr>
            <w:tcW w:w="996" w:type="dxa"/>
            <w:tcBorders>
              <w:top w:val="single" w:sz="4" w:space="0" w:color="auto"/>
              <w:left w:val="single" w:sz="4" w:space="0" w:color="auto"/>
              <w:bottom w:val="single" w:sz="4" w:space="0" w:color="auto"/>
              <w:right w:val="single" w:sz="4" w:space="0" w:color="auto"/>
            </w:tcBorders>
            <w:hideMark/>
          </w:tcPr>
          <w:p w14:paraId="16B73504"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110 (35.4%)</w:t>
            </w:r>
          </w:p>
        </w:tc>
        <w:tc>
          <w:tcPr>
            <w:tcW w:w="996" w:type="dxa"/>
            <w:tcBorders>
              <w:top w:val="single" w:sz="4" w:space="0" w:color="auto"/>
              <w:left w:val="single" w:sz="4" w:space="0" w:color="auto"/>
              <w:bottom w:val="single" w:sz="4" w:space="0" w:color="auto"/>
              <w:right w:val="single" w:sz="4" w:space="0" w:color="auto"/>
            </w:tcBorders>
            <w:hideMark/>
          </w:tcPr>
          <w:p w14:paraId="0D798EE8"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76 (24.4%)</w:t>
            </w:r>
          </w:p>
        </w:tc>
        <w:tc>
          <w:tcPr>
            <w:tcW w:w="996" w:type="dxa"/>
            <w:tcBorders>
              <w:top w:val="single" w:sz="4" w:space="0" w:color="auto"/>
              <w:left w:val="single" w:sz="4" w:space="0" w:color="auto"/>
              <w:bottom w:val="single" w:sz="4" w:space="0" w:color="auto"/>
              <w:right w:val="single" w:sz="4" w:space="0" w:color="auto"/>
            </w:tcBorders>
            <w:hideMark/>
          </w:tcPr>
          <w:p w14:paraId="0B6C1374"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85 (27.3%)</w:t>
            </w:r>
          </w:p>
        </w:tc>
        <w:tc>
          <w:tcPr>
            <w:tcW w:w="876" w:type="dxa"/>
            <w:tcBorders>
              <w:top w:val="single" w:sz="4" w:space="0" w:color="auto"/>
              <w:left w:val="single" w:sz="4" w:space="0" w:color="auto"/>
              <w:bottom w:val="single" w:sz="4" w:space="0" w:color="auto"/>
              <w:right w:val="single" w:sz="4" w:space="0" w:color="auto"/>
            </w:tcBorders>
            <w:hideMark/>
          </w:tcPr>
          <w:p w14:paraId="4C331352"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22 (7.1%)</w:t>
            </w:r>
          </w:p>
        </w:tc>
        <w:tc>
          <w:tcPr>
            <w:tcW w:w="664" w:type="dxa"/>
            <w:tcBorders>
              <w:top w:val="single" w:sz="4" w:space="0" w:color="auto"/>
              <w:left w:val="single" w:sz="4" w:space="0" w:color="auto"/>
              <w:bottom w:val="single" w:sz="4" w:space="0" w:color="auto"/>
              <w:right w:val="single" w:sz="4" w:space="0" w:color="auto"/>
            </w:tcBorders>
            <w:hideMark/>
          </w:tcPr>
          <w:p w14:paraId="5E7903E2"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2.95</w:t>
            </w:r>
          </w:p>
        </w:tc>
        <w:tc>
          <w:tcPr>
            <w:tcW w:w="664" w:type="dxa"/>
            <w:tcBorders>
              <w:top w:val="single" w:sz="4" w:space="0" w:color="auto"/>
              <w:left w:val="single" w:sz="4" w:space="0" w:color="auto"/>
              <w:bottom w:val="single" w:sz="4" w:space="0" w:color="auto"/>
              <w:right w:val="single" w:sz="4" w:space="0" w:color="auto"/>
            </w:tcBorders>
            <w:hideMark/>
          </w:tcPr>
          <w:p w14:paraId="6396DFCC"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1.07</w:t>
            </w:r>
          </w:p>
        </w:tc>
      </w:tr>
      <w:tr w:rsidR="00B623EE" w:rsidRPr="00B623EE" w14:paraId="31024792" w14:textId="77777777">
        <w:tc>
          <w:tcPr>
            <w:tcW w:w="620" w:type="dxa"/>
            <w:tcBorders>
              <w:top w:val="single" w:sz="4" w:space="0" w:color="auto"/>
              <w:left w:val="single" w:sz="4" w:space="0" w:color="auto"/>
              <w:bottom w:val="single" w:sz="4" w:space="0" w:color="auto"/>
              <w:right w:val="single" w:sz="4" w:space="0" w:color="auto"/>
            </w:tcBorders>
            <w:hideMark/>
          </w:tcPr>
          <w:p w14:paraId="64B7067E"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4</w:t>
            </w:r>
          </w:p>
        </w:tc>
        <w:tc>
          <w:tcPr>
            <w:tcW w:w="2542" w:type="dxa"/>
            <w:tcBorders>
              <w:top w:val="single" w:sz="4" w:space="0" w:color="auto"/>
              <w:left w:val="single" w:sz="4" w:space="0" w:color="auto"/>
              <w:bottom w:val="single" w:sz="4" w:space="0" w:color="auto"/>
              <w:right w:val="single" w:sz="4" w:space="0" w:color="auto"/>
            </w:tcBorders>
            <w:hideMark/>
          </w:tcPr>
          <w:p w14:paraId="5C810BEE"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 xml:space="preserve">Bibliographic management tools </w:t>
            </w:r>
          </w:p>
        </w:tc>
        <w:tc>
          <w:tcPr>
            <w:tcW w:w="996" w:type="dxa"/>
            <w:tcBorders>
              <w:top w:val="single" w:sz="4" w:space="0" w:color="auto"/>
              <w:left w:val="single" w:sz="4" w:space="0" w:color="auto"/>
              <w:bottom w:val="single" w:sz="4" w:space="0" w:color="auto"/>
              <w:right w:val="single" w:sz="4" w:space="0" w:color="auto"/>
            </w:tcBorders>
            <w:hideMark/>
          </w:tcPr>
          <w:p w14:paraId="5DB38279"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75 (24.1%)</w:t>
            </w:r>
          </w:p>
        </w:tc>
        <w:tc>
          <w:tcPr>
            <w:tcW w:w="996" w:type="dxa"/>
            <w:tcBorders>
              <w:top w:val="single" w:sz="4" w:space="0" w:color="auto"/>
              <w:left w:val="single" w:sz="4" w:space="0" w:color="auto"/>
              <w:bottom w:val="single" w:sz="4" w:space="0" w:color="auto"/>
              <w:right w:val="single" w:sz="4" w:space="0" w:color="auto"/>
            </w:tcBorders>
            <w:hideMark/>
          </w:tcPr>
          <w:p w14:paraId="4AA15411"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98 (31.5%)</w:t>
            </w:r>
          </w:p>
        </w:tc>
        <w:tc>
          <w:tcPr>
            <w:tcW w:w="996" w:type="dxa"/>
            <w:tcBorders>
              <w:top w:val="single" w:sz="4" w:space="0" w:color="auto"/>
              <w:left w:val="single" w:sz="4" w:space="0" w:color="auto"/>
              <w:bottom w:val="single" w:sz="4" w:space="0" w:color="auto"/>
              <w:right w:val="single" w:sz="4" w:space="0" w:color="auto"/>
            </w:tcBorders>
            <w:hideMark/>
          </w:tcPr>
          <w:p w14:paraId="2A22F089"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61 (19.6)</w:t>
            </w:r>
          </w:p>
        </w:tc>
        <w:tc>
          <w:tcPr>
            <w:tcW w:w="996" w:type="dxa"/>
            <w:tcBorders>
              <w:top w:val="single" w:sz="4" w:space="0" w:color="auto"/>
              <w:left w:val="single" w:sz="4" w:space="0" w:color="auto"/>
              <w:bottom w:val="single" w:sz="4" w:space="0" w:color="auto"/>
              <w:right w:val="single" w:sz="4" w:space="0" w:color="auto"/>
            </w:tcBorders>
            <w:hideMark/>
          </w:tcPr>
          <w:p w14:paraId="197281E0"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60 (19.3%)</w:t>
            </w:r>
          </w:p>
        </w:tc>
        <w:tc>
          <w:tcPr>
            <w:tcW w:w="876" w:type="dxa"/>
            <w:tcBorders>
              <w:top w:val="single" w:sz="4" w:space="0" w:color="auto"/>
              <w:left w:val="single" w:sz="4" w:space="0" w:color="auto"/>
              <w:bottom w:val="single" w:sz="4" w:space="0" w:color="auto"/>
              <w:right w:val="single" w:sz="4" w:space="0" w:color="auto"/>
            </w:tcBorders>
            <w:hideMark/>
          </w:tcPr>
          <w:p w14:paraId="58ED3A80"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17 (5.5%)</w:t>
            </w:r>
          </w:p>
        </w:tc>
        <w:tc>
          <w:tcPr>
            <w:tcW w:w="664" w:type="dxa"/>
            <w:tcBorders>
              <w:top w:val="single" w:sz="4" w:space="0" w:color="auto"/>
              <w:left w:val="single" w:sz="4" w:space="0" w:color="auto"/>
              <w:bottom w:val="single" w:sz="4" w:space="0" w:color="auto"/>
              <w:right w:val="single" w:sz="4" w:space="0" w:color="auto"/>
            </w:tcBorders>
            <w:hideMark/>
          </w:tcPr>
          <w:p w14:paraId="1FEA2F52"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2.50</w:t>
            </w:r>
          </w:p>
        </w:tc>
        <w:tc>
          <w:tcPr>
            <w:tcW w:w="664" w:type="dxa"/>
            <w:tcBorders>
              <w:top w:val="single" w:sz="4" w:space="0" w:color="auto"/>
              <w:left w:val="single" w:sz="4" w:space="0" w:color="auto"/>
              <w:bottom w:val="single" w:sz="4" w:space="0" w:color="auto"/>
              <w:right w:val="single" w:sz="4" w:space="0" w:color="auto"/>
            </w:tcBorders>
            <w:hideMark/>
          </w:tcPr>
          <w:p w14:paraId="76262910"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1.20</w:t>
            </w:r>
          </w:p>
        </w:tc>
      </w:tr>
      <w:tr w:rsidR="00B623EE" w:rsidRPr="00B623EE" w14:paraId="3A2FCFE4" w14:textId="77777777">
        <w:tc>
          <w:tcPr>
            <w:tcW w:w="620" w:type="dxa"/>
            <w:tcBorders>
              <w:top w:val="single" w:sz="4" w:space="0" w:color="auto"/>
              <w:left w:val="single" w:sz="4" w:space="0" w:color="auto"/>
              <w:bottom w:val="single" w:sz="4" w:space="0" w:color="auto"/>
              <w:right w:val="single" w:sz="4" w:space="0" w:color="auto"/>
            </w:tcBorders>
            <w:hideMark/>
          </w:tcPr>
          <w:p w14:paraId="3F807026"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5</w:t>
            </w:r>
          </w:p>
        </w:tc>
        <w:tc>
          <w:tcPr>
            <w:tcW w:w="2542" w:type="dxa"/>
            <w:tcBorders>
              <w:top w:val="single" w:sz="4" w:space="0" w:color="auto"/>
              <w:left w:val="single" w:sz="4" w:space="0" w:color="auto"/>
              <w:bottom w:val="single" w:sz="4" w:space="0" w:color="auto"/>
              <w:right w:val="single" w:sz="4" w:space="0" w:color="auto"/>
            </w:tcBorders>
            <w:hideMark/>
          </w:tcPr>
          <w:p w14:paraId="3D5B3FEA" w14:textId="77777777" w:rsidR="00B623EE" w:rsidRPr="00B623EE" w:rsidRDefault="00B623EE" w:rsidP="000546E0">
            <w:pPr>
              <w:spacing w:line="259" w:lineRule="auto"/>
              <w:rPr>
                <w:rFonts w:ascii="Times New Roman" w:hAnsi="Times New Roman" w:cs="Times New Roman"/>
                <w:sz w:val="24"/>
                <w:szCs w:val="24"/>
              </w:rPr>
            </w:pPr>
            <w:r w:rsidRPr="00B623EE">
              <w:rPr>
                <w:rFonts w:ascii="Times New Roman" w:hAnsi="Times New Roman" w:cs="Times New Roman"/>
                <w:sz w:val="24"/>
                <w:szCs w:val="24"/>
              </w:rPr>
              <w:t xml:space="preserve">Online databases and journal repositories </w:t>
            </w:r>
          </w:p>
        </w:tc>
        <w:tc>
          <w:tcPr>
            <w:tcW w:w="996" w:type="dxa"/>
            <w:tcBorders>
              <w:top w:val="single" w:sz="4" w:space="0" w:color="auto"/>
              <w:left w:val="single" w:sz="4" w:space="0" w:color="auto"/>
              <w:bottom w:val="single" w:sz="4" w:space="0" w:color="auto"/>
              <w:right w:val="single" w:sz="4" w:space="0" w:color="auto"/>
            </w:tcBorders>
            <w:hideMark/>
          </w:tcPr>
          <w:p w14:paraId="70AFD33D"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26 (8.4%)</w:t>
            </w:r>
          </w:p>
        </w:tc>
        <w:tc>
          <w:tcPr>
            <w:tcW w:w="996" w:type="dxa"/>
            <w:tcBorders>
              <w:top w:val="single" w:sz="4" w:space="0" w:color="auto"/>
              <w:left w:val="single" w:sz="4" w:space="0" w:color="auto"/>
              <w:bottom w:val="single" w:sz="4" w:space="0" w:color="auto"/>
              <w:right w:val="single" w:sz="4" w:space="0" w:color="auto"/>
            </w:tcBorders>
            <w:hideMark/>
          </w:tcPr>
          <w:p w14:paraId="2447C632"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113 (36.3%)</w:t>
            </w:r>
          </w:p>
        </w:tc>
        <w:tc>
          <w:tcPr>
            <w:tcW w:w="996" w:type="dxa"/>
            <w:tcBorders>
              <w:top w:val="single" w:sz="4" w:space="0" w:color="auto"/>
              <w:left w:val="single" w:sz="4" w:space="0" w:color="auto"/>
              <w:bottom w:val="single" w:sz="4" w:space="0" w:color="auto"/>
              <w:right w:val="single" w:sz="4" w:space="0" w:color="auto"/>
            </w:tcBorders>
            <w:hideMark/>
          </w:tcPr>
          <w:p w14:paraId="708B2987"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74 (23.8%)</w:t>
            </w:r>
          </w:p>
        </w:tc>
        <w:tc>
          <w:tcPr>
            <w:tcW w:w="996" w:type="dxa"/>
            <w:tcBorders>
              <w:top w:val="single" w:sz="4" w:space="0" w:color="auto"/>
              <w:left w:val="single" w:sz="4" w:space="0" w:color="auto"/>
              <w:bottom w:val="single" w:sz="4" w:space="0" w:color="auto"/>
              <w:right w:val="single" w:sz="4" w:space="0" w:color="auto"/>
            </w:tcBorders>
            <w:hideMark/>
          </w:tcPr>
          <w:p w14:paraId="25C5172E"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84 (27.0%)</w:t>
            </w:r>
          </w:p>
        </w:tc>
        <w:tc>
          <w:tcPr>
            <w:tcW w:w="876" w:type="dxa"/>
            <w:tcBorders>
              <w:top w:val="single" w:sz="4" w:space="0" w:color="auto"/>
              <w:left w:val="single" w:sz="4" w:space="0" w:color="auto"/>
              <w:bottom w:val="single" w:sz="4" w:space="0" w:color="auto"/>
              <w:right w:val="single" w:sz="4" w:space="0" w:color="auto"/>
            </w:tcBorders>
            <w:hideMark/>
          </w:tcPr>
          <w:p w14:paraId="1517125C"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14 (4.5%)</w:t>
            </w:r>
          </w:p>
        </w:tc>
        <w:tc>
          <w:tcPr>
            <w:tcW w:w="664" w:type="dxa"/>
            <w:tcBorders>
              <w:top w:val="single" w:sz="4" w:space="0" w:color="auto"/>
              <w:left w:val="single" w:sz="4" w:space="0" w:color="auto"/>
              <w:bottom w:val="single" w:sz="4" w:space="0" w:color="auto"/>
              <w:right w:val="single" w:sz="4" w:space="0" w:color="auto"/>
            </w:tcBorders>
            <w:hideMark/>
          </w:tcPr>
          <w:p w14:paraId="31281450"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2.83</w:t>
            </w:r>
          </w:p>
        </w:tc>
        <w:tc>
          <w:tcPr>
            <w:tcW w:w="664" w:type="dxa"/>
            <w:tcBorders>
              <w:top w:val="single" w:sz="4" w:space="0" w:color="auto"/>
              <w:left w:val="single" w:sz="4" w:space="0" w:color="auto"/>
              <w:bottom w:val="single" w:sz="4" w:space="0" w:color="auto"/>
              <w:right w:val="single" w:sz="4" w:space="0" w:color="auto"/>
            </w:tcBorders>
            <w:hideMark/>
          </w:tcPr>
          <w:p w14:paraId="69A00013"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1.06</w:t>
            </w:r>
          </w:p>
        </w:tc>
      </w:tr>
      <w:tr w:rsidR="00B623EE" w:rsidRPr="00B623EE" w14:paraId="5143E528" w14:textId="77777777">
        <w:tc>
          <w:tcPr>
            <w:tcW w:w="620" w:type="dxa"/>
            <w:tcBorders>
              <w:top w:val="single" w:sz="4" w:space="0" w:color="auto"/>
              <w:left w:val="single" w:sz="4" w:space="0" w:color="auto"/>
              <w:bottom w:val="single" w:sz="4" w:space="0" w:color="auto"/>
              <w:right w:val="single" w:sz="4" w:space="0" w:color="auto"/>
            </w:tcBorders>
            <w:hideMark/>
          </w:tcPr>
          <w:p w14:paraId="57472263"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6</w:t>
            </w:r>
          </w:p>
        </w:tc>
        <w:tc>
          <w:tcPr>
            <w:tcW w:w="2542" w:type="dxa"/>
            <w:tcBorders>
              <w:top w:val="single" w:sz="4" w:space="0" w:color="auto"/>
              <w:left w:val="single" w:sz="4" w:space="0" w:color="auto"/>
              <w:bottom w:val="single" w:sz="4" w:space="0" w:color="auto"/>
              <w:right w:val="single" w:sz="4" w:space="0" w:color="auto"/>
            </w:tcBorders>
            <w:hideMark/>
          </w:tcPr>
          <w:p w14:paraId="5EFF1185"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 xml:space="preserve">Citation analysis tools </w:t>
            </w:r>
          </w:p>
        </w:tc>
        <w:tc>
          <w:tcPr>
            <w:tcW w:w="996" w:type="dxa"/>
            <w:tcBorders>
              <w:top w:val="single" w:sz="4" w:space="0" w:color="auto"/>
              <w:left w:val="single" w:sz="4" w:space="0" w:color="auto"/>
              <w:bottom w:val="single" w:sz="4" w:space="0" w:color="auto"/>
              <w:right w:val="single" w:sz="4" w:space="0" w:color="auto"/>
            </w:tcBorders>
            <w:hideMark/>
          </w:tcPr>
          <w:p w14:paraId="7A50082F" w14:textId="77777777" w:rsidR="00B623EE" w:rsidRPr="00B623EE" w:rsidRDefault="00B623EE" w:rsidP="00B623EE">
            <w:pPr>
              <w:spacing w:line="259" w:lineRule="auto"/>
              <w:jc w:val="both"/>
              <w:rPr>
                <w:rFonts w:ascii="Times New Roman" w:hAnsi="Times New Roman" w:cs="Times New Roman"/>
                <w:sz w:val="24"/>
                <w:szCs w:val="24"/>
                <w:lang w:val="en-NG"/>
              </w:rPr>
            </w:pPr>
            <w:r w:rsidRPr="00B623EE">
              <w:rPr>
                <w:rFonts w:ascii="Times New Roman" w:hAnsi="Times New Roman" w:cs="Times New Roman"/>
                <w:sz w:val="24"/>
                <w:szCs w:val="24"/>
                <w:lang w:val="en-NG"/>
              </w:rPr>
              <w:t xml:space="preserve">31 </w:t>
            </w:r>
          </w:p>
          <w:p w14:paraId="6B56F05A"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(9.9%)</w:t>
            </w:r>
          </w:p>
        </w:tc>
        <w:tc>
          <w:tcPr>
            <w:tcW w:w="996" w:type="dxa"/>
            <w:tcBorders>
              <w:top w:val="single" w:sz="4" w:space="0" w:color="auto"/>
              <w:left w:val="single" w:sz="4" w:space="0" w:color="auto"/>
              <w:bottom w:val="single" w:sz="4" w:space="0" w:color="auto"/>
              <w:right w:val="single" w:sz="4" w:space="0" w:color="auto"/>
            </w:tcBorders>
            <w:hideMark/>
          </w:tcPr>
          <w:p w14:paraId="014FA183"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96 (30.9%)</w:t>
            </w:r>
          </w:p>
        </w:tc>
        <w:tc>
          <w:tcPr>
            <w:tcW w:w="996" w:type="dxa"/>
            <w:tcBorders>
              <w:top w:val="single" w:sz="4" w:space="0" w:color="auto"/>
              <w:left w:val="single" w:sz="4" w:space="0" w:color="auto"/>
              <w:bottom w:val="single" w:sz="4" w:space="0" w:color="auto"/>
              <w:right w:val="single" w:sz="4" w:space="0" w:color="auto"/>
            </w:tcBorders>
            <w:hideMark/>
          </w:tcPr>
          <w:p w14:paraId="66F3D8F5"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79 (25.4%)</w:t>
            </w:r>
          </w:p>
        </w:tc>
        <w:tc>
          <w:tcPr>
            <w:tcW w:w="996" w:type="dxa"/>
            <w:tcBorders>
              <w:top w:val="single" w:sz="4" w:space="0" w:color="auto"/>
              <w:left w:val="single" w:sz="4" w:space="0" w:color="auto"/>
              <w:bottom w:val="single" w:sz="4" w:space="0" w:color="auto"/>
              <w:right w:val="single" w:sz="4" w:space="0" w:color="auto"/>
            </w:tcBorders>
            <w:hideMark/>
          </w:tcPr>
          <w:p w14:paraId="33D71BF4"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93 (29.9%)</w:t>
            </w:r>
          </w:p>
        </w:tc>
        <w:tc>
          <w:tcPr>
            <w:tcW w:w="876" w:type="dxa"/>
            <w:tcBorders>
              <w:top w:val="single" w:sz="4" w:space="0" w:color="auto"/>
              <w:left w:val="single" w:sz="4" w:space="0" w:color="auto"/>
              <w:bottom w:val="single" w:sz="4" w:space="0" w:color="auto"/>
              <w:right w:val="single" w:sz="4" w:space="0" w:color="auto"/>
            </w:tcBorders>
            <w:hideMark/>
          </w:tcPr>
          <w:p w14:paraId="5E5822A0"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12 (3.9%)</w:t>
            </w:r>
          </w:p>
        </w:tc>
        <w:tc>
          <w:tcPr>
            <w:tcW w:w="664" w:type="dxa"/>
            <w:tcBorders>
              <w:top w:val="single" w:sz="4" w:space="0" w:color="auto"/>
              <w:left w:val="single" w:sz="4" w:space="0" w:color="auto"/>
              <w:bottom w:val="single" w:sz="4" w:space="0" w:color="auto"/>
              <w:right w:val="single" w:sz="4" w:space="0" w:color="auto"/>
            </w:tcBorders>
            <w:hideMark/>
          </w:tcPr>
          <w:p w14:paraId="76353CCC"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2.87</w:t>
            </w:r>
          </w:p>
        </w:tc>
        <w:tc>
          <w:tcPr>
            <w:tcW w:w="664" w:type="dxa"/>
            <w:tcBorders>
              <w:top w:val="single" w:sz="4" w:space="0" w:color="auto"/>
              <w:left w:val="single" w:sz="4" w:space="0" w:color="auto"/>
              <w:bottom w:val="single" w:sz="4" w:space="0" w:color="auto"/>
              <w:right w:val="single" w:sz="4" w:space="0" w:color="auto"/>
            </w:tcBorders>
            <w:hideMark/>
          </w:tcPr>
          <w:p w14:paraId="736A54CB"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1.07</w:t>
            </w:r>
          </w:p>
        </w:tc>
      </w:tr>
      <w:tr w:rsidR="00B623EE" w:rsidRPr="00B623EE" w14:paraId="72861A18" w14:textId="77777777">
        <w:tc>
          <w:tcPr>
            <w:tcW w:w="620" w:type="dxa"/>
            <w:tcBorders>
              <w:top w:val="single" w:sz="4" w:space="0" w:color="auto"/>
              <w:left w:val="single" w:sz="4" w:space="0" w:color="auto"/>
              <w:bottom w:val="single" w:sz="4" w:space="0" w:color="auto"/>
              <w:right w:val="single" w:sz="4" w:space="0" w:color="auto"/>
            </w:tcBorders>
            <w:hideMark/>
          </w:tcPr>
          <w:p w14:paraId="34BB21A6"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7</w:t>
            </w:r>
          </w:p>
        </w:tc>
        <w:tc>
          <w:tcPr>
            <w:tcW w:w="2542" w:type="dxa"/>
            <w:tcBorders>
              <w:top w:val="single" w:sz="4" w:space="0" w:color="auto"/>
              <w:left w:val="single" w:sz="4" w:space="0" w:color="auto"/>
              <w:bottom w:val="single" w:sz="4" w:space="0" w:color="auto"/>
              <w:right w:val="single" w:sz="4" w:space="0" w:color="auto"/>
            </w:tcBorders>
            <w:hideMark/>
          </w:tcPr>
          <w:p w14:paraId="0A06A949" w14:textId="77777777" w:rsidR="00B623EE" w:rsidRPr="00B623EE" w:rsidRDefault="00B623EE" w:rsidP="000546E0">
            <w:pPr>
              <w:spacing w:line="259" w:lineRule="auto"/>
              <w:rPr>
                <w:rFonts w:ascii="Times New Roman" w:hAnsi="Times New Roman" w:cs="Times New Roman"/>
                <w:sz w:val="24"/>
                <w:szCs w:val="24"/>
              </w:rPr>
            </w:pPr>
            <w:r w:rsidRPr="00B623EE">
              <w:rPr>
                <w:rFonts w:ascii="Times New Roman" w:hAnsi="Times New Roman" w:cs="Times New Roman"/>
                <w:sz w:val="24"/>
                <w:szCs w:val="24"/>
              </w:rPr>
              <w:t xml:space="preserve">Open educational resources </w:t>
            </w:r>
          </w:p>
        </w:tc>
        <w:tc>
          <w:tcPr>
            <w:tcW w:w="996" w:type="dxa"/>
            <w:tcBorders>
              <w:top w:val="single" w:sz="4" w:space="0" w:color="auto"/>
              <w:left w:val="single" w:sz="4" w:space="0" w:color="auto"/>
              <w:bottom w:val="single" w:sz="4" w:space="0" w:color="auto"/>
              <w:right w:val="single" w:sz="4" w:space="0" w:color="auto"/>
            </w:tcBorders>
            <w:hideMark/>
          </w:tcPr>
          <w:p w14:paraId="3C99100A"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19 (6.1%)</w:t>
            </w:r>
          </w:p>
        </w:tc>
        <w:tc>
          <w:tcPr>
            <w:tcW w:w="996" w:type="dxa"/>
            <w:tcBorders>
              <w:top w:val="single" w:sz="4" w:space="0" w:color="auto"/>
              <w:left w:val="single" w:sz="4" w:space="0" w:color="auto"/>
              <w:bottom w:val="single" w:sz="4" w:space="0" w:color="auto"/>
              <w:right w:val="single" w:sz="4" w:space="0" w:color="auto"/>
            </w:tcBorders>
            <w:hideMark/>
          </w:tcPr>
          <w:p w14:paraId="57092427"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80 (25.7%)</w:t>
            </w:r>
          </w:p>
        </w:tc>
        <w:tc>
          <w:tcPr>
            <w:tcW w:w="996" w:type="dxa"/>
            <w:tcBorders>
              <w:top w:val="single" w:sz="4" w:space="0" w:color="auto"/>
              <w:left w:val="single" w:sz="4" w:space="0" w:color="auto"/>
              <w:bottom w:val="single" w:sz="4" w:space="0" w:color="auto"/>
              <w:right w:val="single" w:sz="4" w:space="0" w:color="auto"/>
            </w:tcBorders>
            <w:hideMark/>
          </w:tcPr>
          <w:p w14:paraId="14BCC1D0"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101 (32.5%)</w:t>
            </w:r>
          </w:p>
        </w:tc>
        <w:tc>
          <w:tcPr>
            <w:tcW w:w="996" w:type="dxa"/>
            <w:tcBorders>
              <w:top w:val="single" w:sz="4" w:space="0" w:color="auto"/>
              <w:left w:val="single" w:sz="4" w:space="0" w:color="auto"/>
              <w:bottom w:val="single" w:sz="4" w:space="0" w:color="auto"/>
              <w:right w:val="single" w:sz="4" w:space="0" w:color="auto"/>
            </w:tcBorders>
            <w:hideMark/>
          </w:tcPr>
          <w:p w14:paraId="286413A4"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91 (29.3%)</w:t>
            </w:r>
          </w:p>
        </w:tc>
        <w:tc>
          <w:tcPr>
            <w:tcW w:w="876" w:type="dxa"/>
            <w:tcBorders>
              <w:top w:val="single" w:sz="4" w:space="0" w:color="auto"/>
              <w:left w:val="single" w:sz="4" w:space="0" w:color="auto"/>
              <w:bottom w:val="single" w:sz="4" w:space="0" w:color="auto"/>
              <w:right w:val="single" w:sz="4" w:space="0" w:color="auto"/>
            </w:tcBorders>
            <w:hideMark/>
          </w:tcPr>
          <w:p w14:paraId="22525492"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lang w:val="en-NG"/>
              </w:rPr>
              <w:t>20 (6.4%)</w:t>
            </w:r>
          </w:p>
        </w:tc>
        <w:tc>
          <w:tcPr>
            <w:tcW w:w="664" w:type="dxa"/>
            <w:tcBorders>
              <w:top w:val="single" w:sz="4" w:space="0" w:color="auto"/>
              <w:left w:val="single" w:sz="4" w:space="0" w:color="auto"/>
              <w:bottom w:val="single" w:sz="4" w:space="0" w:color="auto"/>
              <w:right w:val="single" w:sz="4" w:space="0" w:color="auto"/>
            </w:tcBorders>
            <w:hideMark/>
          </w:tcPr>
          <w:p w14:paraId="4B831E49"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3.04</w:t>
            </w:r>
          </w:p>
        </w:tc>
        <w:tc>
          <w:tcPr>
            <w:tcW w:w="664" w:type="dxa"/>
            <w:tcBorders>
              <w:top w:val="single" w:sz="4" w:space="0" w:color="auto"/>
              <w:left w:val="single" w:sz="4" w:space="0" w:color="auto"/>
              <w:bottom w:val="single" w:sz="4" w:space="0" w:color="auto"/>
              <w:right w:val="single" w:sz="4" w:space="0" w:color="auto"/>
            </w:tcBorders>
            <w:hideMark/>
          </w:tcPr>
          <w:p w14:paraId="002DA7AC" w14:textId="77777777" w:rsidR="00B623EE" w:rsidRPr="00B623EE" w:rsidRDefault="00B623EE" w:rsidP="00B623EE">
            <w:pPr>
              <w:spacing w:line="259" w:lineRule="auto"/>
              <w:jc w:val="both"/>
              <w:rPr>
                <w:rFonts w:ascii="Times New Roman" w:hAnsi="Times New Roman" w:cs="Times New Roman"/>
                <w:sz w:val="24"/>
                <w:szCs w:val="24"/>
              </w:rPr>
            </w:pPr>
            <w:r w:rsidRPr="00B623EE">
              <w:rPr>
                <w:rFonts w:ascii="Times New Roman" w:hAnsi="Times New Roman" w:cs="Times New Roman"/>
                <w:sz w:val="24"/>
                <w:szCs w:val="24"/>
              </w:rPr>
              <w:t>1.02</w:t>
            </w:r>
          </w:p>
        </w:tc>
      </w:tr>
    </w:tbl>
    <w:p w14:paraId="590D8F25" w14:textId="77777777" w:rsidR="00B623EE" w:rsidRDefault="00B623EE" w:rsidP="00DF4208">
      <w:pPr>
        <w:spacing w:after="0"/>
        <w:jc w:val="both"/>
        <w:rPr>
          <w:rFonts w:ascii="Times New Roman" w:hAnsi="Times New Roman" w:cs="Times New Roman"/>
          <w:sz w:val="24"/>
          <w:szCs w:val="24"/>
        </w:rPr>
      </w:pPr>
    </w:p>
    <w:p w14:paraId="6CAC56E2" w14:textId="3A239405" w:rsidR="00706757" w:rsidRPr="00706757" w:rsidRDefault="00706757" w:rsidP="00706757">
      <w:pPr>
        <w:spacing w:after="0"/>
        <w:jc w:val="both"/>
        <w:rPr>
          <w:rFonts w:ascii="Times New Roman" w:hAnsi="Times New Roman" w:cs="Times New Roman"/>
          <w:sz w:val="24"/>
          <w:szCs w:val="24"/>
        </w:rPr>
      </w:pPr>
      <w:r w:rsidRPr="00706757">
        <w:rPr>
          <w:rFonts w:ascii="Times New Roman" w:hAnsi="Times New Roman" w:cs="Times New Roman"/>
          <w:sz w:val="24"/>
          <w:szCs w:val="24"/>
          <w:lang w:val="en-NG"/>
        </w:rPr>
        <w:t xml:space="preserve">Table </w:t>
      </w:r>
      <w:r w:rsidR="002B10D5">
        <w:rPr>
          <w:rFonts w:ascii="Times New Roman" w:hAnsi="Times New Roman" w:cs="Times New Roman"/>
          <w:sz w:val="24"/>
          <w:szCs w:val="24"/>
          <w:lang w:val="en-NG"/>
        </w:rPr>
        <w:t xml:space="preserve">2 </w:t>
      </w:r>
      <w:r w:rsidRPr="00706757">
        <w:rPr>
          <w:rFonts w:ascii="Times New Roman" w:hAnsi="Times New Roman" w:cs="Times New Roman"/>
          <w:sz w:val="24"/>
          <w:szCs w:val="24"/>
          <w:lang w:val="en-NG"/>
        </w:rPr>
        <w:t>shows the analysis of the level of awareness of scholarly infrastructure among the respondents. Open Educational Resources (OER) and Institutional Repositories (IR) scored above the benchmark, indicating that LIS academics are highly aware of these infrastructures. Other infrastructures such as Bibliographic Management Tools and Open Access</w:t>
      </w:r>
      <w:r w:rsidRPr="00706757">
        <w:rPr>
          <w:rFonts w:ascii="Times New Roman" w:hAnsi="Times New Roman" w:cs="Times New Roman"/>
          <w:b/>
          <w:bCs/>
          <w:sz w:val="24"/>
          <w:szCs w:val="24"/>
          <w:lang w:val="en-NG"/>
        </w:rPr>
        <w:t xml:space="preserve"> </w:t>
      </w:r>
      <w:r w:rsidRPr="00706757">
        <w:rPr>
          <w:rFonts w:ascii="Times New Roman" w:hAnsi="Times New Roman" w:cs="Times New Roman"/>
          <w:sz w:val="24"/>
          <w:szCs w:val="24"/>
          <w:lang w:val="en-NG"/>
        </w:rPr>
        <w:t>Platforms recorded lower</w:t>
      </w:r>
      <w:r w:rsidRPr="00706757">
        <w:rPr>
          <w:rFonts w:ascii="Times New Roman" w:hAnsi="Times New Roman" w:cs="Times New Roman"/>
          <w:b/>
          <w:bCs/>
          <w:sz w:val="24"/>
          <w:szCs w:val="24"/>
          <w:lang w:val="en-NG"/>
        </w:rPr>
        <w:t xml:space="preserve"> </w:t>
      </w:r>
      <w:r w:rsidRPr="00706757">
        <w:rPr>
          <w:rFonts w:ascii="Times New Roman" w:hAnsi="Times New Roman" w:cs="Times New Roman"/>
          <w:sz w:val="24"/>
          <w:szCs w:val="24"/>
          <w:lang w:val="en-NG"/>
        </w:rPr>
        <w:t>awareness, suggesting the need for awareness campaigns and training. The standard deviation values ranging from 1.02 to 1.20 also indicate moderate</w:t>
      </w:r>
      <w:r w:rsidRPr="00706757">
        <w:rPr>
          <w:rFonts w:ascii="Times New Roman" w:hAnsi="Times New Roman" w:cs="Times New Roman"/>
          <w:b/>
          <w:bCs/>
          <w:sz w:val="24"/>
          <w:szCs w:val="24"/>
          <w:lang w:val="en-NG"/>
        </w:rPr>
        <w:t xml:space="preserve"> </w:t>
      </w:r>
      <w:r w:rsidRPr="00706757">
        <w:rPr>
          <w:rFonts w:ascii="Times New Roman" w:hAnsi="Times New Roman" w:cs="Times New Roman"/>
          <w:sz w:val="24"/>
          <w:szCs w:val="24"/>
          <w:lang w:val="en-NG"/>
        </w:rPr>
        <w:t xml:space="preserve">variability in responses, meaning not all respondents had similar awareness levels. </w:t>
      </w:r>
      <w:r w:rsidRPr="00706757">
        <w:rPr>
          <w:rFonts w:ascii="Times New Roman" w:hAnsi="Times New Roman" w:cs="Times New Roman"/>
          <w:sz w:val="24"/>
          <w:szCs w:val="24"/>
        </w:rPr>
        <w:t>The higher awareness levels of OERs and IRs among LIS academics in federal universities in northern Nigeria can be attributed to institutional promotion, library-driven advocacy, accessibility, and the professional relevance of these tools to the LIS discipline. This position agrees with the finding of Ocholla, Mostert and Rotich (2016) which revealed that institutional efforts play a vital role in promoting awareness of scholarly infrastructures. Most of the federal universities especially under the TETFund-supported modernization agenda have actively developed and promoted institutional repositories to showcase research outputs. Similarly, OER initiatives have been integrated into training workshops, orientation programs, and curriculum development, particularly for digital teaching and open-access promotion. This institutional push likely increases exposure and awareness among academics.</w:t>
      </w:r>
    </w:p>
    <w:p w14:paraId="628F3A7F" w14:textId="77777777" w:rsidR="00000DEE" w:rsidRDefault="00000DEE" w:rsidP="00DF4208">
      <w:pPr>
        <w:spacing w:after="0"/>
        <w:jc w:val="both"/>
        <w:rPr>
          <w:rFonts w:ascii="Times New Roman" w:hAnsi="Times New Roman" w:cs="Times New Roman"/>
          <w:sz w:val="24"/>
          <w:szCs w:val="24"/>
        </w:rPr>
      </w:pPr>
    </w:p>
    <w:p w14:paraId="249D96AA" w14:textId="1196AEAC" w:rsidR="00706757" w:rsidRDefault="00706757" w:rsidP="00706757">
      <w:pPr>
        <w:spacing w:after="0"/>
        <w:jc w:val="both"/>
        <w:rPr>
          <w:rFonts w:ascii="Times New Roman" w:hAnsi="Times New Roman" w:cs="Times New Roman"/>
          <w:sz w:val="24"/>
          <w:szCs w:val="24"/>
        </w:rPr>
      </w:pPr>
      <w:r w:rsidRPr="00706757">
        <w:rPr>
          <w:rFonts w:ascii="Times New Roman" w:hAnsi="Times New Roman" w:cs="Times New Roman"/>
          <w:b/>
          <w:bCs/>
          <w:sz w:val="24"/>
          <w:szCs w:val="24"/>
        </w:rPr>
        <w:t xml:space="preserve">Research Question </w:t>
      </w:r>
      <w:r w:rsidR="008D4F73">
        <w:rPr>
          <w:rFonts w:ascii="Times New Roman" w:hAnsi="Times New Roman" w:cs="Times New Roman"/>
          <w:b/>
          <w:bCs/>
          <w:sz w:val="24"/>
          <w:szCs w:val="24"/>
        </w:rPr>
        <w:t>two</w:t>
      </w:r>
      <w:r>
        <w:rPr>
          <w:rFonts w:ascii="Times New Roman" w:hAnsi="Times New Roman" w:cs="Times New Roman"/>
          <w:sz w:val="24"/>
          <w:szCs w:val="24"/>
        </w:rPr>
        <w:t xml:space="preserve">: </w:t>
      </w:r>
      <w:r w:rsidRPr="00706757">
        <w:rPr>
          <w:rFonts w:ascii="Times New Roman" w:hAnsi="Times New Roman" w:cs="Times New Roman"/>
          <w:b/>
          <w:bCs/>
          <w:i/>
          <w:iCs/>
          <w:sz w:val="24"/>
          <w:szCs w:val="24"/>
        </w:rPr>
        <w:t xml:space="preserve">What is the </w:t>
      </w:r>
      <w:r w:rsidR="008D4F73">
        <w:rPr>
          <w:rFonts w:ascii="Times New Roman" w:hAnsi="Times New Roman" w:cs="Times New Roman"/>
          <w:b/>
          <w:bCs/>
          <w:i/>
          <w:iCs/>
          <w:sz w:val="24"/>
          <w:szCs w:val="24"/>
        </w:rPr>
        <w:t>extent</w:t>
      </w:r>
      <w:r w:rsidRPr="00706757">
        <w:rPr>
          <w:rFonts w:ascii="Times New Roman" w:hAnsi="Times New Roman" w:cs="Times New Roman"/>
          <w:b/>
          <w:bCs/>
          <w:i/>
          <w:iCs/>
          <w:sz w:val="24"/>
          <w:szCs w:val="24"/>
        </w:rPr>
        <w:t xml:space="preserve"> of </w:t>
      </w:r>
      <w:r w:rsidR="008D4F73">
        <w:rPr>
          <w:rFonts w:ascii="Times New Roman" w:hAnsi="Times New Roman" w:cs="Times New Roman"/>
          <w:b/>
          <w:bCs/>
          <w:i/>
          <w:iCs/>
          <w:sz w:val="24"/>
          <w:szCs w:val="24"/>
        </w:rPr>
        <w:t>utilization</w:t>
      </w:r>
      <w:r w:rsidRPr="00706757">
        <w:rPr>
          <w:rFonts w:ascii="Times New Roman" w:hAnsi="Times New Roman" w:cs="Times New Roman"/>
          <w:b/>
          <w:bCs/>
          <w:i/>
          <w:iCs/>
          <w:sz w:val="24"/>
          <w:szCs w:val="24"/>
        </w:rPr>
        <w:t xml:space="preserve"> of scholarly infrastructure among LIS academics in federal universities in Northern Nigeria?</w:t>
      </w:r>
    </w:p>
    <w:p w14:paraId="79A632D5" w14:textId="77E0E803" w:rsidR="00000DEE" w:rsidRDefault="00706757" w:rsidP="00706757">
      <w:pPr>
        <w:spacing w:after="0"/>
        <w:jc w:val="both"/>
        <w:rPr>
          <w:rFonts w:ascii="Times New Roman" w:hAnsi="Times New Roman" w:cs="Times New Roman"/>
          <w:sz w:val="24"/>
          <w:szCs w:val="24"/>
        </w:rPr>
      </w:pPr>
      <w:r>
        <w:rPr>
          <w:rFonts w:ascii="Times New Roman" w:hAnsi="Times New Roman" w:cs="Times New Roman"/>
          <w:sz w:val="24"/>
          <w:szCs w:val="24"/>
        </w:rPr>
        <w:t xml:space="preserve">The </w:t>
      </w:r>
      <w:r w:rsidR="00571D70">
        <w:rPr>
          <w:rFonts w:ascii="Times New Roman" w:hAnsi="Times New Roman" w:cs="Times New Roman"/>
          <w:sz w:val="24"/>
          <w:szCs w:val="24"/>
        </w:rPr>
        <w:t>extent</w:t>
      </w:r>
      <w:r>
        <w:rPr>
          <w:rFonts w:ascii="Times New Roman" w:hAnsi="Times New Roman" w:cs="Times New Roman"/>
          <w:sz w:val="24"/>
          <w:szCs w:val="24"/>
        </w:rPr>
        <w:t xml:space="preserve"> of </w:t>
      </w:r>
      <w:r w:rsidR="00571D70">
        <w:rPr>
          <w:rFonts w:ascii="Times New Roman" w:hAnsi="Times New Roman" w:cs="Times New Roman"/>
          <w:sz w:val="24"/>
          <w:szCs w:val="24"/>
        </w:rPr>
        <w:t>utilization</w:t>
      </w:r>
      <w:r>
        <w:rPr>
          <w:rFonts w:ascii="Times New Roman" w:hAnsi="Times New Roman" w:cs="Times New Roman"/>
          <w:sz w:val="24"/>
          <w:szCs w:val="24"/>
        </w:rPr>
        <w:t xml:space="preserve"> of scholarly infrastructure among LIS academics in the nine (9) federal universities was examined with response scale of </w:t>
      </w:r>
      <w:r w:rsidR="00571D70">
        <w:rPr>
          <w:rFonts w:ascii="Times New Roman" w:hAnsi="Times New Roman" w:cs="Times New Roman"/>
          <w:sz w:val="24"/>
          <w:szCs w:val="24"/>
        </w:rPr>
        <w:t>Not Utilized</w:t>
      </w:r>
      <w:r w:rsidRPr="00B623EE">
        <w:rPr>
          <w:rFonts w:ascii="Times New Roman" w:hAnsi="Times New Roman" w:cs="Times New Roman"/>
          <w:sz w:val="24"/>
          <w:szCs w:val="24"/>
        </w:rPr>
        <w:t xml:space="preserve"> </w:t>
      </w:r>
      <w:r>
        <w:rPr>
          <w:rFonts w:ascii="Times New Roman" w:hAnsi="Times New Roman" w:cs="Times New Roman"/>
          <w:sz w:val="24"/>
          <w:szCs w:val="24"/>
        </w:rPr>
        <w:t>(</w:t>
      </w:r>
      <w:r w:rsidR="00571D70">
        <w:rPr>
          <w:rFonts w:ascii="Times New Roman" w:hAnsi="Times New Roman" w:cs="Times New Roman"/>
          <w:sz w:val="24"/>
          <w:szCs w:val="24"/>
        </w:rPr>
        <w:t>NU</w:t>
      </w:r>
      <w:r>
        <w:rPr>
          <w:rFonts w:ascii="Times New Roman" w:hAnsi="Times New Roman" w:cs="Times New Roman"/>
          <w:sz w:val="24"/>
          <w:szCs w:val="24"/>
        </w:rPr>
        <w:t>)</w:t>
      </w:r>
      <w:r w:rsidRPr="00B623EE">
        <w:rPr>
          <w:rFonts w:ascii="Times New Roman" w:hAnsi="Times New Roman" w:cs="Times New Roman"/>
          <w:sz w:val="24"/>
          <w:szCs w:val="24"/>
        </w:rPr>
        <w:t xml:space="preserve">, </w:t>
      </w:r>
      <w:r w:rsidR="00571D70">
        <w:rPr>
          <w:rFonts w:ascii="Times New Roman" w:hAnsi="Times New Roman" w:cs="Times New Roman"/>
          <w:sz w:val="24"/>
          <w:szCs w:val="24"/>
        </w:rPr>
        <w:t>Rarely Utilized</w:t>
      </w:r>
      <w:r>
        <w:rPr>
          <w:rFonts w:ascii="Times New Roman" w:hAnsi="Times New Roman" w:cs="Times New Roman"/>
          <w:sz w:val="24"/>
          <w:szCs w:val="24"/>
        </w:rPr>
        <w:t xml:space="preserve"> (</w:t>
      </w:r>
      <w:r w:rsidR="00571D70">
        <w:rPr>
          <w:rFonts w:ascii="Times New Roman" w:hAnsi="Times New Roman" w:cs="Times New Roman"/>
          <w:sz w:val="24"/>
          <w:szCs w:val="24"/>
        </w:rPr>
        <w:t>RU</w:t>
      </w:r>
      <w:r>
        <w:rPr>
          <w:rFonts w:ascii="Times New Roman" w:hAnsi="Times New Roman" w:cs="Times New Roman"/>
          <w:sz w:val="24"/>
          <w:szCs w:val="24"/>
        </w:rPr>
        <w:t>)</w:t>
      </w:r>
      <w:r w:rsidRPr="00B623EE">
        <w:rPr>
          <w:rFonts w:ascii="Times New Roman" w:hAnsi="Times New Roman" w:cs="Times New Roman"/>
          <w:sz w:val="24"/>
          <w:szCs w:val="24"/>
        </w:rPr>
        <w:t>, Undecided</w:t>
      </w:r>
      <w:r>
        <w:rPr>
          <w:rFonts w:ascii="Times New Roman" w:hAnsi="Times New Roman" w:cs="Times New Roman"/>
          <w:sz w:val="24"/>
          <w:szCs w:val="24"/>
        </w:rPr>
        <w:t xml:space="preserve"> (U)</w:t>
      </w:r>
      <w:r w:rsidRPr="00B623EE">
        <w:rPr>
          <w:rFonts w:ascii="Times New Roman" w:hAnsi="Times New Roman" w:cs="Times New Roman"/>
          <w:sz w:val="24"/>
          <w:szCs w:val="24"/>
        </w:rPr>
        <w:t xml:space="preserve">, </w:t>
      </w:r>
      <w:r w:rsidR="00571D70">
        <w:rPr>
          <w:rFonts w:ascii="Times New Roman" w:hAnsi="Times New Roman" w:cs="Times New Roman"/>
          <w:sz w:val="24"/>
          <w:szCs w:val="24"/>
        </w:rPr>
        <w:t>Frequently Utilized</w:t>
      </w:r>
      <w:r>
        <w:rPr>
          <w:rFonts w:ascii="Times New Roman" w:hAnsi="Times New Roman" w:cs="Times New Roman"/>
          <w:sz w:val="24"/>
          <w:szCs w:val="24"/>
        </w:rPr>
        <w:t xml:space="preserve"> (</w:t>
      </w:r>
      <w:r w:rsidR="00571D70">
        <w:rPr>
          <w:rFonts w:ascii="Times New Roman" w:hAnsi="Times New Roman" w:cs="Times New Roman"/>
          <w:sz w:val="24"/>
          <w:szCs w:val="24"/>
        </w:rPr>
        <w:t>FU</w:t>
      </w:r>
      <w:r>
        <w:rPr>
          <w:rFonts w:ascii="Times New Roman" w:hAnsi="Times New Roman" w:cs="Times New Roman"/>
          <w:sz w:val="24"/>
          <w:szCs w:val="24"/>
        </w:rPr>
        <w:t>) and</w:t>
      </w:r>
      <w:r w:rsidRPr="00B623EE">
        <w:rPr>
          <w:rFonts w:ascii="Times New Roman" w:hAnsi="Times New Roman" w:cs="Times New Roman"/>
          <w:sz w:val="24"/>
          <w:szCs w:val="24"/>
        </w:rPr>
        <w:t xml:space="preserve"> High</w:t>
      </w:r>
      <w:r w:rsidR="00571D70">
        <w:rPr>
          <w:rFonts w:ascii="Times New Roman" w:hAnsi="Times New Roman" w:cs="Times New Roman"/>
          <w:sz w:val="24"/>
          <w:szCs w:val="24"/>
        </w:rPr>
        <w:t>ly Utilized</w:t>
      </w:r>
      <w:r>
        <w:rPr>
          <w:rFonts w:ascii="Times New Roman" w:hAnsi="Times New Roman" w:cs="Times New Roman"/>
          <w:sz w:val="24"/>
          <w:szCs w:val="24"/>
        </w:rPr>
        <w:t xml:space="preserve"> (H</w:t>
      </w:r>
      <w:r w:rsidR="00571D70">
        <w:rPr>
          <w:rFonts w:ascii="Times New Roman" w:hAnsi="Times New Roman" w:cs="Times New Roman"/>
          <w:sz w:val="24"/>
          <w:szCs w:val="24"/>
        </w:rPr>
        <w:t>U</w:t>
      </w:r>
      <w:r>
        <w:rPr>
          <w:rFonts w:ascii="Times New Roman" w:hAnsi="Times New Roman" w:cs="Times New Roman"/>
          <w:sz w:val="24"/>
          <w:szCs w:val="24"/>
        </w:rPr>
        <w:t>) respectively</w:t>
      </w:r>
    </w:p>
    <w:p w14:paraId="4F9E6769" w14:textId="77777777" w:rsidR="00602402" w:rsidRDefault="00602402" w:rsidP="00706757">
      <w:pPr>
        <w:spacing w:after="0"/>
        <w:jc w:val="both"/>
        <w:rPr>
          <w:rFonts w:ascii="Times New Roman" w:hAnsi="Times New Roman" w:cs="Times New Roman"/>
          <w:sz w:val="24"/>
          <w:szCs w:val="24"/>
        </w:rPr>
      </w:pPr>
    </w:p>
    <w:p w14:paraId="24424E1D" w14:textId="469BAEC2" w:rsidR="00BB5F41" w:rsidRPr="00106712" w:rsidRDefault="00BB5F41" w:rsidP="00706757">
      <w:pPr>
        <w:spacing w:after="0"/>
        <w:jc w:val="both"/>
        <w:rPr>
          <w:rFonts w:ascii="Times New Roman" w:hAnsi="Times New Roman" w:cs="Times New Roman"/>
          <w:b/>
          <w:bCs/>
          <w:sz w:val="24"/>
          <w:szCs w:val="24"/>
        </w:rPr>
      </w:pPr>
      <w:r w:rsidRPr="00106712">
        <w:rPr>
          <w:rFonts w:ascii="Times New Roman" w:hAnsi="Times New Roman" w:cs="Times New Roman"/>
          <w:b/>
          <w:bCs/>
          <w:sz w:val="24"/>
          <w:szCs w:val="24"/>
        </w:rPr>
        <w:t xml:space="preserve">Table </w:t>
      </w:r>
      <w:r w:rsidR="002B10D5">
        <w:rPr>
          <w:rFonts w:ascii="Times New Roman" w:hAnsi="Times New Roman" w:cs="Times New Roman"/>
          <w:b/>
          <w:bCs/>
          <w:sz w:val="24"/>
          <w:szCs w:val="24"/>
        </w:rPr>
        <w:t>3</w:t>
      </w:r>
      <w:r w:rsidRPr="00106712">
        <w:rPr>
          <w:rFonts w:ascii="Times New Roman" w:hAnsi="Times New Roman" w:cs="Times New Roman"/>
          <w:b/>
          <w:bCs/>
          <w:sz w:val="24"/>
          <w:szCs w:val="24"/>
        </w:rPr>
        <w:t xml:space="preserve">: </w:t>
      </w:r>
      <w:r w:rsidR="00106712" w:rsidRPr="00106712">
        <w:rPr>
          <w:rFonts w:ascii="Times New Roman" w:hAnsi="Times New Roman" w:cs="Times New Roman"/>
          <w:b/>
          <w:bCs/>
          <w:sz w:val="24"/>
          <w:szCs w:val="24"/>
        </w:rPr>
        <w:t>Extent of Utilization of Scholarly Infrastructure by LIS Academics in Federal Universities in Northern Nigeria</w:t>
      </w:r>
    </w:p>
    <w:tbl>
      <w:tblPr>
        <w:tblStyle w:val="TableGrid"/>
        <w:tblW w:w="0" w:type="auto"/>
        <w:tblLook w:val="04A0" w:firstRow="1" w:lastRow="0" w:firstColumn="1" w:lastColumn="0" w:noHBand="0" w:noVBand="1"/>
      </w:tblPr>
      <w:tblGrid>
        <w:gridCol w:w="624"/>
        <w:gridCol w:w="2657"/>
        <w:gridCol w:w="996"/>
        <w:gridCol w:w="996"/>
        <w:gridCol w:w="996"/>
        <w:gridCol w:w="996"/>
        <w:gridCol w:w="876"/>
        <w:gridCol w:w="603"/>
        <w:gridCol w:w="606"/>
      </w:tblGrid>
      <w:tr w:rsidR="00BB5F41" w:rsidRPr="00BB5F41" w14:paraId="27B9BF51" w14:textId="77777777">
        <w:tc>
          <w:tcPr>
            <w:tcW w:w="624" w:type="dxa"/>
            <w:vMerge w:val="restart"/>
            <w:tcBorders>
              <w:top w:val="single" w:sz="4" w:space="0" w:color="auto"/>
              <w:left w:val="single" w:sz="4" w:space="0" w:color="auto"/>
              <w:bottom w:val="single" w:sz="4" w:space="0" w:color="auto"/>
              <w:right w:val="single" w:sz="4" w:space="0" w:color="auto"/>
            </w:tcBorders>
          </w:tcPr>
          <w:p w14:paraId="4DEFEA3C" w14:textId="77777777" w:rsidR="00BB5F41" w:rsidRPr="00BB5F41" w:rsidRDefault="00BB5F41" w:rsidP="00BB5F41">
            <w:pPr>
              <w:spacing w:line="259" w:lineRule="auto"/>
              <w:jc w:val="both"/>
              <w:rPr>
                <w:rFonts w:ascii="Times New Roman" w:hAnsi="Times New Roman" w:cs="Times New Roman"/>
                <w:sz w:val="24"/>
                <w:szCs w:val="24"/>
              </w:rPr>
            </w:pPr>
          </w:p>
          <w:p w14:paraId="07F9DCC9" w14:textId="77777777" w:rsidR="00BB5F41" w:rsidRPr="00BB5F41" w:rsidRDefault="00BB5F41" w:rsidP="00BB5F41">
            <w:pPr>
              <w:spacing w:line="259" w:lineRule="auto"/>
              <w:jc w:val="both"/>
              <w:rPr>
                <w:rFonts w:ascii="Times New Roman" w:hAnsi="Times New Roman" w:cs="Times New Roman"/>
                <w:b/>
                <w:bCs/>
                <w:sz w:val="24"/>
                <w:szCs w:val="24"/>
              </w:rPr>
            </w:pPr>
            <w:r w:rsidRPr="00BB5F41">
              <w:rPr>
                <w:rFonts w:ascii="Times New Roman" w:hAnsi="Times New Roman" w:cs="Times New Roman"/>
                <w:b/>
                <w:bCs/>
                <w:sz w:val="24"/>
                <w:szCs w:val="24"/>
              </w:rPr>
              <w:t>S/N</w:t>
            </w:r>
          </w:p>
        </w:tc>
        <w:tc>
          <w:tcPr>
            <w:tcW w:w="2657" w:type="dxa"/>
            <w:vMerge w:val="restart"/>
            <w:tcBorders>
              <w:top w:val="single" w:sz="4" w:space="0" w:color="auto"/>
              <w:left w:val="single" w:sz="4" w:space="0" w:color="auto"/>
              <w:bottom w:val="single" w:sz="4" w:space="0" w:color="auto"/>
              <w:right w:val="single" w:sz="4" w:space="0" w:color="auto"/>
            </w:tcBorders>
          </w:tcPr>
          <w:p w14:paraId="1797CE75" w14:textId="77777777" w:rsidR="00BB5F41" w:rsidRPr="00BB5F41" w:rsidRDefault="00BB5F41" w:rsidP="00BB5F41">
            <w:pPr>
              <w:spacing w:line="259" w:lineRule="auto"/>
              <w:jc w:val="both"/>
              <w:rPr>
                <w:rFonts w:ascii="Times New Roman" w:hAnsi="Times New Roman" w:cs="Times New Roman"/>
                <w:b/>
                <w:sz w:val="24"/>
                <w:szCs w:val="24"/>
              </w:rPr>
            </w:pPr>
          </w:p>
          <w:p w14:paraId="35D82443"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b/>
                <w:sz w:val="24"/>
                <w:szCs w:val="24"/>
              </w:rPr>
              <w:t>Scholarly Infrastructures</w:t>
            </w:r>
          </w:p>
        </w:tc>
        <w:tc>
          <w:tcPr>
            <w:tcW w:w="4860" w:type="dxa"/>
            <w:gridSpan w:val="5"/>
            <w:tcBorders>
              <w:top w:val="single" w:sz="4" w:space="0" w:color="auto"/>
              <w:left w:val="single" w:sz="4" w:space="0" w:color="auto"/>
              <w:bottom w:val="single" w:sz="4" w:space="0" w:color="auto"/>
              <w:right w:val="single" w:sz="4" w:space="0" w:color="auto"/>
            </w:tcBorders>
            <w:hideMark/>
          </w:tcPr>
          <w:p w14:paraId="3FF3FC4D" w14:textId="77777777" w:rsidR="00BB5F41" w:rsidRPr="00BB5F41" w:rsidRDefault="00BB5F41" w:rsidP="00BB5F41">
            <w:pPr>
              <w:spacing w:line="259" w:lineRule="auto"/>
              <w:jc w:val="center"/>
              <w:rPr>
                <w:rFonts w:ascii="Times New Roman" w:hAnsi="Times New Roman" w:cs="Times New Roman"/>
                <w:b/>
                <w:bCs/>
                <w:sz w:val="24"/>
                <w:szCs w:val="24"/>
              </w:rPr>
            </w:pPr>
            <w:r w:rsidRPr="00BB5F41">
              <w:rPr>
                <w:rFonts w:ascii="Times New Roman" w:hAnsi="Times New Roman" w:cs="Times New Roman"/>
                <w:b/>
                <w:bCs/>
                <w:sz w:val="24"/>
                <w:szCs w:val="24"/>
              </w:rPr>
              <w:t>Extent of Utilization</w:t>
            </w:r>
          </w:p>
        </w:tc>
        <w:tc>
          <w:tcPr>
            <w:tcW w:w="603" w:type="dxa"/>
            <w:vMerge w:val="restart"/>
            <w:tcBorders>
              <w:top w:val="single" w:sz="4" w:space="0" w:color="auto"/>
              <w:left w:val="single" w:sz="4" w:space="0" w:color="auto"/>
              <w:bottom w:val="single" w:sz="4" w:space="0" w:color="auto"/>
              <w:right w:val="single" w:sz="4" w:space="0" w:color="auto"/>
            </w:tcBorders>
          </w:tcPr>
          <w:p w14:paraId="0E22E746" w14:textId="77777777" w:rsidR="00BB5F41" w:rsidRPr="00BB5F41" w:rsidRDefault="00BB5F41" w:rsidP="00BB5F41">
            <w:pPr>
              <w:spacing w:line="259" w:lineRule="auto"/>
              <w:jc w:val="center"/>
              <w:rPr>
                <w:rFonts w:ascii="Times New Roman" w:hAnsi="Times New Roman" w:cs="Times New Roman"/>
                <w:b/>
                <w:bCs/>
                <w:sz w:val="24"/>
                <w:szCs w:val="24"/>
              </w:rPr>
            </w:pPr>
          </w:p>
          <w:p w14:paraId="6C0F1EFA" w14:textId="77777777" w:rsidR="00BB5F41" w:rsidRPr="00BB5F41" w:rsidRDefault="00BB5F41" w:rsidP="00BB5F41">
            <w:pPr>
              <w:spacing w:line="259" w:lineRule="auto"/>
              <w:jc w:val="center"/>
              <w:rPr>
                <w:rFonts w:ascii="Times New Roman" w:hAnsi="Times New Roman" w:cs="Times New Roman"/>
                <w:sz w:val="24"/>
                <w:szCs w:val="24"/>
              </w:rPr>
            </w:pPr>
            <w:r w:rsidRPr="00BB5F41">
              <w:rPr>
                <w:rFonts w:ascii="Times New Roman" w:hAnsi="Times New Roman" w:cs="Times New Roman"/>
                <w:b/>
                <w:bCs/>
                <w:sz w:val="24"/>
                <w:szCs w:val="24"/>
              </w:rPr>
              <w:t>M</w:t>
            </w:r>
          </w:p>
        </w:tc>
        <w:tc>
          <w:tcPr>
            <w:tcW w:w="606" w:type="dxa"/>
            <w:vMerge w:val="restart"/>
            <w:tcBorders>
              <w:top w:val="single" w:sz="4" w:space="0" w:color="auto"/>
              <w:left w:val="single" w:sz="4" w:space="0" w:color="auto"/>
              <w:bottom w:val="single" w:sz="4" w:space="0" w:color="auto"/>
              <w:right w:val="single" w:sz="4" w:space="0" w:color="auto"/>
            </w:tcBorders>
          </w:tcPr>
          <w:p w14:paraId="1B243FA7" w14:textId="77777777" w:rsidR="00BB5F41" w:rsidRPr="00BB5F41" w:rsidRDefault="00BB5F41" w:rsidP="00BB5F41">
            <w:pPr>
              <w:spacing w:line="259" w:lineRule="auto"/>
              <w:jc w:val="center"/>
              <w:rPr>
                <w:rFonts w:ascii="Times New Roman" w:hAnsi="Times New Roman" w:cs="Times New Roman"/>
                <w:b/>
                <w:bCs/>
                <w:sz w:val="24"/>
                <w:szCs w:val="24"/>
              </w:rPr>
            </w:pPr>
          </w:p>
          <w:p w14:paraId="58AAB39F" w14:textId="77777777" w:rsidR="00BB5F41" w:rsidRPr="00BB5F41" w:rsidRDefault="00BB5F41" w:rsidP="00BB5F41">
            <w:pPr>
              <w:spacing w:line="259" w:lineRule="auto"/>
              <w:jc w:val="center"/>
              <w:rPr>
                <w:rFonts w:ascii="Times New Roman" w:hAnsi="Times New Roman" w:cs="Times New Roman"/>
                <w:sz w:val="24"/>
                <w:szCs w:val="24"/>
              </w:rPr>
            </w:pPr>
            <w:r w:rsidRPr="00BB5F41">
              <w:rPr>
                <w:rFonts w:ascii="Times New Roman" w:hAnsi="Times New Roman" w:cs="Times New Roman"/>
                <w:b/>
                <w:bCs/>
                <w:sz w:val="24"/>
                <w:szCs w:val="24"/>
              </w:rPr>
              <w:t>SD</w:t>
            </w:r>
          </w:p>
        </w:tc>
      </w:tr>
      <w:tr w:rsidR="00BB5F41" w:rsidRPr="00BB5F41" w14:paraId="20700409"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BED5720" w14:textId="77777777" w:rsidR="00BB5F41" w:rsidRPr="00BB5F41" w:rsidRDefault="00BB5F41" w:rsidP="00BB5F41">
            <w:pPr>
              <w:spacing w:line="259" w:lineRule="auto"/>
              <w:jc w:val="both"/>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343226" w14:textId="77777777" w:rsidR="00BB5F41" w:rsidRPr="00BB5F41" w:rsidRDefault="00BB5F41" w:rsidP="00BB5F41">
            <w:pPr>
              <w:spacing w:line="259" w:lineRule="auto"/>
              <w:jc w:val="both"/>
              <w:rPr>
                <w:rFonts w:ascii="Times New Roman" w:hAnsi="Times New Roman" w:cs="Times New Roman"/>
                <w:sz w:val="24"/>
                <w:szCs w:val="24"/>
              </w:rPr>
            </w:pPr>
          </w:p>
        </w:tc>
        <w:tc>
          <w:tcPr>
            <w:tcW w:w="996" w:type="dxa"/>
            <w:tcBorders>
              <w:top w:val="single" w:sz="4" w:space="0" w:color="auto"/>
              <w:left w:val="single" w:sz="4" w:space="0" w:color="auto"/>
              <w:bottom w:val="single" w:sz="4" w:space="0" w:color="auto"/>
              <w:right w:val="single" w:sz="4" w:space="0" w:color="auto"/>
            </w:tcBorders>
            <w:hideMark/>
          </w:tcPr>
          <w:p w14:paraId="1C74DF9B" w14:textId="77777777" w:rsidR="00BB5F41" w:rsidRPr="00BB5F41" w:rsidRDefault="00BB5F41" w:rsidP="00BB5F41">
            <w:pPr>
              <w:spacing w:line="259" w:lineRule="auto"/>
              <w:jc w:val="center"/>
              <w:rPr>
                <w:rFonts w:ascii="Times New Roman" w:hAnsi="Times New Roman" w:cs="Times New Roman"/>
                <w:b/>
                <w:bCs/>
                <w:sz w:val="24"/>
                <w:szCs w:val="24"/>
              </w:rPr>
            </w:pPr>
            <w:r w:rsidRPr="00BB5F41">
              <w:rPr>
                <w:rFonts w:ascii="Times New Roman" w:hAnsi="Times New Roman" w:cs="Times New Roman"/>
                <w:b/>
                <w:bCs/>
                <w:sz w:val="24"/>
                <w:szCs w:val="24"/>
              </w:rPr>
              <w:t>NU</w:t>
            </w:r>
          </w:p>
        </w:tc>
        <w:tc>
          <w:tcPr>
            <w:tcW w:w="996" w:type="dxa"/>
            <w:tcBorders>
              <w:top w:val="single" w:sz="4" w:space="0" w:color="auto"/>
              <w:left w:val="single" w:sz="4" w:space="0" w:color="auto"/>
              <w:bottom w:val="single" w:sz="4" w:space="0" w:color="auto"/>
              <w:right w:val="single" w:sz="4" w:space="0" w:color="auto"/>
            </w:tcBorders>
            <w:hideMark/>
          </w:tcPr>
          <w:p w14:paraId="4AB30444" w14:textId="77777777" w:rsidR="00BB5F41" w:rsidRPr="00BB5F41" w:rsidRDefault="00BB5F41" w:rsidP="00BB5F41">
            <w:pPr>
              <w:spacing w:line="259" w:lineRule="auto"/>
              <w:jc w:val="center"/>
              <w:rPr>
                <w:rFonts w:ascii="Times New Roman" w:hAnsi="Times New Roman" w:cs="Times New Roman"/>
                <w:b/>
                <w:bCs/>
                <w:sz w:val="24"/>
                <w:szCs w:val="24"/>
              </w:rPr>
            </w:pPr>
            <w:r w:rsidRPr="00BB5F41">
              <w:rPr>
                <w:rFonts w:ascii="Times New Roman" w:hAnsi="Times New Roman" w:cs="Times New Roman"/>
                <w:b/>
                <w:bCs/>
                <w:sz w:val="24"/>
                <w:szCs w:val="24"/>
              </w:rPr>
              <w:t>RU</w:t>
            </w:r>
          </w:p>
        </w:tc>
        <w:tc>
          <w:tcPr>
            <w:tcW w:w="996" w:type="dxa"/>
            <w:tcBorders>
              <w:top w:val="single" w:sz="4" w:space="0" w:color="auto"/>
              <w:left w:val="single" w:sz="4" w:space="0" w:color="auto"/>
              <w:bottom w:val="single" w:sz="4" w:space="0" w:color="auto"/>
              <w:right w:val="single" w:sz="4" w:space="0" w:color="auto"/>
            </w:tcBorders>
            <w:hideMark/>
          </w:tcPr>
          <w:p w14:paraId="50B77F11" w14:textId="77777777" w:rsidR="00BB5F41" w:rsidRPr="00BB5F41" w:rsidRDefault="00BB5F41" w:rsidP="00BB5F41">
            <w:pPr>
              <w:spacing w:line="259" w:lineRule="auto"/>
              <w:jc w:val="center"/>
              <w:rPr>
                <w:rFonts w:ascii="Times New Roman" w:hAnsi="Times New Roman" w:cs="Times New Roman"/>
                <w:b/>
                <w:bCs/>
                <w:sz w:val="24"/>
                <w:szCs w:val="24"/>
              </w:rPr>
            </w:pPr>
            <w:r w:rsidRPr="00BB5F41">
              <w:rPr>
                <w:rFonts w:ascii="Times New Roman" w:hAnsi="Times New Roman" w:cs="Times New Roman"/>
                <w:b/>
                <w:bCs/>
                <w:sz w:val="24"/>
                <w:szCs w:val="24"/>
              </w:rPr>
              <w:t>U</w:t>
            </w:r>
          </w:p>
        </w:tc>
        <w:tc>
          <w:tcPr>
            <w:tcW w:w="996" w:type="dxa"/>
            <w:tcBorders>
              <w:top w:val="single" w:sz="4" w:space="0" w:color="auto"/>
              <w:left w:val="single" w:sz="4" w:space="0" w:color="auto"/>
              <w:bottom w:val="single" w:sz="4" w:space="0" w:color="auto"/>
              <w:right w:val="single" w:sz="4" w:space="0" w:color="auto"/>
            </w:tcBorders>
            <w:hideMark/>
          </w:tcPr>
          <w:p w14:paraId="2A928B44" w14:textId="77777777" w:rsidR="00BB5F41" w:rsidRPr="00BB5F41" w:rsidRDefault="00BB5F41" w:rsidP="00BB5F41">
            <w:pPr>
              <w:spacing w:line="259" w:lineRule="auto"/>
              <w:jc w:val="center"/>
              <w:rPr>
                <w:rFonts w:ascii="Times New Roman" w:hAnsi="Times New Roman" w:cs="Times New Roman"/>
                <w:b/>
                <w:bCs/>
                <w:sz w:val="24"/>
                <w:szCs w:val="24"/>
              </w:rPr>
            </w:pPr>
            <w:r w:rsidRPr="00BB5F41">
              <w:rPr>
                <w:rFonts w:ascii="Times New Roman" w:hAnsi="Times New Roman" w:cs="Times New Roman"/>
                <w:b/>
                <w:bCs/>
                <w:sz w:val="24"/>
                <w:szCs w:val="24"/>
              </w:rPr>
              <w:t>FU</w:t>
            </w:r>
          </w:p>
        </w:tc>
        <w:tc>
          <w:tcPr>
            <w:tcW w:w="876" w:type="dxa"/>
            <w:tcBorders>
              <w:top w:val="single" w:sz="4" w:space="0" w:color="auto"/>
              <w:left w:val="single" w:sz="4" w:space="0" w:color="auto"/>
              <w:bottom w:val="single" w:sz="4" w:space="0" w:color="auto"/>
              <w:right w:val="single" w:sz="4" w:space="0" w:color="auto"/>
            </w:tcBorders>
            <w:hideMark/>
          </w:tcPr>
          <w:p w14:paraId="52F56C3F" w14:textId="77777777" w:rsidR="00BB5F41" w:rsidRPr="00BB5F41" w:rsidRDefault="00BB5F41" w:rsidP="00BB5F41">
            <w:pPr>
              <w:spacing w:line="259" w:lineRule="auto"/>
              <w:jc w:val="center"/>
              <w:rPr>
                <w:rFonts w:ascii="Times New Roman" w:hAnsi="Times New Roman" w:cs="Times New Roman"/>
                <w:b/>
                <w:bCs/>
                <w:sz w:val="24"/>
                <w:szCs w:val="24"/>
              </w:rPr>
            </w:pPr>
            <w:r w:rsidRPr="00BB5F41">
              <w:rPr>
                <w:rFonts w:ascii="Times New Roman" w:hAnsi="Times New Roman" w:cs="Times New Roman"/>
                <w:b/>
                <w:bCs/>
                <w:sz w:val="24"/>
                <w:szCs w:val="24"/>
              </w:rPr>
              <w:t>HU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467DBC" w14:textId="77777777" w:rsidR="00BB5F41" w:rsidRPr="00BB5F41" w:rsidRDefault="00BB5F41" w:rsidP="00BB5F41">
            <w:pPr>
              <w:spacing w:line="259"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526EC3" w14:textId="77777777" w:rsidR="00BB5F41" w:rsidRPr="00BB5F41" w:rsidRDefault="00BB5F41" w:rsidP="00BB5F41">
            <w:pPr>
              <w:spacing w:line="259" w:lineRule="auto"/>
              <w:jc w:val="center"/>
              <w:rPr>
                <w:rFonts w:ascii="Times New Roman" w:hAnsi="Times New Roman" w:cs="Times New Roman"/>
                <w:sz w:val="24"/>
                <w:szCs w:val="24"/>
              </w:rPr>
            </w:pPr>
          </w:p>
        </w:tc>
      </w:tr>
      <w:tr w:rsidR="00BB5F41" w:rsidRPr="00BB5F41" w14:paraId="742A8D76" w14:textId="77777777">
        <w:tc>
          <w:tcPr>
            <w:tcW w:w="624" w:type="dxa"/>
            <w:tcBorders>
              <w:top w:val="single" w:sz="4" w:space="0" w:color="auto"/>
              <w:left w:val="single" w:sz="4" w:space="0" w:color="auto"/>
              <w:bottom w:val="single" w:sz="4" w:space="0" w:color="auto"/>
              <w:right w:val="single" w:sz="4" w:space="0" w:color="auto"/>
            </w:tcBorders>
            <w:hideMark/>
          </w:tcPr>
          <w:p w14:paraId="045794E8"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1</w:t>
            </w:r>
          </w:p>
        </w:tc>
        <w:tc>
          <w:tcPr>
            <w:tcW w:w="2657" w:type="dxa"/>
            <w:tcBorders>
              <w:top w:val="single" w:sz="4" w:space="0" w:color="auto"/>
              <w:left w:val="single" w:sz="4" w:space="0" w:color="auto"/>
              <w:bottom w:val="single" w:sz="4" w:space="0" w:color="auto"/>
              <w:right w:val="single" w:sz="4" w:space="0" w:color="auto"/>
            </w:tcBorders>
            <w:hideMark/>
          </w:tcPr>
          <w:p w14:paraId="2EF82E45"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 xml:space="preserve">Institutional repositories </w:t>
            </w:r>
          </w:p>
        </w:tc>
        <w:tc>
          <w:tcPr>
            <w:tcW w:w="996" w:type="dxa"/>
            <w:tcBorders>
              <w:top w:val="single" w:sz="4" w:space="0" w:color="auto"/>
              <w:left w:val="single" w:sz="4" w:space="0" w:color="auto"/>
              <w:bottom w:val="single" w:sz="4" w:space="0" w:color="auto"/>
              <w:right w:val="single" w:sz="4" w:space="0" w:color="auto"/>
            </w:tcBorders>
            <w:hideMark/>
          </w:tcPr>
          <w:p w14:paraId="0213EA6E" w14:textId="77777777" w:rsidR="00BB5F41" w:rsidRPr="00BB5F41" w:rsidRDefault="00BB5F41" w:rsidP="00BB5F41">
            <w:pPr>
              <w:spacing w:line="259" w:lineRule="auto"/>
              <w:jc w:val="both"/>
              <w:rPr>
                <w:rFonts w:ascii="Times New Roman" w:hAnsi="Times New Roman" w:cs="Times New Roman"/>
                <w:sz w:val="24"/>
                <w:szCs w:val="24"/>
                <w:lang w:val="en-NG"/>
              </w:rPr>
            </w:pPr>
            <w:r w:rsidRPr="00BB5F41">
              <w:rPr>
                <w:rFonts w:ascii="Times New Roman" w:hAnsi="Times New Roman" w:cs="Times New Roman"/>
                <w:sz w:val="24"/>
                <w:szCs w:val="24"/>
                <w:lang w:val="en-NG"/>
              </w:rPr>
              <w:t>25</w:t>
            </w:r>
          </w:p>
          <w:p w14:paraId="51153DE0"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(8.0%)</w:t>
            </w:r>
          </w:p>
        </w:tc>
        <w:tc>
          <w:tcPr>
            <w:tcW w:w="996" w:type="dxa"/>
            <w:tcBorders>
              <w:top w:val="single" w:sz="4" w:space="0" w:color="auto"/>
              <w:left w:val="single" w:sz="4" w:space="0" w:color="auto"/>
              <w:bottom w:val="single" w:sz="4" w:space="0" w:color="auto"/>
              <w:right w:val="single" w:sz="4" w:space="0" w:color="auto"/>
            </w:tcBorders>
            <w:hideMark/>
          </w:tcPr>
          <w:p w14:paraId="36F391E5"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132 (42.4%)</w:t>
            </w:r>
          </w:p>
        </w:tc>
        <w:tc>
          <w:tcPr>
            <w:tcW w:w="996" w:type="dxa"/>
            <w:tcBorders>
              <w:top w:val="single" w:sz="4" w:space="0" w:color="auto"/>
              <w:left w:val="single" w:sz="4" w:space="0" w:color="auto"/>
              <w:bottom w:val="single" w:sz="4" w:space="0" w:color="auto"/>
              <w:right w:val="single" w:sz="4" w:space="0" w:color="auto"/>
            </w:tcBorders>
            <w:hideMark/>
          </w:tcPr>
          <w:p w14:paraId="3930CEAA" w14:textId="77777777" w:rsidR="00BB5F41" w:rsidRPr="00BB5F41" w:rsidRDefault="00BB5F41" w:rsidP="00BB5F41">
            <w:pPr>
              <w:spacing w:line="259" w:lineRule="auto"/>
              <w:jc w:val="both"/>
              <w:rPr>
                <w:rFonts w:ascii="Times New Roman" w:hAnsi="Times New Roman" w:cs="Times New Roman"/>
                <w:sz w:val="24"/>
                <w:szCs w:val="24"/>
                <w:lang w:val="en-NG"/>
              </w:rPr>
            </w:pPr>
            <w:r w:rsidRPr="00BB5F41">
              <w:rPr>
                <w:rFonts w:ascii="Times New Roman" w:hAnsi="Times New Roman" w:cs="Times New Roman"/>
                <w:sz w:val="24"/>
                <w:szCs w:val="24"/>
                <w:lang w:val="en-NG"/>
              </w:rPr>
              <w:t>53</w:t>
            </w:r>
          </w:p>
          <w:p w14:paraId="20752CBF"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(17.0%)</w:t>
            </w:r>
          </w:p>
        </w:tc>
        <w:tc>
          <w:tcPr>
            <w:tcW w:w="996" w:type="dxa"/>
            <w:tcBorders>
              <w:top w:val="single" w:sz="4" w:space="0" w:color="auto"/>
              <w:left w:val="single" w:sz="4" w:space="0" w:color="auto"/>
              <w:bottom w:val="single" w:sz="4" w:space="0" w:color="auto"/>
              <w:right w:val="single" w:sz="4" w:space="0" w:color="auto"/>
            </w:tcBorders>
            <w:hideMark/>
          </w:tcPr>
          <w:p w14:paraId="4A425ED2"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85 (27.3%)</w:t>
            </w:r>
          </w:p>
        </w:tc>
        <w:tc>
          <w:tcPr>
            <w:tcW w:w="876" w:type="dxa"/>
            <w:tcBorders>
              <w:top w:val="single" w:sz="4" w:space="0" w:color="auto"/>
              <w:left w:val="single" w:sz="4" w:space="0" w:color="auto"/>
              <w:bottom w:val="single" w:sz="4" w:space="0" w:color="auto"/>
              <w:right w:val="single" w:sz="4" w:space="0" w:color="auto"/>
            </w:tcBorders>
            <w:hideMark/>
          </w:tcPr>
          <w:p w14:paraId="6F3C8A68"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16 (5.1%)</w:t>
            </w:r>
          </w:p>
        </w:tc>
        <w:tc>
          <w:tcPr>
            <w:tcW w:w="603" w:type="dxa"/>
            <w:tcBorders>
              <w:top w:val="single" w:sz="4" w:space="0" w:color="auto"/>
              <w:left w:val="single" w:sz="4" w:space="0" w:color="auto"/>
              <w:bottom w:val="single" w:sz="4" w:space="0" w:color="auto"/>
              <w:right w:val="single" w:sz="4" w:space="0" w:color="auto"/>
            </w:tcBorders>
            <w:hideMark/>
          </w:tcPr>
          <w:p w14:paraId="0096BC1C"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2.6</w:t>
            </w:r>
          </w:p>
        </w:tc>
        <w:tc>
          <w:tcPr>
            <w:tcW w:w="606" w:type="dxa"/>
            <w:tcBorders>
              <w:top w:val="single" w:sz="4" w:space="0" w:color="auto"/>
              <w:left w:val="single" w:sz="4" w:space="0" w:color="auto"/>
              <w:bottom w:val="single" w:sz="4" w:space="0" w:color="auto"/>
              <w:right w:val="single" w:sz="4" w:space="0" w:color="auto"/>
            </w:tcBorders>
            <w:hideMark/>
          </w:tcPr>
          <w:p w14:paraId="31BB2942"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1.1</w:t>
            </w:r>
          </w:p>
        </w:tc>
      </w:tr>
      <w:tr w:rsidR="00BB5F41" w:rsidRPr="00BB5F41" w14:paraId="6A141E1A" w14:textId="77777777">
        <w:tc>
          <w:tcPr>
            <w:tcW w:w="624" w:type="dxa"/>
            <w:tcBorders>
              <w:top w:val="single" w:sz="4" w:space="0" w:color="auto"/>
              <w:left w:val="single" w:sz="4" w:space="0" w:color="auto"/>
              <w:bottom w:val="single" w:sz="4" w:space="0" w:color="auto"/>
              <w:right w:val="single" w:sz="4" w:space="0" w:color="auto"/>
            </w:tcBorders>
            <w:hideMark/>
          </w:tcPr>
          <w:p w14:paraId="1F81CDF6"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2</w:t>
            </w:r>
          </w:p>
        </w:tc>
        <w:tc>
          <w:tcPr>
            <w:tcW w:w="2657" w:type="dxa"/>
            <w:tcBorders>
              <w:top w:val="single" w:sz="4" w:space="0" w:color="auto"/>
              <w:left w:val="single" w:sz="4" w:space="0" w:color="auto"/>
              <w:bottom w:val="single" w:sz="4" w:space="0" w:color="auto"/>
              <w:right w:val="single" w:sz="4" w:space="0" w:color="auto"/>
            </w:tcBorders>
            <w:hideMark/>
          </w:tcPr>
          <w:p w14:paraId="51C70965"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 xml:space="preserve">Open access publishing platforms </w:t>
            </w:r>
          </w:p>
        </w:tc>
        <w:tc>
          <w:tcPr>
            <w:tcW w:w="996" w:type="dxa"/>
            <w:tcBorders>
              <w:top w:val="single" w:sz="4" w:space="0" w:color="auto"/>
              <w:left w:val="single" w:sz="4" w:space="0" w:color="auto"/>
              <w:bottom w:val="single" w:sz="4" w:space="0" w:color="auto"/>
              <w:right w:val="single" w:sz="4" w:space="0" w:color="auto"/>
            </w:tcBorders>
            <w:hideMark/>
          </w:tcPr>
          <w:p w14:paraId="5BC035EA" w14:textId="77777777" w:rsidR="00BB5F41" w:rsidRPr="00BB5F41" w:rsidRDefault="00BB5F41" w:rsidP="00BB5F41">
            <w:pPr>
              <w:spacing w:line="259" w:lineRule="auto"/>
              <w:jc w:val="both"/>
              <w:rPr>
                <w:rFonts w:ascii="Times New Roman" w:hAnsi="Times New Roman" w:cs="Times New Roman"/>
                <w:sz w:val="24"/>
                <w:szCs w:val="24"/>
                <w:lang w:val="en-NG"/>
              </w:rPr>
            </w:pPr>
            <w:r w:rsidRPr="00BB5F41">
              <w:rPr>
                <w:rFonts w:ascii="Times New Roman" w:hAnsi="Times New Roman" w:cs="Times New Roman"/>
                <w:sz w:val="24"/>
                <w:szCs w:val="24"/>
                <w:lang w:val="en-NG"/>
              </w:rPr>
              <w:t>60</w:t>
            </w:r>
          </w:p>
          <w:p w14:paraId="77E1441F"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(19.3%)</w:t>
            </w:r>
          </w:p>
        </w:tc>
        <w:tc>
          <w:tcPr>
            <w:tcW w:w="996" w:type="dxa"/>
            <w:tcBorders>
              <w:top w:val="single" w:sz="4" w:space="0" w:color="auto"/>
              <w:left w:val="single" w:sz="4" w:space="0" w:color="auto"/>
              <w:bottom w:val="single" w:sz="4" w:space="0" w:color="auto"/>
              <w:right w:val="single" w:sz="4" w:space="0" w:color="auto"/>
            </w:tcBorders>
            <w:hideMark/>
          </w:tcPr>
          <w:p w14:paraId="17FF4B9B"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98 (31.5%)</w:t>
            </w:r>
          </w:p>
        </w:tc>
        <w:tc>
          <w:tcPr>
            <w:tcW w:w="996" w:type="dxa"/>
            <w:tcBorders>
              <w:top w:val="single" w:sz="4" w:space="0" w:color="auto"/>
              <w:left w:val="single" w:sz="4" w:space="0" w:color="auto"/>
              <w:bottom w:val="single" w:sz="4" w:space="0" w:color="auto"/>
              <w:right w:val="single" w:sz="4" w:space="0" w:color="auto"/>
            </w:tcBorders>
            <w:hideMark/>
          </w:tcPr>
          <w:p w14:paraId="380433FA"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55 (17.7%)</w:t>
            </w:r>
          </w:p>
        </w:tc>
        <w:tc>
          <w:tcPr>
            <w:tcW w:w="996" w:type="dxa"/>
            <w:tcBorders>
              <w:top w:val="single" w:sz="4" w:space="0" w:color="auto"/>
              <w:left w:val="single" w:sz="4" w:space="0" w:color="auto"/>
              <w:bottom w:val="single" w:sz="4" w:space="0" w:color="auto"/>
              <w:right w:val="single" w:sz="4" w:space="0" w:color="auto"/>
            </w:tcBorders>
            <w:hideMark/>
          </w:tcPr>
          <w:p w14:paraId="144AE047"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80 (25.7%)</w:t>
            </w:r>
          </w:p>
        </w:tc>
        <w:tc>
          <w:tcPr>
            <w:tcW w:w="876" w:type="dxa"/>
            <w:tcBorders>
              <w:top w:val="single" w:sz="4" w:space="0" w:color="auto"/>
              <w:left w:val="single" w:sz="4" w:space="0" w:color="auto"/>
              <w:bottom w:val="single" w:sz="4" w:space="0" w:color="auto"/>
              <w:right w:val="single" w:sz="4" w:space="0" w:color="auto"/>
            </w:tcBorders>
            <w:hideMark/>
          </w:tcPr>
          <w:p w14:paraId="178AD132"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18 (5.8%)</w:t>
            </w:r>
          </w:p>
        </w:tc>
        <w:tc>
          <w:tcPr>
            <w:tcW w:w="603" w:type="dxa"/>
            <w:tcBorders>
              <w:top w:val="single" w:sz="4" w:space="0" w:color="auto"/>
              <w:left w:val="single" w:sz="4" w:space="0" w:color="auto"/>
              <w:bottom w:val="single" w:sz="4" w:space="0" w:color="auto"/>
              <w:right w:val="single" w:sz="4" w:space="0" w:color="auto"/>
            </w:tcBorders>
            <w:hideMark/>
          </w:tcPr>
          <w:p w14:paraId="438836FE"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2.5</w:t>
            </w:r>
          </w:p>
        </w:tc>
        <w:tc>
          <w:tcPr>
            <w:tcW w:w="606" w:type="dxa"/>
            <w:tcBorders>
              <w:top w:val="single" w:sz="4" w:space="0" w:color="auto"/>
              <w:left w:val="single" w:sz="4" w:space="0" w:color="auto"/>
              <w:bottom w:val="single" w:sz="4" w:space="0" w:color="auto"/>
              <w:right w:val="single" w:sz="4" w:space="0" w:color="auto"/>
            </w:tcBorders>
            <w:hideMark/>
          </w:tcPr>
          <w:p w14:paraId="5BB28138"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1.2</w:t>
            </w:r>
          </w:p>
        </w:tc>
      </w:tr>
      <w:tr w:rsidR="00BB5F41" w:rsidRPr="00BB5F41" w14:paraId="257F5DA9" w14:textId="77777777">
        <w:tc>
          <w:tcPr>
            <w:tcW w:w="624" w:type="dxa"/>
            <w:tcBorders>
              <w:top w:val="single" w:sz="4" w:space="0" w:color="auto"/>
              <w:left w:val="single" w:sz="4" w:space="0" w:color="auto"/>
              <w:bottom w:val="single" w:sz="4" w:space="0" w:color="auto"/>
              <w:right w:val="single" w:sz="4" w:space="0" w:color="auto"/>
            </w:tcBorders>
            <w:hideMark/>
          </w:tcPr>
          <w:p w14:paraId="20D3C6B4"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3</w:t>
            </w:r>
          </w:p>
        </w:tc>
        <w:tc>
          <w:tcPr>
            <w:tcW w:w="2657" w:type="dxa"/>
            <w:tcBorders>
              <w:top w:val="single" w:sz="4" w:space="0" w:color="auto"/>
              <w:left w:val="single" w:sz="4" w:space="0" w:color="auto"/>
              <w:bottom w:val="single" w:sz="4" w:space="0" w:color="auto"/>
              <w:right w:val="single" w:sz="4" w:space="0" w:color="auto"/>
            </w:tcBorders>
            <w:hideMark/>
          </w:tcPr>
          <w:p w14:paraId="777AB982" w14:textId="77777777" w:rsidR="00BB5F41" w:rsidRPr="00BB5F41" w:rsidRDefault="00BB5F41" w:rsidP="00BB5F41">
            <w:pPr>
              <w:spacing w:line="259" w:lineRule="auto"/>
              <w:rPr>
                <w:rFonts w:ascii="Times New Roman" w:hAnsi="Times New Roman" w:cs="Times New Roman"/>
                <w:sz w:val="24"/>
                <w:szCs w:val="24"/>
              </w:rPr>
            </w:pPr>
            <w:r w:rsidRPr="00BB5F41">
              <w:rPr>
                <w:rFonts w:ascii="Times New Roman" w:hAnsi="Times New Roman" w:cs="Times New Roman"/>
                <w:sz w:val="24"/>
                <w:szCs w:val="24"/>
              </w:rPr>
              <w:t xml:space="preserve">Academic social networks </w:t>
            </w:r>
          </w:p>
        </w:tc>
        <w:tc>
          <w:tcPr>
            <w:tcW w:w="996" w:type="dxa"/>
            <w:tcBorders>
              <w:top w:val="single" w:sz="4" w:space="0" w:color="auto"/>
              <w:left w:val="single" w:sz="4" w:space="0" w:color="auto"/>
              <w:bottom w:val="single" w:sz="4" w:space="0" w:color="auto"/>
              <w:right w:val="single" w:sz="4" w:space="0" w:color="auto"/>
            </w:tcBorders>
            <w:hideMark/>
          </w:tcPr>
          <w:p w14:paraId="3A2BB36D"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40 (12.9%)</w:t>
            </w:r>
          </w:p>
        </w:tc>
        <w:tc>
          <w:tcPr>
            <w:tcW w:w="996" w:type="dxa"/>
            <w:tcBorders>
              <w:top w:val="single" w:sz="4" w:space="0" w:color="auto"/>
              <w:left w:val="single" w:sz="4" w:space="0" w:color="auto"/>
              <w:bottom w:val="single" w:sz="4" w:space="0" w:color="auto"/>
              <w:right w:val="single" w:sz="4" w:space="0" w:color="auto"/>
            </w:tcBorders>
            <w:hideMark/>
          </w:tcPr>
          <w:p w14:paraId="398F3889"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121 (38.9%)</w:t>
            </w:r>
          </w:p>
        </w:tc>
        <w:tc>
          <w:tcPr>
            <w:tcW w:w="996" w:type="dxa"/>
            <w:tcBorders>
              <w:top w:val="single" w:sz="4" w:space="0" w:color="auto"/>
              <w:left w:val="single" w:sz="4" w:space="0" w:color="auto"/>
              <w:bottom w:val="single" w:sz="4" w:space="0" w:color="auto"/>
              <w:right w:val="single" w:sz="4" w:space="0" w:color="auto"/>
            </w:tcBorders>
            <w:hideMark/>
          </w:tcPr>
          <w:p w14:paraId="4678B4BD"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41 (13.2%)</w:t>
            </w:r>
          </w:p>
        </w:tc>
        <w:tc>
          <w:tcPr>
            <w:tcW w:w="996" w:type="dxa"/>
            <w:tcBorders>
              <w:top w:val="single" w:sz="4" w:space="0" w:color="auto"/>
              <w:left w:val="single" w:sz="4" w:space="0" w:color="auto"/>
              <w:bottom w:val="single" w:sz="4" w:space="0" w:color="auto"/>
              <w:right w:val="single" w:sz="4" w:space="0" w:color="auto"/>
            </w:tcBorders>
            <w:hideMark/>
          </w:tcPr>
          <w:p w14:paraId="1FBA8FC1"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97 (31.2%)</w:t>
            </w:r>
          </w:p>
        </w:tc>
        <w:tc>
          <w:tcPr>
            <w:tcW w:w="876" w:type="dxa"/>
            <w:tcBorders>
              <w:top w:val="single" w:sz="4" w:space="0" w:color="auto"/>
              <w:left w:val="single" w:sz="4" w:space="0" w:color="auto"/>
              <w:bottom w:val="single" w:sz="4" w:space="0" w:color="auto"/>
              <w:right w:val="single" w:sz="4" w:space="0" w:color="auto"/>
            </w:tcBorders>
            <w:hideMark/>
          </w:tcPr>
          <w:p w14:paraId="53299177"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12 (3.9%)</w:t>
            </w:r>
          </w:p>
        </w:tc>
        <w:tc>
          <w:tcPr>
            <w:tcW w:w="603" w:type="dxa"/>
            <w:tcBorders>
              <w:top w:val="single" w:sz="4" w:space="0" w:color="auto"/>
              <w:left w:val="single" w:sz="4" w:space="0" w:color="auto"/>
              <w:bottom w:val="single" w:sz="4" w:space="0" w:color="auto"/>
              <w:right w:val="single" w:sz="4" w:space="0" w:color="auto"/>
            </w:tcBorders>
            <w:hideMark/>
          </w:tcPr>
          <w:p w14:paraId="7CBE5E77"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2.5</w:t>
            </w:r>
          </w:p>
        </w:tc>
        <w:tc>
          <w:tcPr>
            <w:tcW w:w="606" w:type="dxa"/>
            <w:tcBorders>
              <w:top w:val="single" w:sz="4" w:space="0" w:color="auto"/>
              <w:left w:val="single" w:sz="4" w:space="0" w:color="auto"/>
              <w:bottom w:val="single" w:sz="4" w:space="0" w:color="auto"/>
              <w:right w:val="single" w:sz="4" w:space="0" w:color="auto"/>
            </w:tcBorders>
            <w:hideMark/>
          </w:tcPr>
          <w:p w14:paraId="2E3AEC13"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1.1</w:t>
            </w:r>
          </w:p>
        </w:tc>
      </w:tr>
      <w:tr w:rsidR="00BB5F41" w:rsidRPr="00BB5F41" w14:paraId="5D1ACB5D" w14:textId="77777777">
        <w:tc>
          <w:tcPr>
            <w:tcW w:w="624" w:type="dxa"/>
            <w:tcBorders>
              <w:top w:val="single" w:sz="4" w:space="0" w:color="auto"/>
              <w:left w:val="single" w:sz="4" w:space="0" w:color="auto"/>
              <w:bottom w:val="single" w:sz="4" w:space="0" w:color="auto"/>
              <w:right w:val="single" w:sz="4" w:space="0" w:color="auto"/>
            </w:tcBorders>
            <w:hideMark/>
          </w:tcPr>
          <w:p w14:paraId="2238DE2F"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4</w:t>
            </w:r>
          </w:p>
        </w:tc>
        <w:tc>
          <w:tcPr>
            <w:tcW w:w="2657" w:type="dxa"/>
            <w:tcBorders>
              <w:top w:val="single" w:sz="4" w:space="0" w:color="auto"/>
              <w:left w:val="single" w:sz="4" w:space="0" w:color="auto"/>
              <w:bottom w:val="single" w:sz="4" w:space="0" w:color="auto"/>
              <w:right w:val="single" w:sz="4" w:space="0" w:color="auto"/>
            </w:tcBorders>
            <w:hideMark/>
          </w:tcPr>
          <w:p w14:paraId="7AB076FB"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 xml:space="preserve">Bibliographic management tools </w:t>
            </w:r>
          </w:p>
        </w:tc>
        <w:tc>
          <w:tcPr>
            <w:tcW w:w="996" w:type="dxa"/>
            <w:tcBorders>
              <w:top w:val="single" w:sz="4" w:space="0" w:color="auto"/>
              <w:left w:val="single" w:sz="4" w:space="0" w:color="auto"/>
              <w:bottom w:val="single" w:sz="4" w:space="0" w:color="auto"/>
              <w:right w:val="single" w:sz="4" w:space="0" w:color="auto"/>
            </w:tcBorders>
            <w:hideMark/>
          </w:tcPr>
          <w:p w14:paraId="5ED16714"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57 (18.3%)</w:t>
            </w:r>
          </w:p>
        </w:tc>
        <w:tc>
          <w:tcPr>
            <w:tcW w:w="996" w:type="dxa"/>
            <w:tcBorders>
              <w:top w:val="single" w:sz="4" w:space="0" w:color="auto"/>
              <w:left w:val="single" w:sz="4" w:space="0" w:color="auto"/>
              <w:bottom w:val="single" w:sz="4" w:space="0" w:color="auto"/>
              <w:right w:val="single" w:sz="4" w:space="0" w:color="auto"/>
            </w:tcBorders>
            <w:hideMark/>
          </w:tcPr>
          <w:p w14:paraId="226C59B0"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149 (47.9%)</w:t>
            </w:r>
          </w:p>
        </w:tc>
        <w:tc>
          <w:tcPr>
            <w:tcW w:w="996" w:type="dxa"/>
            <w:tcBorders>
              <w:top w:val="single" w:sz="4" w:space="0" w:color="auto"/>
              <w:left w:val="single" w:sz="4" w:space="0" w:color="auto"/>
              <w:bottom w:val="single" w:sz="4" w:space="0" w:color="auto"/>
              <w:right w:val="single" w:sz="4" w:space="0" w:color="auto"/>
            </w:tcBorders>
            <w:hideMark/>
          </w:tcPr>
          <w:p w14:paraId="31B96C3C"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36 (11.6%)</w:t>
            </w:r>
          </w:p>
        </w:tc>
        <w:tc>
          <w:tcPr>
            <w:tcW w:w="996" w:type="dxa"/>
            <w:tcBorders>
              <w:top w:val="single" w:sz="4" w:space="0" w:color="auto"/>
              <w:left w:val="single" w:sz="4" w:space="0" w:color="auto"/>
              <w:bottom w:val="single" w:sz="4" w:space="0" w:color="auto"/>
              <w:right w:val="single" w:sz="4" w:space="0" w:color="auto"/>
            </w:tcBorders>
            <w:hideMark/>
          </w:tcPr>
          <w:p w14:paraId="317A1596"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69 (22.2%)</w:t>
            </w:r>
          </w:p>
        </w:tc>
        <w:tc>
          <w:tcPr>
            <w:tcW w:w="876" w:type="dxa"/>
            <w:tcBorders>
              <w:top w:val="single" w:sz="4" w:space="0" w:color="auto"/>
              <w:left w:val="single" w:sz="4" w:space="0" w:color="auto"/>
              <w:bottom w:val="single" w:sz="4" w:space="0" w:color="auto"/>
              <w:right w:val="single" w:sz="4" w:space="0" w:color="auto"/>
            </w:tcBorders>
            <w:hideMark/>
          </w:tcPr>
          <w:p w14:paraId="339AE286"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0 (0%)</w:t>
            </w:r>
          </w:p>
        </w:tc>
        <w:tc>
          <w:tcPr>
            <w:tcW w:w="603" w:type="dxa"/>
            <w:tcBorders>
              <w:top w:val="single" w:sz="4" w:space="0" w:color="auto"/>
              <w:left w:val="single" w:sz="4" w:space="0" w:color="auto"/>
              <w:bottom w:val="single" w:sz="4" w:space="0" w:color="auto"/>
              <w:right w:val="single" w:sz="4" w:space="0" w:color="auto"/>
            </w:tcBorders>
            <w:hideMark/>
          </w:tcPr>
          <w:p w14:paraId="57F11003"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2.2</w:t>
            </w:r>
          </w:p>
        </w:tc>
        <w:tc>
          <w:tcPr>
            <w:tcW w:w="606" w:type="dxa"/>
            <w:tcBorders>
              <w:top w:val="single" w:sz="4" w:space="0" w:color="auto"/>
              <w:left w:val="single" w:sz="4" w:space="0" w:color="auto"/>
              <w:bottom w:val="single" w:sz="4" w:space="0" w:color="auto"/>
              <w:right w:val="single" w:sz="4" w:space="0" w:color="auto"/>
            </w:tcBorders>
            <w:hideMark/>
          </w:tcPr>
          <w:p w14:paraId="56001B0E"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1.0</w:t>
            </w:r>
          </w:p>
        </w:tc>
      </w:tr>
      <w:tr w:rsidR="00BB5F41" w:rsidRPr="00BB5F41" w14:paraId="4DAE9AD1" w14:textId="77777777">
        <w:tc>
          <w:tcPr>
            <w:tcW w:w="624" w:type="dxa"/>
            <w:tcBorders>
              <w:top w:val="single" w:sz="4" w:space="0" w:color="auto"/>
              <w:left w:val="single" w:sz="4" w:space="0" w:color="auto"/>
              <w:bottom w:val="single" w:sz="4" w:space="0" w:color="auto"/>
              <w:right w:val="single" w:sz="4" w:space="0" w:color="auto"/>
            </w:tcBorders>
            <w:hideMark/>
          </w:tcPr>
          <w:p w14:paraId="67F8A279"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5</w:t>
            </w:r>
          </w:p>
        </w:tc>
        <w:tc>
          <w:tcPr>
            <w:tcW w:w="2657" w:type="dxa"/>
            <w:tcBorders>
              <w:top w:val="single" w:sz="4" w:space="0" w:color="auto"/>
              <w:left w:val="single" w:sz="4" w:space="0" w:color="auto"/>
              <w:bottom w:val="single" w:sz="4" w:space="0" w:color="auto"/>
              <w:right w:val="single" w:sz="4" w:space="0" w:color="auto"/>
            </w:tcBorders>
            <w:hideMark/>
          </w:tcPr>
          <w:p w14:paraId="487DE72E" w14:textId="77777777" w:rsidR="00BB5F41" w:rsidRPr="00BB5F41" w:rsidRDefault="00BB5F41" w:rsidP="00BB5F41">
            <w:pPr>
              <w:spacing w:line="259" w:lineRule="auto"/>
              <w:rPr>
                <w:rFonts w:ascii="Times New Roman" w:hAnsi="Times New Roman" w:cs="Times New Roman"/>
                <w:sz w:val="24"/>
                <w:szCs w:val="24"/>
              </w:rPr>
            </w:pPr>
            <w:r w:rsidRPr="00BB5F41">
              <w:rPr>
                <w:rFonts w:ascii="Times New Roman" w:hAnsi="Times New Roman" w:cs="Times New Roman"/>
                <w:sz w:val="24"/>
                <w:szCs w:val="24"/>
              </w:rPr>
              <w:t xml:space="preserve">Online databases and journal repositories </w:t>
            </w:r>
          </w:p>
        </w:tc>
        <w:tc>
          <w:tcPr>
            <w:tcW w:w="996" w:type="dxa"/>
            <w:tcBorders>
              <w:top w:val="single" w:sz="4" w:space="0" w:color="auto"/>
              <w:left w:val="single" w:sz="4" w:space="0" w:color="auto"/>
              <w:bottom w:val="single" w:sz="4" w:space="0" w:color="auto"/>
              <w:right w:val="single" w:sz="4" w:space="0" w:color="auto"/>
            </w:tcBorders>
            <w:hideMark/>
          </w:tcPr>
          <w:p w14:paraId="211AA6C8"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52 (16.7%)</w:t>
            </w:r>
          </w:p>
        </w:tc>
        <w:tc>
          <w:tcPr>
            <w:tcW w:w="996" w:type="dxa"/>
            <w:tcBorders>
              <w:top w:val="single" w:sz="4" w:space="0" w:color="auto"/>
              <w:left w:val="single" w:sz="4" w:space="0" w:color="auto"/>
              <w:bottom w:val="single" w:sz="4" w:space="0" w:color="auto"/>
              <w:right w:val="single" w:sz="4" w:space="0" w:color="auto"/>
            </w:tcBorders>
            <w:hideMark/>
          </w:tcPr>
          <w:p w14:paraId="167CFCAF"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113 (36.3%)</w:t>
            </w:r>
          </w:p>
        </w:tc>
        <w:tc>
          <w:tcPr>
            <w:tcW w:w="996" w:type="dxa"/>
            <w:tcBorders>
              <w:top w:val="single" w:sz="4" w:space="0" w:color="auto"/>
              <w:left w:val="single" w:sz="4" w:space="0" w:color="auto"/>
              <w:bottom w:val="single" w:sz="4" w:space="0" w:color="auto"/>
              <w:right w:val="single" w:sz="4" w:space="0" w:color="auto"/>
            </w:tcBorders>
            <w:hideMark/>
          </w:tcPr>
          <w:p w14:paraId="53F677A0"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49 (15.8%)</w:t>
            </w:r>
          </w:p>
        </w:tc>
        <w:tc>
          <w:tcPr>
            <w:tcW w:w="996" w:type="dxa"/>
            <w:tcBorders>
              <w:top w:val="single" w:sz="4" w:space="0" w:color="auto"/>
              <w:left w:val="single" w:sz="4" w:space="0" w:color="auto"/>
              <w:bottom w:val="single" w:sz="4" w:space="0" w:color="auto"/>
              <w:right w:val="single" w:sz="4" w:space="0" w:color="auto"/>
            </w:tcBorders>
            <w:hideMark/>
          </w:tcPr>
          <w:p w14:paraId="31581BDA"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84 (27.0%)</w:t>
            </w:r>
          </w:p>
        </w:tc>
        <w:tc>
          <w:tcPr>
            <w:tcW w:w="876" w:type="dxa"/>
            <w:tcBorders>
              <w:top w:val="single" w:sz="4" w:space="0" w:color="auto"/>
              <w:left w:val="single" w:sz="4" w:space="0" w:color="auto"/>
              <w:bottom w:val="single" w:sz="4" w:space="0" w:color="auto"/>
              <w:right w:val="single" w:sz="4" w:space="0" w:color="auto"/>
            </w:tcBorders>
            <w:hideMark/>
          </w:tcPr>
          <w:p w14:paraId="1C315529"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13 (4.2%)</w:t>
            </w:r>
          </w:p>
        </w:tc>
        <w:tc>
          <w:tcPr>
            <w:tcW w:w="603" w:type="dxa"/>
            <w:tcBorders>
              <w:top w:val="single" w:sz="4" w:space="0" w:color="auto"/>
              <w:left w:val="single" w:sz="4" w:space="0" w:color="auto"/>
              <w:bottom w:val="single" w:sz="4" w:space="0" w:color="auto"/>
              <w:right w:val="single" w:sz="4" w:space="0" w:color="auto"/>
            </w:tcBorders>
            <w:hideMark/>
          </w:tcPr>
          <w:p w14:paraId="2B9CCD01"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2.6</w:t>
            </w:r>
          </w:p>
        </w:tc>
        <w:tc>
          <w:tcPr>
            <w:tcW w:w="606" w:type="dxa"/>
            <w:tcBorders>
              <w:top w:val="single" w:sz="4" w:space="0" w:color="auto"/>
              <w:left w:val="single" w:sz="4" w:space="0" w:color="auto"/>
              <w:bottom w:val="single" w:sz="4" w:space="0" w:color="auto"/>
              <w:right w:val="single" w:sz="4" w:space="0" w:color="auto"/>
            </w:tcBorders>
            <w:hideMark/>
          </w:tcPr>
          <w:p w14:paraId="3971614D"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1.1</w:t>
            </w:r>
          </w:p>
        </w:tc>
      </w:tr>
      <w:tr w:rsidR="00BB5F41" w:rsidRPr="00BB5F41" w14:paraId="70FD181B" w14:textId="77777777">
        <w:tc>
          <w:tcPr>
            <w:tcW w:w="624" w:type="dxa"/>
            <w:tcBorders>
              <w:top w:val="single" w:sz="4" w:space="0" w:color="auto"/>
              <w:left w:val="single" w:sz="4" w:space="0" w:color="auto"/>
              <w:bottom w:val="single" w:sz="4" w:space="0" w:color="auto"/>
              <w:right w:val="single" w:sz="4" w:space="0" w:color="auto"/>
            </w:tcBorders>
            <w:hideMark/>
          </w:tcPr>
          <w:p w14:paraId="3E762795"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6</w:t>
            </w:r>
          </w:p>
        </w:tc>
        <w:tc>
          <w:tcPr>
            <w:tcW w:w="2657" w:type="dxa"/>
            <w:tcBorders>
              <w:top w:val="single" w:sz="4" w:space="0" w:color="auto"/>
              <w:left w:val="single" w:sz="4" w:space="0" w:color="auto"/>
              <w:bottom w:val="single" w:sz="4" w:space="0" w:color="auto"/>
              <w:right w:val="single" w:sz="4" w:space="0" w:color="auto"/>
            </w:tcBorders>
            <w:hideMark/>
          </w:tcPr>
          <w:p w14:paraId="55D948EF"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 xml:space="preserve">Citation analysis tools </w:t>
            </w:r>
          </w:p>
        </w:tc>
        <w:tc>
          <w:tcPr>
            <w:tcW w:w="996" w:type="dxa"/>
            <w:tcBorders>
              <w:top w:val="single" w:sz="4" w:space="0" w:color="auto"/>
              <w:left w:val="single" w:sz="4" w:space="0" w:color="auto"/>
              <w:bottom w:val="single" w:sz="4" w:space="0" w:color="auto"/>
              <w:right w:val="single" w:sz="4" w:space="0" w:color="auto"/>
            </w:tcBorders>
            <w:hideMark/>
          </w:tcPr>
          <w:p w14:paraId="0BCFCF72" w14:textId="77777777" w:rsidR="00BB5F41" w:rsidRPr="00BB5F41" w:rsidRDefault="00BB5F41" w:rsidP="00BB5F41">
            <w:pPr>
              <w:spacing w:line="259" w:lineRule="auto"/>
              <w:jc w:val="both"/>
              <w:rPr>
                <w:rFonts w:ascii="Times New Roman" w:hAnsi="Times New Roman" w:cs="Times New Roman"/>
                <w:sz w:val="24"/>
                <w:szCs w:val="24"/>
                <w:lang w:val="en-NG"/>
              </w:rPr>
            </w:pPr>
            <w:r w:rsidRPr="00BB5F41">
              <w:rPr>
                <w:rFonts w:ascii="Times New Roman" w:hAnsi="Times New Roman" w:cs="Times New Roman"/>
                <w:sz w:val="24"/>
                <w:szCs w:val="24"/>
                <w:lang w:val="en-NG"/>
              </w:rPr>
              <w:t>9</w:t>
            </w:r>
          </w:p>
          <w:p w14:paraId="3E55FAFE"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(2.9%)</w:t>
            </w:r>
          </w:p>
        </w:tc>
        <w:tc>
          <w:tcPr>
            <w:tcW w:w="996" w:type="dxa"/>
            <w:tcBorders>
              <w:top w:val="single" w:sz="4" w:space="0" w:color="auto"/>
              <w:left w:val="single" w:sz="4" w:space="0" w:color="auto"/>
              <w:bottom w:val="single" w:sz="4" w:space="0" w:color="auto"/>
              <w:right w:val="single" w:sz="4" w:space="0" w:color="auto"/>
            </w:tcBorders>
            <w:hideMark/>
          </w:tcPr>
          <w:p w14:paraId="038AAD0E"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111 (35.7%)</w:t>
            </w:r>
          </w:p>
        </w:tc>
        <w:tc>
          <w:tcPr>
            <w:tcW w:w="996" w:type="dxa"/>
            <w:tcBorders>
              <w:top w:val="single" w:sz="4" w:space="0" w:color="auto"/>
              <w:left w:val="single" w:sz="4" w:space="0" w:color="auto"/>
              <w:bottom w:val="single" w:sz="4" w:space="0" w:color="auto"/>
              <w:right w:val="single" w:sz="4" w:space="0" w:color="auto"/>
            </w:tcBorders>
            <w:hideMark/>
          </w:tcPr>
          <w:p w14:paraId="7A1DB033"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91 (29.3%)</w:t>
            </w:r>
          </w:p>
        </w:tc>
        <w:tc>
          <w:tcPr>
            <w:tcW w:w="996" w:type="dxa"/>
            <w:tcBorders>
              <w:top w:val="single" w:sz="4" w:space="0" w:color="auto"/>
              <w:left w:val="single" w:sz="4" w:space="0" w:color="auto"/>
              <w:bottom w:val="single" w:sz="4" w:space="0" w:color="auto"/>
              <w:right w:val="single" w:sz="4" w:space="0" w:color="auto"/>
            </w:tcBorders>
            <w:hideMark/>
          </w:tcPr>
          <w:p w14:paraId="5FFD849E"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81 (26.0%)</w:t>
            </w:r>
          </w:p>
        </w:tc>
        <w:tc>
          <w:tcPr>
            <w:tcW w:w="876" w:type="dxa"/>
            <w:tcBorders>
              <w:top w:val="single" w:sz="4" w:space="0" w:color="auto"/>
              <w:left w:val="single" w:sz="4" w:space="0" w:color="auto"/>
              <w:bottom w:val="single" w:sz="4" w:space="0" w:color="auto"/>
              <w:right w:val="single" w:sz="4" w:space="0" w:color="auto"/>
            </w:tcBorders>
            <w:hideMark/>
          </w:tcPr>
          <w:p w14:paraId="1BD5976A"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19 (6.1%)</w:t>
            </w:r>
          </w:p>
        </w:tc>
        <w:tc>
          <w:tcPr>
            <w:tcW w:w="603" w:type="dxa"/>
            <w:tcBorders>
              <w:top w:val="single" w:sz="4" w:space="0" w:color="auto"/>
              <w:left w:val="single" w:sz="4" w:space="0" w:color="auto"/>
              <w:bottom w:val="single" w:sz="4" w:space="0" w:color="auto"/>
              <w:right w:val="single" w:sz="4" w:space="0" w:color="auto"/>
            </w:tcBorders>
            <w:hideMark/>
          </w:tcPr>
          <w:p w14:paraId="6C1E7434"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2.9</w:t>
            </w:r>
          </w:p>
        </w:tc>
        <w:tc>
          <w:tcPr>
            <w:tcW w:w="606" w:type="dxa"/>
            <w:tcBorders>
              <w:top w:val="single" w:sz="4" w:space="0" w:color="auto"/>
              <w:left w:val="single" w:sz="4" w:space="0" w:color="auto"/>
              <w:bottom w:val="single" w:sz="4" w:space="0" w:color="auto"/>
              <w:right w:val="single" w:sz="4" w:space="0" w:color="auto"/>
            </w:tcBorders>
            <w:hideMark/>
          </w:tcPr>
          <w:p w14:paraId="675CDFA8"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1.0</w:t>
            </w:r>
          </w:p>
        </w:tc>
      </w:tr>
      <w:tr w:rsidR="00BB5F41" w:rsidRPr="00BB5F41" w14:paraId="387893C7" w14:textId="77777777">
        <w:tc>
          <w:tcPr>
            <w:tcW w:w="624" w:type="dxa"/>
            <w:tcBorders>
              <w:top w:val="single" w:sz="4" w:space="0" w:color="auto"/>
              <w:left w:val="single" w:sz="4" w:space="0" w:color="auto"/>
              <w:bottom w:val="single" w:sz="4" w:space="0" w:color="auto"/>
              <w:right w:val="single" w:sz="4" w:space="0" w:color="auto"/>
            </w:tcBorders>
            <w:hideMark/>
          </w:tcPr>
          <w:p w14:paraId="3892A91D"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lastRenderedPageBreak/>
              <w:t>7</w:t>
            </w:r>
          </w:p>
        </w:tc>
        <w:tc>
          <w:tcPr>
            <w:tcW w:w="2657" w:type="dxa"/>
            <w:tcBorders>
              <w:top w:val="single" w:sz="4" w:space="0" w:color="auto"/>
              <w:left w:val="single" w:sz="4" w:space="0" w:color="auto"/>
              <w:bottom w:val="single" w:sz="4" w:space="0" w:color="auto"/>
              <w:right w:val="single" w:sz="4" w:space="0" w:color="auto"/>
            </w:tcBorders>
            <w:hideMark/>
          </w:tcPr>
          <w:p w14:paraId="6D6E8730" w14:textId="77777777" w:rsidR="00BB5F41" w:rsidRPr="00BB5F41" w:rsidRDefault="00BB5F41" w:rsidP="00BB5F41">
            <w:pPr>
              <w:spacing w:line="259" w:lineRule="auto"/>
              <w:rPr>
                <w:rFonts w:ascii="Times New Roman" w:hAnsi="Times New Roman" w:cs="Times New Roman"/>
                <w:sz w:val="24"/>
                <w:szCs w:val="24"/>
              </w:rPr>
            </w:pPr>
            <w:r w:rsidRPr="00BB5F41">
              <w:rPr>
                <w:rFonts w:ascii="Times New Roman" w:hAnsi="Times New Roman" w:cs="Times New Roman"/>
                <w:sz w:val="24"/>
                <w:szCs w:val="24"/>
              </w:rPr>
              <w:t xml:space="preserve">Open educational resources </w:t>
            </w:r>
          </w:p>
        </w:tc>
        <w:tc>
          <w:tcPr>
            <w:tcW w:w="996" w:type="dxa"/>
            <w:tcBorders>
              <w:top w:val="single" w:sz="4" w:space="0" w:color="auto"/>
              <w:left w:val="single" w:sz="4" w:space="0" w:color="auto"/>
              <w:bottom w:val="single" w:sz="4" w:space="0" w:color="auto"/>
              <w:right w:val="single" w:sz="4" w:space="0" w:color="auto"/>
            </w:tcBorders>
            <w:hideMark/>
          </w:tcPr>
          <w:p w14:paraId="44452B7B"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67 (21.5%)</w:t>
            </w:r>
          </w:p>
        </w:tc>
        <w:tc>
          <w:tcPr>
            <w:tcW w:w="996" w:type="dxa"/>
            <w:tcBorders>
              <w:top w:val="single" w:sz="4" w:space="0" w:color="auto"/>
              <w:left w:val="single" w:sz="4" w:space="0" w:color="auto"/>
              <w:bottom w:val="single" w:sz="4" w:space="0" w:color="auto"/>
              <w:right w:val="single" w:sz="4" w:space="0" w:color="auto"/>
            </w:tcBorders>
            <w:hideMark/>
          </w:tcPr>
          <w:p w14:paraId="2CA1EF04"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112 (36.0%)</w:t>
            </w:r>
          </w:p>
        </w:tc>
        <w:tc>
          <w:tcPr>
            <w:tcW w:w="996" w:type="dxa"/>
            <w:tcBorders>
              <w:top w:val="single" w:sz="4" w:space="0" w:color="auto"/>
              <w:left w:val="single" w:sz="4" w:space="0" w:color="auto"/>
              <w:bottom w:val="single" w:sz="4" w:space="0" w:color="auto"/>
              <w:right w:val="single" w:sz="4" w:space="0" w:color="auto"/>
            </w:tcBorders>
            <w:hideMark/>
          </w:tcPr>
          <w:p w14:paraId="5B5B446B"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42 (13.5%)</w:t>
            </w:r>
          </w:p>
        </w:tc>
        <w:tc>
          <w:tcPr>
            <w:tcW w:w="996" w:type="dxa"/>
            <w:tcBorders>
              <w:top w:val="single" w:sz="4" w:space="0" w:color="auto"/>
              <w:left w:val="single" w:sz="4" w:space="0" w:color="auto"/>
              <w:bottom w:val="single" w:sz="4" w:space="0" w:color="auto"/>
              <w:right w:val="single" w:sz="4" w:space="0" w:color="auto"/>
            </w:tcBorders>
            <w:hideMark/>
          </w:tcPr>
          <w:p w14:paraId="575CA026"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78 (25.1%)</w:t>
            </w:r>
          </w:p>
        </w:tc>
        <w:tc>
          <w:tcPr>
            <w:tcW w:w="876" w:type="dxa"/>
            <w:tcBorders>
              <w:top w:val="single" w:sz="4" w:space="0" w:color="auto"/>
              <w:left w:val="single" w:sz="4" w:space="0" w:color="auto"/>
              <w:bottom w:val="single" w:sz="4" w:space="0" w:color="auto"/>
              <w:right w:val="single" w:sz="4" w:space="0" w:color="auto"/>
            </w:tcBorders>
            <w:hideMark/>
          </w:tcPr>
          <w:p w14:paraId="1778C57F"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lang w:val="en-NG"/>
              </w:rPr>
              <w:t>12 (3.8%)</w:t>
            </w:r>
          </w:p>
        </w:tc>
        <w:tc>
          <w:tcPr>
            <w:tcW w:w="603" w:type="dxa"/>
            <w:tcBorders>
              <w:top w:val="single" w:sz="4" w:space="0" w:color="auto"/>
              <w:left w:val="single" w:sz="4" w:space="0" w:color="auto"/>
              <w:bottom w:val="single" w:sz="4" w:space="0" w:color="auto"/>
              <w:right w:val="single" w:sz="4" w:space="0" w:color="auto"/>
            </w:tcBorders>
            <w:hideMark/>
          </w:tcPr>
          <w:p w14:paraId="0F3D5E00"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2.4</w:t>
            </w:r>
          </w:p>
        </w:tc>
        <w:tc>
          <w:tcPr>
            <w:tcW w:w="606" w:type="dxa"/>
            <w:tcBorders>
              <w:top w:val="single" w:sz="4" w:space="0" w:color="auto"/>
              <w:left w:val="single" w:sz="4" w:space="0" w:color="auto"/>
              <w:bottom w:val="single" w:sz="4" w:space="0" w:color="auto"/>
              <w:right w:val="single" w:sz="4" w:space="0" w:color="auto"/>
            </w:tcBorders>
            <w:hideMark/>
          </w:tcPr>
          <w:p w14:paraId="404BD6B4" w14:textId="77777777" w:rsidR="00BB5F41" w:rsidRPr="00BB5F41" w:rsidRDefault="00BB5F41" w:rsidP="00BB5F41">
            <w:pPr>
              <w:spacing w:line="259" w:lineRule="auto"/>
              <w:jc w:val="both"/>
              <w:rPr>
                <w:rFonts w:ascii="Times New Roman" w:hAnsi="Times New Roman" w:cs="Times New Roman"/>
                <w:sz w:val="24"/>
                <w:szCs w:val="24"/>
              </w:rPr>
            </w:pPr>
            <w:r w:rsidRPr="00BB5F41">
              <w:rPr>
                <w:rFonts w:ascii="Times New Roman" w:hAnsi="Times New Roman" w:cs="Times New Roman"/>
                <w:sz w:val="24"/>
                <w:szCs w:val="24"/>
              </w:rPr>
              <w:t>1.1</w:t>
            </w:r>
          </w:p>
        </w:tc>
      </w:tr>
    </w:tbl>
    <w:p w14:paraId="6092E684" w14:textId="77777777" w:rsidR="00BB5F41" w:rsidRDefault="00BB5F41" w:rsidP="00706757">
      <w:pPr>
        <w:spacing w:after="0"/>
        <w:jc w:val="both"/>
        <w:rPr>
          <w:rFonts w:ascii="Times New Roman" w:hAnsi="Times New Roman" w:cs="Times New Roman"/>
          <w:sz w:val="24"/>
          <w:szCs w:val="24"/>
        </w:rPr>
      </w:pPr>
    </w:p>
    <w:p w14:paraId="4F0614EC" w14:textId="6685C9A6" w:rsidR="004C7CB4" w:rsidRPr="004C7CB4" w:rsidRDefault="004C7CB4" w:rsidP="004C7CB4">
      <w:pPr>
        <w:spacing w:after="0"/>
        <w:jc w:val="both"/>
        <w:rPr>
          <w:rFonts w:ascii="Times New Roman" w:hAnsi="Times New Roman" w:cs="Times New Roman"/>
          <w:sz w:val="24"/>
          <w:szCs w:val="24"/>
          <w:lang w:val="en-NG"/>
        </w:rPr>
      </w:pPr>
      <w:r w:rsidRPr="004C7CB4">
        <w:rPr>
          <w:rFonts w:ascii="Times New Roman" w:hAnsi="Times New Roman" w:cs="Times New Roman"/>
          <w:sz w:val="24"/>
          <w:szCs w:val="24"/>
          <w:lang w:val="en-NG"/>
        </w:rPr>
        <w:t xml:space="preserve">Table </w:t>
      </w:r>
      <w:r w:rsidR="002B10D5">
        <w:rPr>
          <w:rFonts w:ascii="Times New Roman" w:hAnsi="Times New Roman" w:cs="Times New Roman"/>
          <w:sz w:val="24"/>
          <w:szCs w:val="24"/>
          <w:lang w:val="en-NG"/>
        </w:rPr>
        <w:t>3</w:t>
      </w:r>
      <w:r w:rsidRPr="004C7CB4">
        <w:rPr>
          <w:rFonts w:ascii="Times New Roman" w:hAnsi="Times New Roman" w:cs="Times New Roman"/>
          <w:sz w:val="24"/>
          <w:szCs w:val="24"/>
          <w:lang w:val="en-NG"/>
        </w:rPr>
        <w:t xml:space="preserve"> revealed that none of them met the benchmark score (3.0) for high utilization. The highest utilization was observed for Citation Analysis Tools (2.9) and Institutional Repositories (2.6) suggests a disconnect between awareness and utilization i.e. being aware does not necessarily translate into active use. The variability in standard deviation again shows moderate divergence in respondent behaviour. The utilization pattern shows that citation analysis tools with mean score of (2.9) indicates a growing awareness among LIS academics about the importance of tracking research impact. Furthermore, institutional repositories and online journal databases and journal repositories had mean scores of 2.6 each, suggesting a fair but inconsistent utilization. The analysis further showed that institutional repositories are moderately utilized with many LIS academics unsure or underutilizing them. This may be largely due to a lack of full integration of repositories into academic workflow or possible access/technical issues. The key finding here is that none of the infrastructures surpassed the utilization benchmark, indicating a general underutilization of scholarly infrastructure among LIS academics in the region</w:t>
      </w:r>
    </w:p>
    <w:p w14:paraId="516F38D2" w14:textId="77777777" w:rsidR="006D62DB" w:rsidRDefault="006D62DB" w:rsidP="00706757">
      <w:pPr>
        <w:spacing w:after="0"/>
        <w:jc w:val="both"/>
        <w:rPr>
          <w:rFonts w:ascii="Times New Roman" w:hAnsi="Times New Roman" w:cs="Times New Roman"/>
          <w:sz w:val="24"/>
          <w:szCs w:val="24"/>
        </w:rPr>
      </w:pPr>
    </w:p>
    <w:p w14:paraId="4184009D" w14:textId="36A9664E" w:rsidR="004C7CB4" w:rsidRDefault="004C7CB4" w:rsidP="00706757">
      <w:pPr>
        <w:spacing w:after="0"/>
        <w:jc w:val="both"/>
        <w:rPr>
          <w:rFonts w:ascii="Times New Roman" w:hAnsi="Times New Roman" w:cs="Times New Roman"/>
          <w:sz w:val="24"/>
          <w:szCs w:val="24"/>
        </w:rPr>
      </w:pPr>
      <w:r w:rsidRPr="00BA7E6F">
        <w:rPr>
          <w:rFonts w:ascii="Times New Roman" w:hAnsi="Times New Roman" w:cs="Times New Roman"/>
          <w:b/>
          <w:bCs/>
          <w:sz w:val="24"/>
          <w:szCs w:val="24"/>
        </w:rPr>
        <w:t>Test of Hypothesis</w:t>
      </w:r>
    </w:p>
    <w:p w14:paraId="206D06FB" w14:textId="77777777" w:rsidR="00C66F8A" w:rsidRPr="00C66F8A" w:rsidRDefault="00C66F8A" w:rsidP="00706757">
      <w:pPr>
        <w:spacing w:after="0"/>
        <w:jc w:val="both"/>
        <w:rPr>
          <w:rFonts w:ascii="Times New Roman" w:hAnsi="Times New Roman" w:cs="Times New Roman"/>
          <w:sz w:val="24"/>
          <w:szCs w:val="24"/>
        </w:rPr>
      </w:pPr>
    </w:p>
    <w:p w14:paraId="2AB4FFF2" w14:textId="0B43CB47" w:rsidR="004C7CB4" w:rsidRDefault="00BA7E6F" w:rsidP="00706757">
      <w:pPr>
        <w:spacing w:after="0"/>
        <w:jc w:val="both"/>
        <w:rPr>
          <w:rFonts w:ascii="Times New Roman" w:hAnsi="Times New Roman" w:cs="Times New Roman"/>
          <w:sz w:val="24"/>
          <w:szCs w:val="24"/>
        </w:rPr>
      </w:pPr>
      <w:r w:rsidRPr="00BA7E6F">
        <w:rPr>
          <w:rFonts w:ascii="Times New Roman" w:hAnsi="Times New Roman" w:cs="Times New Roman"/>
          <w:b/>
          <w:bCs/>
          <w:sz w:val="24"/>
          <w:szCs w:val="24"/>
        </w:rPr>
        <w:t xml:space="preserve">Hypothesis one: There is no significant relationship between awareness, utilization and web visibility of </w:t>
      </w:r>
      <w:r>
        <w:rPr>
          <w:rFonts w:ascii="Times New Roman" w:hAnsi="Times New Roman" w:cs="Times New Roman"/>
          <w:b/>
          <w:bCs/>
          <w:sz w:val="24"/>
          <w:szCs w:val="24"/>
        </w:rPr>
        <w:t>research</w:t>
      </w:r>
      <w:r w:rsidRPr="00BA7E6F">
        <w:rPr>
          <w:rFonts w:ascii="Times New Roman" w:hAnsi="Times New Roman" w:cs="Times New Roman"/>
          <w:b/>
          <w:bCs/>
          <w:sz w:val="24"/>
          <w:szCs w:val="24"/>
        </w:rPr>
        <w:t xml:space="preserve"> </w:t>
      </w:r>
      <w:r>
        <w:rPr>
          <w:rFonts w:ascii="Times New Roman" w:hAnsi="Times New Roman" w:cs="Times New Roman"/>
          <w:b/>
          <w:bCs/>
          <w:sz w:val="24"/>
          <w:szCs w:val="24"/>
        </w:rPr>
        <w:t>output</w:t>
      </w:r>
      <w:r w:rsidRPr="00BA7E6F">
        <w:rPr>
          <w:rFonts w:ascii="Times New Roman" w:hAnsi="Times New Roman" w:cs="Times New Roman"/>
          <w:b/>
          <w:bCs/>
          <w:sz w:val="24"/>
          <w:szCs w:val="24"/>
        </w:rPr>
        <w:t xml:space="preserve"> among LIS academics in federal universities in northern Nigeria</w:t>
      </w:r>
      <w:r w:rsidRPr="00BA7E6F">
        <w:rPr>
          <w:rFonts w:ascii="Times New Roman" w:hAnsi="Times New Roman" w:cs="Times New Roman"/>
          <w:sz w:val="24"/>
          <w:szCs w:val="24"/>
        </w:rPr>
        <w:t>.</w:t>
      </w:r>
    </w:p>
    <w:p w14:paraId="259C5A49" w14:textId="77777777" w:rsidR="004E2468" w:rsidRDefault="004E2468" w:rsidP="00706757">
      <w:pPr>
        <w:spacing w:after="0"/>
        <w:jc w:val="both"/>
        <w:rPr>
          <w:rFonts w:ascii="Times New Roman" w:hAnsi="Times New Roman" w:cs="Times New Roman"/>
          <w:sz w:val="24"/>
          <w:szCs w:val="24"/>
        </w:rPr>
      </w:pPr>
    </w:p>
    <w:p w14:paraId="2F05D23E" w14:textId="77777777" w:rsidR="00BA7E6F" w:rsidRDefault="00BA7E6F" w:rsidP="00706757">
      <w:pPr>
        <w:spacing w:after="0"/>
        <w:jc w:val="both"/>
        <w:rPr>
          <w:rFonts w:ascii="Times New Roman" w:hAnsi="Times New Roman" w:cs="Times New Roman"/>
          <w:sz w:val="24"/>
          <w:szCs w:val="24"/>
        </w:rPr>
      </w:pPr>
    </w:p>
    <w:p w14:paraId="08A71460" w14:textId="12E82D42" w:rsidR="00BA7E6F" w:rsidRPr="00BA7E6F" w:rsidRDefault="00BA7E6F" w:rsidP="00BA7E6F">
      <w:pPr>
        <w:spacing w:after="0"/>
        <w:jc w:val="both"/>
        <w:rPr>
          <w:rFonts w:ascii="Times New Roman" w:hAnsi="Times New Roman" w:cs="Times New Roman"/>
          <w:b/>
          <w:i/>
          <w:sz w:val="24"/>
          <w:szCs w:val="24"/>
          <w:lang w:val="en-GB"/>
        </w:rPr>
      </w:pPr>
      <w:r w:rsidRPr="00BA7E6F">
        <w:rPr>
          <w:rFonts w:ascii="Times New Roman" w:hAnsi="Times New Roman" w:cs="Times New Roman"/>
          <w:b/>
          <w:sz w:val="24"/>
          <w:szCs w:val="24"/>
          <w:lang w:val="en-GB"/>
        </w:rPr>
        <w:t>Table 4: Correlation Between Awareness, Utilization and Web Visibility</w:t>
      </w:r>
    </w:p>
    <w:tbl>
      <w:tblPr>
        <w:tblStyle w:val="TableGrid"/>
        <w:tblW w:w="5000" w:type="pct"/>
        <w:tblLook w:val="04A0" w:firstRow="1" w:lastRow="0" w:firstColumn="1" w:lastColumn="0" w:noHBand="0" w:noVBand="1"/>
      </w:tblPr>
      <w:tblGrid>
        <w:gridCol w:w="1911"/>
        <w:gridCol w:w="2549"/>
        <w:gridCol w:w="1492"/>
        <w:gridCol w:w="1487"/>
        <w:gridCol w:w="1911"/>
      </w:tblGrid>
      <w:tr w:rsidR="00BA7E6F" w:rsidRPr="00BA7E6F" w14:paraId="07A6FD36" w14:textId="77777777">
        <w:tc>
          <w:tcPr>
            <w:tcW w:w="5000" w:type="pct"/>
            <w:gridSpan w:val="5"/>
            <w:tcBorders>
              <w:top w:val="single" w:sz="4" w:space="0" w:color="auto"/>
              <w:left w:val="single" w:sz="4" w:space="0" w:color="auto"/>
              <w:bottom w:val="single" w:sz="4" w:space="0" w:color="auto"/>
              <w:right w:val="single" w:sz="4" w:space="0" w:color="auto"/>
            </w:tcBorders>
            <w:hideMark/>
          </w:tcPr>
          <w:p w14:paraId="0CC549A5"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b/>
                <w:bCs/>
                <w:sz w:val="24"/>
                <w:szCs w:val="24"/>
                <w:lang w:val="en-NG"/>
              </w:rPr>
              <w:t>Correlations</w:t>
            </w:r>
          </w:p>
        </w:tc>
      </w:tr>
      <w:tr w:rsidR="00BA7E6F" w:rsidRPr="00BA7E6F" w14:paraId="36309897" w14:textId="77777777">
        <w:tc>
          <w:tcPr>
            <w:tcW w:w="2385" w:type="pct"/>
            <w:gridSpan w:val="2"/>
            <w:tcBorders>
              <w:top w:val="single" w:sz="4" w:space="0" w:color="auto"/>
              <w:left w:val="single" w:sz="4" w:space="0" w:color="auto"/>
              <w:bottom w:val="single" w:sz="4" w:space="0" w:color="auto"/>
              <w:right w:val="single" w:sz="4" w:space="0" w:color="auto"/>
            </w:tcBorders>
          </w:tcPr>
          <w:p w14:paraId="2C4CB1EC" w14:textId="77777777" w:rsidR="00BA7E6F" w:rsidRPr="00BA7E6F" w:rsidRDefault="00BA7E6F" w:rsidP="00BA7E6F">
            <w:pPr>
              <w:spacing w:line="259" w:lineRule="auto"/>
              <w:jc w:val="both"/>
              <w:rPr>
                <w:rFonts w:ascii="Times New Roman" w:hAnsi="Times New Roman" w:cs="Times New Roman"/>
                <w:sz w:val="24"/>
                <w:szCs w:val="24"/>
                <w:lang w:val="en-NG"/>
              </w:rPr>
            </w:pPr>
          </w:p>
        </w:tc>
        <w:tc>
          <w:tcPr>
            <w:tcW w:w="798" w:type="pct"/>
            <w:tcBorders>
              <w:top w:val="single" w:sz="4" w:space="0" w:color="auto"/>
              <w:left w:val="single" w:sz="4" w:space="0" w:color="auto"/>
              <w:bottom w:val="single" w:sz="4" w:space="0" w:color="auto"/>
              <w:right w:val="single" w:sz="4" w:space="0" w:color="auto"/>
            </w:tcBorders>
            <w:hideMark/>
          </w:tcPr>
          <w:p w14:paraId="15527225"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Awareness</w:t>
            </w:r>
          </w:p>
        </w:tc>
        <w:tc>
          <w:tcPr>
            <w:tcW w:w="795" w:type="pct"/>
            <w:tcBorders>
              <w:top w:val="single" w:sz="4" w:space="0" w:color="auto"/>
              <w:left w:val="single" w:sz="4" w:space="0" w:color="auto"/>
              <w:bottom w:val="single" w:sz="4" w:space="0" w:color="auto"/>
              <w:right w:val="single" w:sz="4" w:space="0" w:color="auto"/>
            </w:tcBorders>
            <w:hideMark/>
          </w:tcPr>
          <w:p w14:paraId="16F1ACE4"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Utilization</w:t>
            </w:r>
          </w:p>
        </w:tc>
        <w:tc>
          <w:tcPr>
            <w:tcW w:w="1022" w:type="pct"/>
            <w:tcBorders>
              <w:top w:val="single" w:sz="4" w:space="0" w:color="auto"/>
              <w:left w:val="single" w:sz="4" w:space="0" w:color="auto"/>
              <w:bottom w:val="single" w:sz="4" w:space="0" w:color="auto"/>
              <w:right w:val="single" w:sz="4" w:space="0" w:color="auto"/>
            </w:tcBorders>
            <w:hideMark/>
          </w:tcPr>
          <w:p w14:paraId="50826A30"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Web Visibility</w:t>
            </w:r>
          </w:p>
        </w:tc>
      </w:tr>
      <w:tr w:rsidR="00BA7E6F" w:rsidRPr="00BA7E6F" w14:paraId="1BB359C2" w14:textId="77777777">
        <w:tc>
          <w:tcPr>
            <w:tcW w:w="1022" w:type="pct"/>
            <w:vMerge w:val="restart"/>
            <w:tcBorders>
              <w:top w:val="single" w:sz="4" w:space="0" w:color="auto"/>
              <w:left w:val="single" w:sz="4" w:space="0" w:color="auto"/>
              <w:bottom w:val="single" w:sz="4" w:space="0" w:color="auto"/>
              <w:right w:val="single" w:sz="4" w:space="0" w:color="auto"/>
            </w:tcBorders>
            <w:hideMark/>
          </w:tcPr>
          <w:p w14:paraId="015ABAF1"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Awareness</w:t>
            </w:r>
          </w:p>
        </w:tc>
        <w:tc>
          <w:tcPr>
            <w:tcW w:w="1363" w:type="pct"/>
            <w:tcBorders>
              <w:top w:val="single" w:sz="4" w:space="0" w:color="auto"/>
              <w:left w:val="single" w:sz="4" w:space="0" w:color="auto"/>
              <w:bottom w:val="single" w:sz="4" w:space="0" w:color="auto"/>
              <w:right w:val="single" w:sz="4" w:space="0" w:color="auto"/>
            </w:tcBorders>
            <w:hideMark/>
          </w:tcPr>
          <w:p w14:paraId="10C25A1D"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Pearson Correlation</w:t>
            </w:r>
          </w:p>
        </w:tc>
        <w:tc>
          <w:tcPr>
            <w:tcW w:w="798" w:type="pct"/>
            <w:tcBorders>
              <w:top w:val="single" w:sz="4" w:space="0" w:color="auto"/>
              <w:left w:val="single" w:sz="4" w:space="0" w:color="auto"/>
              <w:bottom w:val="single" w:sz="4" w:space="0" w:color="auto"/>
              <w:right w:val="single" w:sz="4" w:space="0" w:color="auto"/>
            </w:tcBorders>
            <w:hideMark/>
          </w:tcPr>
          <w:p w14:paraId="0B07C49C"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1</w:t>
            </w:r>
          </w:p>
        </w:tc>
        <w:tc>
          <w:tcPr>
            <w:tcW w:w="795" w:type="pct"/>
            <w:tcBorders>
              <w:top w:val="single" w:sz="4" w:space="0" w:color="auto"/>
              <w:left w:val="single" w:sz="4" w:space="0" w:color="auto"/>
              <w:bottom w:val="single" w:sz="4" w:space="0" w:color="auto"/>
              <w:right w:val="single" w:sz="4" w:space="0" w:color="auto"/>
            </w:tcBorders>
            <w:hideMark/>
          </w:tcPr>
          <w:p w14:paraId="440E4AE2"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.886</w:t>
            </w:r>
            <w:r w:rsidRPr="00BA7E6F">
              <w:rPr>
                <w:rFonts w:ascii="Times New Roman" w:hAnsi="Times New Roman" w:cs="Times New Roman"/>
                <w:sz w:val="24"/>
                <w:szCs w:val="24"/>
                <w:vertAlign w:val="superscript"/>
                <w:lang w:val="en-NG"/>
              </w:rPr>
              <w:t>**</w:t>
            </w:r>
          </w:p>
        </w:tc>
        <w:tc>
          <w:tcPr>
            <w:tcW w:w="1022" w:type="pct"/>
            <w:tcBorders>
              <w:top w:val="single" w:sz="4" w:space="0" w:color="auto"/>
              <w:left w:val="single" w:sz="4" w:space="0" w:color="auto"/>
              <w:bottom w:val="single" w:sz="4" w:space="0" w:color="auto"/>
              <w:right w:val="single" w:sz="4" w:space="0" w:color="auto"/>
            </w:tcBorders>
            <w:hideMark/>
          </w:tcPr>
          <w:p w14:paraId="735B96C1"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.850</w:t>
            </w:r>
            <w:r w:rsidRPr="00BA7E6F">
              <w:rPr>
                <w:rFonts w:ascii="Times New Roman" w:hAnsi="Times New Roman" w:cs="Times New Roman"/>
                <w:sz w:val="24"/>
                <w:szCs w:val="24"/>
                <w:vertAlign w:val="superscript"/>
                <w:lang w:val="en-NG"/>
              </w:rPr>
              <w:t>**</w:t>
            </w:r>
          </w:p>
        </w:tc>
      </w:tr>
      <w:tr w:rsidR="00BA7E6F" w:rsidRPr="00BA7E6F" w14:paraId="3EB1DDD6"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A8733D4" w14:textId="77777777" w:rsidR="00BA7E6F" w:rsidRPr="00BA7E6F" w:rsidRDefault="00BA7E6F" w:rsidP="00BA7E6F">
            <w:pPr>
              <w:spacing w:line="259" w:lineRule="auto"/>
              <w:jc w:val="both"/>
              <w:rPr>
                <w:rFonts w:ascii="Times New Roman" w:hAnsi="Times New Roman" w:cs="Times New Roman"/>
                <w:sz w:val="24"/>
                <w:szCs w:val="24"/>
                <w:lang w:val="en-NG"/>
              </w:rPr>
            </w:pPr>
          </w:p>
        </w:tc>
        <w:tc>
          <w:tcPr>
            <w:tcW w:w="1363" w:type="pct"/>
            <w:tcBorders>
              <w:top w:val="single" w:sz="4" w:space="0" w:color="auto"/>
              <w:left w:val="single" w:sz="4" w:space="0" w:color="auto"/>
              <w:bottom w:val="single" w:sz="4" w:space="0" w:color="auto"/>
              <w:right w:val="single" w:sz="4" w:space="0" w:color="auto"/>
            </w:tcBorders>
            <w:hideMark/>
          </w:tcPr>
          <w:p w14:paraId="3FDC2960"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Sig. (2-tailed)</w:t>
            </w:r>
          </w:p>
        </w:tc>
        <w:tc>
          <w:tcPr>
            <w:tcW w:w="798" w:type="pct"/>
            <w:tcBorders>
              <w:top w:val="single" w:sz="4" w:space="0" w:color="auto"/>
              <w:left w:val="single" w:sz="4" w:space="0" w:color="auto"/>
              <w:bottom w:val="single" w:sz="4" w:space="0" w:color="auto"/>
              <w:right w:val="single" w:sz="4" w:space="0" w:color="auto"/>
            </w:tcBorders>
          </w:tcPr>
          <w:p w14:paraId="7C2C2E26" w14:textId="77777777" w:rsidR="00BA7E6F" w:rsidRPr="00BA7E6F" w:rsidRDefault="00BA7E6F" w:rsidP="00BA7E6F">
            <w:pPr>
              <w:spacing w:line="259" w:lineRule="auto"/>
              <w:jc w:val="both"/>
              <w:rPr>
                <w:rFonts w:ascii="Times New Roman" w:hAnsi="Times New Roman" w:cs="Times New Roman"/>
                <w:sz w:val="24"/>
                <w:szCs w:val="24"/>
                <w:lang w:val="en-NG"/>
              </w:rPr>
            </w:pPr>
          </w:p>
        </w:tc>
        <w:tc>
          <w:tcPr>
            <w:tcW w:w="795" w:type="pct"/>
            <w:tcBorders>
              <w:top w:val="single" w:sz="4" w:space="0" w:color="auto"/>
              <w:left w:val="single" w:sz="4" w:space="0" w:color="auto"/>
              <w:bottom w:val="single" w:sz="4" w:space="0" w:color="auto"/>
              <w:right w:val="single" w:sz="4" w:space="0" w:color="auto"/>
            </w:tcBorders>
            <w:hideMark/>
          </w:tcPr>
          <w:p w14:paraId="45F365AF"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.000</w:t>
            </w:r>
          </w:p>
        </w:tc>
        <w:tc>
          <w:tcPr>
            <w:tcW w:w="1022" w:type="pct"/>
            <w:tcBorders>
              <w:top w:val="single" w:sz="4" w:space="0" w:color="auto"/>
              <w:left w:val="single" w:sz="4" w:space="0" w:color="auto"/>
              <w:bottom w:val="single" w:sz="4" w:space="0" w:color="auto"/>
              <w:right w:val="single" w:sz="4" w:space="0" w:color="auto"/>
            </w:tcBorders>
            <w:hideMark/>
          </w:tcPr>
          <w:p w14:paraId="2590CA69"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.000</w:t>
            </w:r>
          </w:p>
        </w:tc>
      </w:tr>
      <w:tr w:rsidR="00BA7E6F" w:rsidRPr="00BA7E6F" w14:paraId="3F530A06"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8981D5A" w14:textId="77777777" w:rsidR="00BA7E6F" w:rsidRPr="00BA7E6F" w:rsidRDefault="00BA7E6F" w:rsidP="00BA7E6F">
            <w:pPr>
              <w:spacing w:line="259" w:lineRule="auto"/>
              <w:jc w:val="both"/>
              <w:rPr>
                <w:rFonts w:ascii="Times New Roman" w:hAnsi="Times New Roman" w:cs="Times New Roman"/>
                <w:sz w:val="24"/>
                <w:szCs w:val="24"/>
                <w:lang w:val="en-NG"/>
              </w:rPr>
            </w:pPr>
          </w:p>
        </w:tc>
        <w:tc>
          <w:tcPr>
            <w:tcW w:w="1363" w:type="pct"/>
            <w:tcBorders>
              <w:top w:val="single" w:sz="4" w:space="0" w:color="auto"/>
              <w:left w:val="single" w:sz="4" w:space="0" w:color="auto"/>
              <w:bottom w:val="single" w:sz="4" w:space="0" w:color="auto"/>
              <w:right w:val="single" w:sz="4" w:space="0" w:color="auto"/>
            </w:tcBorders>
            <w:hideMark/>
          </w:tcPr>
          <w:p w14:paraId="0EAAF1E5"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N</w:t>
            </w:r>
          </w:p>
        </w:tc>
        <w:tc>
          <w:tcPr>
            <w:tcW w:w="798" w:type="pct"/>
            <w:tcBorders>
              <w:top w:val="single" w:sz="4" w:space="0" w:color="auto"/>
              <w:left w:val="single" w:sz="4" w:space="0" w:color="auto"/>
              <w:bottom w:val="single" w:sz="4" w:space="0" w:color="auto"/>
              <w:right w:val="single" w:sz="4" w:space="0" w:color="auto"/>
            </w:tcBorders>
            <w:hideMark/>
          </w:tcPr>
          <w:p w14:paraId="4F0E9CC2"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311</w:t>
            </w:r>
          </w:p>
        </w:tc>
        <w:tc>
          <w:tcPr>
            <w:tcW w:w="795" w:type="pct"/>
            <w:tcBorders>
              <w:top w:val="single" w:sz="4" w:space="0" w:color="auto"/>
              <w:left w:val="single" w:sz="4" w:space="0" w:color="auto"/>
              <w:bottom w:val="single" w:sz="4" w:space="0" w:color="auto"/>
              <w:right w:val="single" w:sz="4" w:space="0" w:color="auto"/>
            </w:tcBorders>
            <w:hideMark/>
          </w:tcPr>
          <w:p w14:paraId="7EA08BA6"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311</w:t>
            </w:r>
          </w:p>
        </w:tc>
        <w:tc>
          <w:tcPr>
            <w:tcW w:w="1022" w:type="pct"/>
            <w:tcBorders>
              <w:top w:val="single" w:sz="4" w:space="0" w:color="auto"/>
              <w:left w:val="single" w:sz="4" w:space="0" w:color="auto"/>
              <w:bottom w:val="single" w:sz="4" w:space="0" w:color="auto"/>
              <w:right w:val="single" w:sz="4" w:space="0" w:color="auto"/>
            </w:tcBorders>
            <w:hideMark/>
          </w:tcPr>
          <w:p w14:paraId="701A62F3"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311</w:t>
            </w:r>
          </w:p>
        </w:tc>
      </w:tr>
      <w:tr w:rsidR="00BA7E6F" w:rsidRPr="00BA7E6F" w14:paraId="7125A0A2" w14:textId="77777777">
        <w:tc>
          <w:tcPr>
            <w:tcW w:w="1022" w:type="pct"/>
            <w:vMerge w:val="restart"/>
            <w:tcBorders>
              <w:top w:val="single" w:sz="4" w:space="0" w:color="auto"/>
              <w:left w:val="single" w:sz="4" w:space="0" w:color="auto"/>
              <w:bottom w:val="single" w:sz="4" w:space="0" w:color="auto"/>
              <w:right w:val="single" w:sz="4" w:space="0" w:color="auto"/>
            </w:tcBorders>
            <w:hideMark/>
          </w:tcPr>
          <w:p w14:paraId="6FB46ADC"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Utilization</w:t>
            </w:r>
          </w:p>
        </w:tc>
        <w:tc>
          <w:tcPr>
            <w:tcW w:w="1363" w:type="pct"/>
            <w:tcBorders>
              <w:top w:val="single" w:sz="4" w:space="0" w:color="auto"/>
              <w:left w:val="single" w:sz="4" w:space="0" w:color="auto"/>
              <w:bottom w:val="single" w:sz="4" w:space="0" w:color="auto"/>
              <w:right w:val="single" w:sz="4" w:space="0" w:color="auto"/>
            </w:tcBorders>
            <w:hideMark/>
          </w:tcPr>
          <w:p w14:paraId="77745C3A"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Pearson Correlation</w:t>
            </w:r>
          </w:p>
        </w:tc>
        <w:tc>
          <w:tcPr>
            <w:tcW w:w="798" w:type="pct"/>
            <w:tcBorders>
              <w:top w:val="single" w:sz="4" w:space="0" w:color="auto"/>
              <w:left w:val="single" w:sz="4" w:space="0" w:color="auto"/>
              <w:bottom w:val="single" w:sz="4" w:space="0" w:color="auto"/>
              <w:right w:val="single" w:sz="4" w:space="0" w:color="auto"/>
            </w:tcBorders>
            <w:hideMark/>
          </w:tcPr>
          <w:p w14:paraId="460302E6"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.886</w:t>
            </w:r>
            <w:r w:rsidRPr="00BA7E6F">
              <w:rPr>
                <w:rFonts w:ascii="Times New Roman" w:hAnsi="Times New Roman" w:cs="Times New Roman"/>
                <w:sz w:val="24"/>
                <w:szCs w:val="24"/>
                <w:vertAlign w:val="superscript"/>
                <w:lang w:val="en-NG"/>
              </w:rPr>
              <w:t>**</w:t>
            </w:r>
          </w:p>
        </w:tc>
        <w:tc>
          <w:tcPr>
            <w:tcW w:w="795" w:type="pct"/>
            <w:tcBorders>
              <w:top w:val="single" w:sz="4" w:space="0" w:color="auto"/>
              <w:left w:val="single" w:sz="4" w:space="0" w:color="auto"/>
              <w:bottom w:val="single" w:sz="4" w:space="0" w:color="auto"/>
              <w:right w:val="single" w:sz="4" w:space="0" w:color="auto"/>
            </w:tcBorders>
            <w:hideMark/>
          </w:tcPr>
          <w:p w14:paraId="7C9305B2"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1</w:t>
            </w:r>
          </w:p>
        </w:tc>
        <w:tc>
          <w:tcPr>
            <w:tcW w:w="1022" w:type="pct"/>
            <w:tcBorders>
              <w:top w:val="single" w:sz="4" w:space="0" w:color="auto"/>
              <w:left w:val="single" w:sz="4" w:space="0" w:color="auto"/>
              <w:bottom w:val="single" w:sz="4" w:space="0" w:color="auto"/>
              <w:right w:val="single" w:sz="4" w:space="0" w:color="auto"/>
            </w:tcBorders>
            <w:hideMark/>
          </w:tcPr>
          <w:p w14:paraId="2F4E7D32"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.851</w:t>
            </w:r>
            <w:r w:rsidRPr="00BA7E6F">
              <w:rPr>
                <w:rFonts w:ascii="Times New Roman" w:hAnsi="Times New Roman" w:cs="Times New Roman"/>
                <w:sz w:val="24"/>
                <w:szCs w:val="24"/>
                <w:vertAlign w:val="superscript"/>
                <w:lang w:val="en-NG"/>
              </w:rPr>
              <w:t>**</w:t>
            </w:r>
          </w:p>
        </w:tc>
      </w:tr>
      <w:tr w:rsidR="00BA7E6F" w:rsidRPr="00BA7E6F" w14:paraId="2DA2F123"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B904CE7" w14:textId="77777777" w:rsidR="00BA7E6F" w:rsidRPr="00BA7E6F" w:rsidRDefault="00BA7E6F" w:rsidP="00BA7E6F">
            <w:pPr>
              <w:spacing w:line="259" w:lineRule="auto"/>
              <w:jc w:val="both"/>
              <w:rPr>
                <w:rFonts w:ascii="Times New Roman" w:hAnsi="Times New Roman" w:cs="Times New Roman"/>
                <w:sz w:val="24"/>
                <w:szCs w:val="24"/>
                <w:lang w:val="en-NG"/>
              </w:rPr>
            </w:pPr>
          </w:p>
        </w:tc>
        <w:tc>
          <w:tcPr>
            <w:tcW w:w="1363" w:type="pct"/>
            <w:tcBorders>
              <w:top w:val="single" w:sz="4" w:space="0" w:color="auto"/>
              <w:left w:val="single" w:sz="4" w:space="0" w:color="auto"/>
              <w:bottom w:val="single" w:sz="4" w:space="0" w:color="auto"/>
              <w:right w:val="single" w:sz="4" w:space="0" w:color="auto"/>
            </w:tcBorders>
            <w:hideMark/>
          </w:tcPr>
          <w:p w14:paraId="79E3230A"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Sig. (2-tailed)</w:t>
            </w:r>
          </w:p>
        </w:tc>
        <w:tc>
          <w:tcPr>
            <w:tcW w:w="798" w:type="pct"/>
            <w:tcBorders>
              <w:top w:val="single" w:sz="4" w:space="0" w:color="auto"/>
              <w:left w:val="single" w:sz="4" w:space="0" w:color="auto"/>
              <w:bottom w:val="single" w:sz="4" w:space="0" w:color="auto"/>
              <w:right w:val="single" w:sz="4" w:space="0" w:color="auto"/>
            </w:tcBorders>
            <w:hideMark/>
          </w:tcPr>
          <w:p w14:paraId="19C430C5"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.000</w:t>
            </w:r>
          </w:p>
        </w:tc>
        <w:tc>
          <w:tcPr>
            <w:tcW w:w="795" w:type="pct"/>
            <w:tcBorders>
              <w:top w:val="single" w:sz="4" w:space="0" w:color="auto"/>
              <w:left w:val="single" w:sz="4" w:space="0" w:color="auto"/>
              <w:bottom w:val="single" w:sz="4" w:space="0" w:color="auto"/>
              <w:right w:val="single" w:sz="4" w:space="0" w:color="auto"/>
            </w:tcBorders>
          </w:tcPr>
          <w:p w14:paraId="168FAC0B" w14:textId="77777777" w:rsidR="00BA7E6F" w:rsidRPr="00BA7E6F" w:rsidRDefault="00BA7E6F" w:rsidP="00BA7E6F">
            <w:pPr>
              <w:spacing w:line="259" w:lineRule="auto"/>
              <w:jc w:val="both"/>
              <w:rPr>
                <w:rFonts w:ascii="Times New Roman" w:hAnsi="Times New Roman" w:cs="Times New Roman"/>
                <w:sz w:val="24"/>
                <w:szCs w:val="24"/>
                <w:lang w:val="en-NG"/>
              </w:rPr>
            </w:pPr>
          </w:p>
        </w:tc>
        <w:tc>
          <w:tcPr>
            <w:tcW w:w="1022" w:type="pct"/>
            <w:tcBorders>
              <w:top w:val="single" w:sz="4" w:space="0" w:color="auto"/>
              <w:left w:val="single" w:sz="4" w:space="0" w:color="auto"/>
              <w:bottom w:val="single" w:sz="4" w:space="0" w:color="auto"/>
              <w:right w:val="single" w:sz="4" w:space="0" w:color="auto"/>
            </w:tcBorders>
            <w:hideMark/>
          </w:tcPr>
          <w:p w14:paraId="20C7D77F"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.000</w:t>
            </w:r>
          </w:p>
        </w:tc>
      </w:tr>
      <w:tr w:rsidR="00BA7E6F" w:rsidRPr="00BA7E6F" w14:paraId="3D5C4442"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F09A8ED" w14:textId="77777777" w:rsidR="00BA7E6F" w:rsidRPr="00BA7E6F" w:rsidRDefault="00BA7E6F" w:rsidP="00BA7E6F">
            <w:pPr>
              <w:spacing w:line="259" w:lineRule="auto"/>
              <w:jc w:val="both"/>
              <w:rPr>
                <w:rFonts w:ascii="Times New Roman" w:hAnsi="Times New Roman" w:cs="Times New Roman"/>
                <w:sz w:val="24"/>
                <w:szCs w:val="24"/>
                <w:lang w:val="en-NG"/>
              </w:rPr>
            </w:pPr>
          </w:p>
        </w:tc>
        <w:tc>
          <w:tcPr>
            <w:tcW w:w="1363" w:type="pct"/>
            <w:tcBorders>
              <w:top w:val="single" w:sz="4" w:space="0" w:color="auto"/>
              <w:left w:val="single" w:sz="4" w:space="0" w:color="auto"/>
              <w:bottom w:val="single" w:sz="4" w:space="0" w:color="auto"/>
              <w:right w:val="single" w:sz="4" w:space="0" w:color="auto"/>
            </w:tcBorders>
            <w:hideMark/>
          </w:tcPr>
          <w:p w14:paraId="10A26471"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N</w:t>
            </w:r>
          </w:p>
        </w:tc>
        <w:tc>
          <w:tcPr>
            <w:tcW w:w="798" w:type="pct"/>
            <w:tcBorders>
              <w:top w:val="single" w:sz="4" w:space="0" w:color="auto"/>
              <w:left w:val="single" w:sz="4" w:space="0" w:color="auto"/>
              <w:bottom w:val="single" w:sz="4" w:space="0" w:color="auto"/>
              <w:right w:val="single" w:sz="4" w:space="0" w:color="auto"/>
            </w:tcBorders>
            <w:hideMark/>
          </w:tcPr>
          <w:p w14:paraId="40F3FC72"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311</w:t>
            </w:r>
          </w:p>
        </w:tc>
        <w:tc>
          <w:tcPr>
            <w:tcW w:w="795" w:type="pct"/>
            <w:tcBorders>
              <w:top w:val="single" w:sz="4" w:space="0" w:color="auto"/>
              <w:left w:val="single" w:sz="4" w:space="0" w:color="auto"/>
              <w:bottom w:val="single" w:sz="4" w:space="0" w:color="auto"/>
              <w:right w:val="single" w:sz="4" w:space="0" w:color="auto"/>
            </w:tcBorders>
            <w:hideMark/>
          </w:tcPr>
          <w:p w14:paraId="6B28807F"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311</w:t>
            </w:r>
          </w:p>
        </w:tc>
        <w:tc>
          <w:tcPr>
            <w:tcW w:w="1022" w:type="pct"/>
            <w:tcBorders>
              <w:top w:val="single" w:sz="4" w:space="0" w:color="auto"/>
              <w:left w:val="single" w:sz="4" w:space="0" w:color="auto"/>
              <w:bottom w:val="single" w:sz="4" w:space="0" w:color="auto"/>
              <w:right w:val="single" w:sz="4" w:space="0" w:color="auto"/>
            </w:tcBorders>
            <w:hideMark/>
          </w:tcPr>
          <w:p w14:paraId="0BD6753C"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311</w:t>
            </w:r>
          </w:p>
        </w:tc>
      </w:tr>
      <w:tr w:rsidR="00BA7E6F" w:rsidRPr="00BA7E6F" w14:paraId="5C7EF626" w14:textId="77777777">
        <w:tc>
          <w:tcPr>
            <w:tcW w:w="1022" w:type="pct"/>
            <w:vMerge w:val="restart"/>
            <w:tcBorders>
              <w:top w:val="single" w:sz="4" w:space="0" w:color="auto"/>
              <w:left w:val="single" w:sz="4" w:space="0" w:color="auto"/>
              <w:bottom w:val="single" w:sz="4" w:space="0" w:color="auto"/>
              <w:right w:val="single" w:sz="4" w:space="0" w:color="auto"/>
            </w:tcBorders>
            <w:hideMark/>
          </w:tcPr>
          <w:p w14:paraId="17B35A11"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Web Visibility</w:t>
            </w:r>
          </w:p>
        </w:tc>
        <w:tc>
          <w:tcPr>
            <w:tcW w:w="1363" w:type="pct"/>
            <w:tcBorders>
              <w:top w:val="single" w:sz="4" w:space="0" w:color="auto"/>
              <w:left w:val="single" w:sz="4" w:space="0" w:color="auto"/>
              <w:bottom w:val="single" w:sz="4" w:space="0" w:color="auto"/>
              <w:right w:val="single" w:sz="4" w:space="0" w:color="auto"/>
            </w:tcBorders>
            <w:hideMark/>
          </w:tcPr>
          <w:p w14:paraId="5692F998"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Pearson Correlation</w:t>
            </w:r>
          </w:p>
        </w:tc>
        <w:tc>
          <w:tcPr>
            <w:tcW w:w="798" w:type="pct"/>
            <w:tcBorders>
              <w:top w:val="single" w:sz="4" w:space="0" w:color="auto"/>
              <w:left w:val="single" w:sz="4" w:space="0" w:color="auto"/>
              <w:bottom w:val="single" w:sz="4" w:space="0" w:color="auto"/>
              <w:right w:val="single" w:sz="4" w:space="0" w:color="auto"/>
            </w:tcBorders>
            <w:hideMark/>
          </w:tcPr>
          <w:p w14:paraId="5F7E17A1"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.850</w:t>
            </w:r>
            <w:r w:rsidRPr="00BA7E6F">
              <w:rPr>
                <w:rFonts w:ascii="Times New Roman" w:hAnsi="Times New Roman" w:cs="Times New Roman"/>
                <w:sz w:val="24"/>
                <w:szCs w:val="24"/>
                <w:vertAlign w:val="superscript"/>
                <w:lang w:val="en-NG"/>
              </w:rPr>
              <w:t>**</w:t>
            </w:r>
          </w:p>
        </w:tc>
        <w:tc>
          <w:tcPr>
            <w:tcW w:w="795" w:type="pct"/>
            <w:tcBorders>
              <w:top w:val="single" w:sz="4" w:space="0" w:color="auto"/>
              <w:left w:val="single" w:sz="4" w:space="0" w:color="auto"/>
              <w:bottom w:val="single" w:sz="4" w:space="0" w:color="auto"/>
              <w:right w:val="single" w:sz="4" w:space="0" w:color="auto"/>
            </w:tcBorders>
            <w:hideMark/>
          </w:tcPr>
          <w:p w14:paraId="035D6C69"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.851</w:t>
            </w:r>
            <w:r w:rsidRPr="00BA7E6F">
              <w:rPr>
                <w:rFonts w:ascii="Times New Roman" w:hAnsi="Times New Roman" w:cs="Times New Roman"/>
                <w:sz w:val="24"/>
                <w:szCs w:val="24"/>
                <w:vertAlign w:val="superscript"/>
                <w:lang w:val="en-NG"/>
              </w:rPr>
              <w:t>**</w:t>
            </w:r>
          </w:p>
        </w:tc>
        <w:tc>
          <w:tcPr>
            <w:tcW w:w="1022" w:type="pct"/>
            <w:tcBorders>
              <w:top w:val="single" w:sz="4" w:space="0" w:color="auto"/>
              <w:left w:val="single" w:sz="4" w:space="0" w:color="auto"/>
              <w:bottom w:val="single" w:sz="4" w:space="0" w:color="auto"/>
              <w:right w:val="single" w:sz="4" w:space="0" w:color="auto"/>
            </w:tcBorders>
            <w:hideMark/>
          </w:tcPr>
          <w:p w14:paraId="3214A15B"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1</w:t>
            </w:r>
          </w:p>
        </w:tc>
      </w:tr>
      <w:tr w:rsidR="00BA7E6F" w:rsidRPr="00BA7E6F" w14:paraId="71B7A7DA"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DB604B2" w14:textId="77777777" w:rsidR="00BA7E6F" w:rsidRPr="00BA7E6F" w:rsidRDefault="00BA7E6F" w:rsidP="00BA7E6F">
            <w:pPr>
              <w:spacing w:line="259" w:lineRule="auto"/>
              <w:jc w:val="both"/>
              <w:rPr>
                <w:rFonts w:ascii="Times New Roman" w:hAnsi="Times New Roman" w:cs="Times New Roman"/>
                <w:sz w:val="24"/>
                <w:szCs w:val="24"/>
                <w:lang w:val="en-NG"/>
              </w:rPr>
            </w:pPr>
          </w:p>
        </w:tc>
        <w:tc>
          <w:tcPr>
            <w:tcW w:w="1363" w:type="pct"/>
            <w:tcBorders>
              <w:top w:val="single" w:sz="4" w:space="0" w:color="auto"/>
              <w:left w:val="single" w:sz="4" w:space="0" w:color="auto"/>
              <w:bottom w:val="single" w:sz="4" w:space="0" w:color="auto"/>
              <w:right w:val="single" w:sz="4" w:space="0" w:color="auto"/>
            </w:tcBorders>
            <w:hideMark/>
          </w:tcPr>
          <w:p w14:paraId="1ADEE1EE"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Sig. (2-tailed)</w:t>
            </w:r>
          </w:p>
        </w:tc>
        <w:tc>
          <w:tcPr>
            <w:tcW w:w="798" w:type="pct"/>
            <w:tcBorders>
              <w:top w:val="single" w:sz="4" w:space="0" w:color="auto"/>
              <w:left w:val="single" w:sz="4" w:space="0" w:color="auto"/>
              <w:bottom w:val="single" w:sz="4" w:space="0" w:color="auto"/>
              <w:right w:val="single" w:sz="4" w:space="0" w:color="auto"/>
            </w:tcBorders>
            <w:hideMark/>
          </w:tcPr>
          <w:p w14:paraId="738E22F4"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.000</w:t>
            </w:r>
          </w:p>
        </w:tc>
        <w:tc>
          <w:tcPr>
            <w:tcW w:w="795" w:type="pct"/>
            <w:tcBorders>
              <w:top w:val="single" w:sz="4" w:space="0" w:color="auto"/>
              <w:left w:val="single" w:sz="4" w:space="0" w:color="auto"/>
              <w:bottom w:val="single" w:sz="4" w:space="0" w:color="auto"/>
              <w:right w:val="single" w:sz="4" w:space="0" w:color="auto"/>
            </w:tcBorders>
            <w:hideMark/>
          </w:tcPr>
          <w:p w14:paraId="2EDFCD06"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.000</w:t>
            </w:r>
          </w:p>
        </w:tc>
        <w:tc>
          <w:tcPr>
            <w:tcW w:w="1022" w:type="pct"/>
            <w:tcBorders>
              <w:top w:val="single" w:sz="4" w:space="0" w:color="auto"/>
              <w:left w:val="single" w:sz="4" w:space="0" w:color="auto"/>
              <w:bottom w:val="single" w:sz="4" w:space="0" w:color="auto"/>
              <w:right w:val="single" w:sz="4" w:space="0" w:color="auto"/>
            </w:tcBorders>
          </w:tcPr>
          <w:p w14:paraId="5AC925B0" w14:textId="77777777" w:rsidR="00BA7E6F" w:rsidRPr="00BA7E6F" w:rsidRDefault="00BA7E6F" w:rsidP="00BA7E6F">
            <w:pPr>
              <w:spacing w:line="259" w:lineRule="auto"/>
              <w:jc w:val="both"/>
              <w:rPr>
                <w:rFonts w:ascii="Times New Roman" w:hAnsi="Times New Roman" w:cs="Times New Roman"/>
                <w:sz w:val="24"/>
                <w:szCs w:val="24"/>
                <w:lang w:val="en-NG"/>
              </w:rPr>
            </w:pPr>
          </w:p>
        </w:tc>
      </w:tr>
      <w:tr w:rsidR="00BA7E6F" w:rsidRPr="00BA7E6F" w14:paraId="155EF707"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DAF4B03" w14:textId="77777777" w:rsidR="00BA7E6F" w:rsidRPr="00BA7E6F" w:rsidRDefault="00BA7E6F" w:rsidP="00BA7E6F">
            <w:pPr>
              <w:spacing w:line="259" w:lineRule="auto"/>
              <w:jc w:val="both"/>
              <w:rPr>
                <w:rFonts w:ascii="Times New Roman" w:hAnsi="Times New Roman" w:cs="Times New Roman"/>
                <w:sz w:val="24"/>
                <w:szCs w:val="24"/>
                <w:lang w:val="en-NG"/>
              </w:rPr>
            </w:pPr>
          </w:p>
        </w:tc>
        <w:tc>
          <w:tcPr>
            <w:tcW w:w="1363" w:type="pct"/>
            <w:tcBorders>
              <w:top w:val="single" w:sz="4" w:space="0" w:color="auto"/>
              <w:left w:val="single" w:sz="4" w:space="0" w:color="auto"/>
              <w:bottom w:val="single" w:sz="4" w:space="0" w:color="auto"/>
              <w:right w:val="single" w:sz="4" w:space="0" w:color="auto"/>
            </w:tcBorders>
            <w:hideMark/>
          </w:tcPr>
          <w:p w14:paraId="38DD6C76"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N</w:t>
            </w:r>
          </w:p>
        </w:tc>
        <w:tc>
          <w:tcPr>
            <w:tcW w:w="798" w:type="pct"/>
            <w:tcBorders>
              <w:top w:val="single" w:sz="4" w:space="0" w:color="auto"/>
              <w:left w:val="single" w:sz="4" w:space="0" w:color="auto"/>
              <w:bottom w:val="single" w:sz="4" w:space="0" w:color="auto"/>
              <w:right w:val="single" w:sz="4" w:space="0" w:color="auto"/>
            </w:tcBorders>
            <w:hideMark/>
          </w:tcPr>
          <w:p w14:paraId="2196B174"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311</w:t>
            </w:r>
          </w:p>
        </w:tc>
        <w:tc>
          <w:tcPr>
            <w:tcW w:w="795" w:type="pct"/>
            <w:tcBorders>
              <w:top w:val="single" w:sz="4" w:space="0" w:color="auto"/>
              <w:left w:val="single" w:sz="4" w:space="0" w:color="auto"/>
              <w:bottom w:val="single" w:sz="4" w:space="0" w:color="auto"/>
              <w:right w:val="single" w:sz="4" w:space="0" w:color="auto"/>
            </w:tcBorders>
            <w:hideMark/>
          </w:tcPr>
          <w:p w14:paraId="2D2266AA"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311</w:t>
            </w:r>
          </w:p>
        </w:tc>
        <w:tc>
          <w:tcPr>
            <w:tcW w:w="1022" w:type="pct"/>
            <w:tcBorders>
              <w:top w:val="single" w:sz="4" w:space="0" w:color="auto"/>
              <w:left w:val="single" w:sz="4" w:space="0" w:color="auto"/>
              <w:bottom w:val="single" w:sz="4" w:space="0" w:color="auto"/>
              <w:right w:val="single" w:sz="4" w:space="0" w:color="auto"/>
            </w:tcBorders>
            <w:hideMark/>
          </w:tcPr>
          <w:p w14:paraId="1BC95217" w14:textId="77777777" w:rsidR="00BA7E6F" w:rsidRPr="00BA7E6F" w:rsidRDefault="00BA7E6F" w:rsidP="00BA7E6F">
            <w:pPr>
              <w:spacing w:line="259" w:lineRule="auto"/>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311</w:t>
            </w:r>
          </w:p>
        </w:tc>
      </w:tr>
    </w:tbl>
    <w:p w14:paraId="773783A2" w14:textId="77777777" w:rsidR="00BA7E6F" w:rsidRPr="00BA7E6F" w:rsidRDefault="00BA7E6F" w:rsidP="00BA7E6F">
      <w:pPr>
        <w:spacing w:after="0"/>
        <w:jc w:val="both"/>
        <w:rPr>
          <w:rFonts w:ascii="Times New Roman" w:hAnsi="Times New Roman" w:cs="Times New Roman"/>
          <w:sz w:val="24"/>
          <w:szCs w:val="24"/>
          <w:lang w:val="en-GB"/>
        </w:rPr>
      </w:pPr>
      <w:r w:rsidRPr="00BA7E6F">
        <w:rPr>
          <w:rFonts w:ascii="Times New Roman" w:hAnsi="Times New Roman" w:cs="Times New Roman"/>
          <w:sz w:val="24"/>
          <w:szCs w:val="24"/>
          <w:lang w:val="en-NG"/>
        </w:rPr>
        <w:t>**. Correlation is significant at the 0.01 level (2-tailed).</w:t>
      </w:r>
    </w:p>
    <w:p w14:paraId="5F202F0A" w14:textId="77777777" w:rsidR="000225F3" w:rsidRDefault="000225F3" w:rsidP="00BA7E6F">
      <w:pPr>
        <w:spacing w:after="0"/>
        <w:jc w:val="both"/>
        <w:rPr>
          <w:rFonts w:ascii="Times New Roman" w:hAnsi="Times New Roman" w:cs="Times New Roman"/>
          <w:sz w:val="24"/>
          <w:szCs w:val="24"/>
          <w:lang w:val="en-NG"/>
        </w:rPr>
      </w:pPr>
    </w:p>
    <w:p w14:paraId="27C1D19E" w14:textId="0805BC94" w:rsidR="00BA7E6F" w:rsidRPr="00BA7E6F" w:rsidRDefault="00BA7E6F" w:rsidP="00BA7E6F">
      <w:pPr>
        <w:spacing w:after="0"/>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t xml:space="preserve">The results in table 4 confirmed that all correlations are positive, strong (r &gt; 0.85) and statistically significant at p &lt; 0.001. This means there is a significant and strong relationship between awareness, utilization, and web visibility of </w:t>
      </w:r>
      <w:r w:rsidR="00BD3A7D">
        <w:rPr>
          <w:rFonts w:ascii="Times New Roman" w:hAnsi="Times New Roman" w:cs="Times New Roman"/>
          <w:sz w:val="24"/>
          <w:szCs w:val="24"/>
          <w:lang w:val="en-NG"/>
        </w:rPr>
        <w:t>research</w:t>
      </w:r>
      <w:r w:rsidRPr="00BA7E6F">
        <w:rPr>
          <w:rFonts w:ascii="Times New Roman" w:hAnsi="Times New Roman" w:cs="Times New Roman"/>
          <w:sz w:val="24"/>
          <w:szCs w:val="24"/>
          <w:lang w:val="en-NG"/>
        </w:rPr>
        <w:t xml:space="preserve"> </w:t>
      </w:r>
      <w:r w:rsidR="00BD3A7D">
        <w:rPr>
          <w:rFonts w:ascii="Times New Roman" w:hAnsi="Times New Roman" w:cs="Times New Roman"/>
          <w:sz w:val="24"/>
          <w:szCs w:val="24"/>
          <w:lang w:val="en-NG"/>
        </w:rPr>
        <w:t>output</w:t>
      </w:r>
      <w:r w:rsidRPr="00BA7E6F">
        <w:rPr>
          <w:rFonts w:ascii="Times New Roman" w:hAnsi="Times New Roman" w:cs="Times New Roman"/>
          <w:sz w:val="24"/>
          <w:szCs w:val="24"/>
          <w:lang w:val="en-NG"/>
        </w:rPr>
        <w:t xml:space="preserve"> hence, the null hypothesis (H₀</w:t>
      </w:r>
      <w:r w:rsidR="00BD3A7D" w:rsidRPr="00BD3A7D">
        <w:rPr>
          <w:rFonts w:ascii="Times New Roman" w:hAnsi="Times New Roman" w:cs="Times New Roman"/>
          <w:sz w:val="24"/>
          <w:szCs w:val="24"/>
          <w:vertAlign w:val="subscript"/>
          <w:lang w:val="en-NG"/>
        </w:rPr>
        <w:t>1</w:t>
      </w:r>
      <w:r w:rsidRPr="00BA7E6F">
        <w:rPr>
          <w:rFonts w:ascii="Times New Roman" w:hAnsi="Times New Roman" w:cs="Times New Roman"/>
          <w:sz w:val="24"/>
          <w:szCs w:val="24"/>
          <w:lang w:val="en-NG"/>
        </w:rPr>
        <w:t xml:space="preserve">) was rejected. These results suggest that LIS academics who are more aware of scholarly infrastructure tools are also more likely to use them, and that both higher awareness and greater utilization are strongly associated with increased web visibility of their </w:t>
      </w:r>
      <w:r w:rsidR="00BD3A7D">
        <w:rPr>
          <w:rFonts w:ascii="Times New Roman" w:hAnsi="Times New Roman" w:cs="Times New Roman"/>
          <w:sz w:val="24"/>
          <w:szCs w:val="24"/>
          <w:lang w:val="en-NG"/>
        </w:rPr>
        <w:t>research</w:t>
      </w:r>
      <w:r w:rsidRPr="00BA7E6F">
        <w:rPr>
          <w:rFonts w:ascii="Times New Roman" w:hAnsi="Times New Roman" w:cs="Times New Roman"/>
          <w:sz w:val="24"/>
          <w:szCs w:val="24"/>
          <w:lang w:val="en-NG"/>
        </w:rPr>
        <w:t xml:space="preserve"> </w:t>
      </w:r>
      <w:r w:rsidR="00BD3A7D">
        <w:rPr>
          <w:rFonts w:ascii="Times New Roman" w:hAnsi="Times New Roman" w:cs="Times New Roman"/>
          <w:sz w:val="24"/>
          <w:szCs w:val="24"/>
          <w:lang w:val="en-NG"/>
        </w:rPr>
        <w:t>output</w:t>
      </w:r>
      <w:r w:rsidRPr="00BA7E6F">
        <w:rPr>
          <w:rFonts w:ascii="Times New Roman" w:hAnsi="Times New Roman" w:cs="Times New Roman"/>
          <w:sz w:val="24"/>
          <w:szCs w:val="24"/>
          <w:lang w:val="en-NG"/>
        </w:rPr>
        <w:t xml:space="preserve">. </w:t>
      </w:r>
    </w:p>
    <w:p w14:paraId="5193664D" w14:textId="77777777" w:rsidR="00BA7E6F" w:rsidRPr="00BA7E6F" w:rsidRDefault="00BA7E6F" w:rsidP="00BA7E6F">
      <w:pPr>
        <w:spacing w:after="0"/>
        <w:jc w:val="both"/>
        <w:rPr>
          <w:rFonts w:ascii="Times New Roman" w:hAnsi="Times New Roman" w:cs="Times New Roman"/>
          <w:sz w:val="24"/>
          <w:szCs w:val="24"/>
          <w:lang w:val="en-NG"/>
        </w:rPr>
      </w:pPr>
      <w:r w:rsidRPr="00BA7E6F">
        <w:rPr>
          <w:rFonts w:ascii="Times New Roman" w:hAnsi="Times New Roman" w:cs="Times New Roman"/>
          <w:sz w:val="24"/>
          <w:szCs w:val="24"/>
          <w:lang w:val="en-NG"/>
        </w:rPr>
        <w:lastRenderedPageBreak/>
        <w:t xml:space="preserve">The findings affirm the interconnectedness of the three constructs i.e. awareness, utilization and web visibility within the scholarly communication process. The high correlation between awareness and utilization supports previous research by Tenopir et al. (2012) and Okeji et al. (2018) which suggests that knowledge of digital tools is a prerequisite for meaningful use. The strong relationship between utilization and web visibility further confirms that digital scholarly engagement contributes significantly to online discoverability, citation rates, and broader academic impact. </w:t>
      </w:r>
    </w:p>
    <w:p w14:paraId="1F95A8EB" w14:textId="77777777" w:rsidR="00BA7E6F" w:rsidRDefault="00BA7E6F" w:rsidP="00706757">
      <w:pPr>
        <w:spacing w:after="0"/>
        <w:jc w:val="both"/>
        <w:rPr>
          <w:rFonts w:ascii="Times New Roman" w:hAnsi="Times New Roman" w:cs="Times New Roman"/>
          <w:sz w:val="24"/>
          <w:szCs w:val="24"/>
        </w:rPr>
      </w:pPr>
    </w:p>
    <w:p w14:paraId="669ECE27" w14:textId="079D92E4" w:rsidR="00C66F8A" w:rsidRPr="00007EE0" w:rsidRDefault="00C66F8A" w:rsidP="00706757">
      <w:pPr>
        <w:spacing w:after="0"/>
        <w:jc w:val="both"/>
        <w:rPr>
          <w:rFonts w:ascii="Times New Roman" w:hAnsi="Times New Roman" w:cs="Times New Roman"/>
          <w:b/>
          <w:bCs/>
          <w:sz w:val="24"/>
          <w:szCs w:val="24"/>
        </w:rPr>
      </w:pPr>
      <w:r w:rsidRPr="00007EE0">
        <w:rPr>
          <w:rFonts w:ascii="Times New Roman" w:hAnsi="Times New Roman" w:cs="Times New Roman"/>
          <w:b/>
          <w:bCs/>
          <w:sz w:val="24"/>
          <w:szCs w:val="24"/>
        </w:rPr>
        <w:t xml:space="preserve">Recommendations </w:t>
      </w:r>
    </w:p>
    <w:p w14:paraId="3CC143F3" w14:textId="77777777" w:rsidR="00007EE0" w:rsidRPr="00BE3076" w:rsidRDefault="00007EE0" w:rsidP="00007EE0">
      <w:pPr>
        <w:jc w:val="both"/>
        <w:rPr>
          <w:rFonts w:ascii="Times New Roman" w:hAnsi="Times New Roman" w:cs="Times New Roman"/>
          <w:sz w:val="24"/>
          <w:szCs w:val="24"/>
          <w:lang w:val="en-NG"/>
        </w:rPr>
      </w:pPr>
      <w:r w:rsidRPr="00BE3076">
        <w:rPr>
          <w:rFonts w:ascii="Times New Roman" w:hAnsi="Times New Roman" w:cs="Times New Roman"/>
          <w:sz w:val="24"/>
          <w:szCs w:val="24"/>
          <w:lang w:val="en-NG"/>
        </w:rPr>
        <w:t>Based on the findings of this study, the following recommendations are made to enhance the awareness, utilization, and consequent web visibility of research output by LIS academics in federal universities in northern Nigeria:</w:t>
      </w:r>
    </w:p>
    <w:p w14:paraId="5D58A5C1" w14:textId="77777777" w:rsidR="00007EE0" w:rsidRPr="00BE3076" w:rsidRDefault="00007EE0" w:rsidP="00007EE0">
      <w:pPr>
        <w:numPr>
          <w:ilvl w:val="0"/>
          <w:numId w:val="5"/>
        </w:numPr>
        <w:jc w:val="both"/>
        <w:rPr>
          <w:rFonts w:ascii="Times New Roman" w:hAnsi="Times New Roman" w:cs="Times New Roman"/>
          <w:sz w:val="24"/>
          <w:szCs w:val="24"/>
          <w:lang w:val="en-NG"/>
        </w:rPr>
      </w:pPr>
      <w:r w:rsidRPr="00BE3076">
        <w:rPr>
          <w:rFonts w:ascii="Times New Roman" w:hAnsi="Times New Roman" w:cs="Times New Roman"/>
          <w:sz w:val="24"/>
          <w:szCs w:val="24"/>
          <w:lang w:val="en-NG"/>
        </w:rPr>
        <w:t>Federal universities in northern Nigeria should organize regular, hands-on training sessions and workshops on the use of scholarly infrastructure, including institutional repositories, bibliometric tools, research networking platforms, and citation management software. Such training should be continuous and tailored to different academic ranks and skill levels.</w:t>
      </w:r>
    </w:p>
    <w:p w14:paraId="2CDBCD35" w14:textId="77777777" w:rsidR="00007EE0" w:rsidRPr="00BE3076" w:rsidRDefault="00007EE0" w:rsidP="00007EE0">
      <w:pPr>
        <w:numPr>
          <w:ilvl w:val="0"/>
          <w:numId w:val="5"/>
        </w:numPr>
        <w:jc w:val="both"/>
        <w:rPr>
          <w:rFonts w:ascii="Times New Roman" w:hAnsi="Times New Roman" w:cs="Times New Roman"/>
          <w:sz w:val="24"/>
          <w:szCs w:val="24"/>
          <w:lang w:val="en-NG"/>
        </w:rPr>
      </w:pPr>
      <w:r w:rsidRPr="00BE3076">
        <w:rPr>
          <w:rFonts w:ascii="Times New Roman" w:hAnsi="Times New Roman" w:cs="Times New Roman"/>
          <w:sz w:val="24"/>
          <w:szCs w:val="24"/>
          <w:lang w:val="en-NG"/>
        </w:rPr>
        <w:t>Academic departments and university libraries should embed the use of scholarly infrastructure into research processes, from proposal writing to publication. This may include requiring researchers to maintain updated profiles on platforms such as ORCID, Google Scholar, and ResearchGate.</w:t>
      </w:r>
    </w:p>
    <w:p w14:paraId="075C39E8" w14:textId="77777777" w:rsidR="00007EE0" w:rsidRPr="00BE3076" w:rsidRDefault="00007EE0" w:rsidP="00007EE0">
      <w:pPr>
        <w:numPr>
          <w:ilvl w:val="0"/>
          <w:numId w:val="5"/>
        </w:numPr>
        <w:jc w:val="both"/>
        <w:rPr>
          <w:rFonts w:ascii="Times New Roman" w:hAnsi="Times New Roman" w:cs="Times New Roman"/>
          <w:sz w:val="24"/>
          <w:szCs w:val="24"/>
          <w:lang w:val="en-NG"/>
        </w:rPr>
      </w:pPr>
      <w:r w:rsidRPr="00BE3076">
        <w:rPr>
          <w:rFonts w:ascii="Times New Roman" w:hAnsi="Times New Roman" w:cs="Times New Roman"/>
          <w:sz w:val="24"/>
          <w:szCs w:val="24"/>
          <w:lang w:val="en-NG"/>
        </w:rPr>
        <w:t>Federal universities in northern Nigeria should implement clear policies mandating the deposit of publications in institutional repositories and encouraging open access publishing. This will promote compliance and ensure consistent visibility of research outputs.</w:t>
      </w:r>
    </w:p>
    <w:p w14:paraId="78262FFA" w14:textId="77777777" w:rsidR="00007EE0" w:rsidRPr="00BE3076" w:rsidRDefault="00007EE0" w:rsidP="00007EE0">
      <w:pPr>
        <w:numPr>
          <w:ilvl w:val="0"/>
          <w:numId w:val="5"/>
        </w:numPr>
        <w:jc w:val="both"/>
        <w:rPr>
          <w:rFonts w:ascii="Times New Roman" w:hAnsi="Times New Roman" w:cs="Times New Roman"/>
          <w:sz w:val="24"/>
          <w:szCs w:val="24"/>
          <w:lang w:val="en-NG"/>
        </w:rPr>
      </w:pPr>
      <w:r w:rsidRPr="00BE3076">
        <w:rPr>
          <w:rFonts w:ascii="Times New Roman" w:hAnsi="Times New Roman" w:cs="Times New Roman"/>
          <w:sz w:val="24"/>
          <w:szCs w:val="24"/>
          <w:lang w:val="en-NG"/>
        </w:rPr>
        <w:t>To bridge the technology gap, institutions should invest in reliable internet access, modern research software, and user-friendly repository systems to make scholarly tools easily accessible and functional for academics.</w:t>
      </w:r>
    </w:p>
    <w:p w14:paraId="6C0B7A96" w14:textId="77777777" w:rsidR="00007EE0" w:rsidRPr="00BE3076" w:rsidRDefault="00007EE0" w:rsidP="00007EE0">
      <w:pPr>
        <w:numPr>
          <w:ilvl w:val="0"/>
          <w:numId w:val="5"/>
        </w:numPr>
        <w:jc w:val="both"/>
        <w:rPr>
          <w:rFonts w:ascii="Times New Roman" w:hAnsi="Times New Roman" w:cs="Times New Roman"/>
          <w:sz w:val="24"/>
          <w:szCs w:val="24"/>
          <w:lang w:val="en-NG"/>
        </w:rPr>
      </w:pPr>
      <w:r w:rsidRPr="00BE3076">
        <w:rPr>
          <w:rFonts w:ascii="Times New Roman" w:hAnsi="Times New Roman" w:cs="Times New Roman"/>
          <w:sz w:val="24"/>
          <w:szCs w:val="24"/>
          <w:lang w:val="en-NG"/>
        </w:rPr>
        <w:t>Informal learning channels such as peer mentoring, collaborative research groups and departmental seminars should also be leveraged to disseminate knowledge and encourage the adoption of scholarly tools among academics.</w:t>
      </w:r>
    </w:p>
    <w:p w14:paraId="0F6AB492" w14:textId="77777777" w:rsidR="00007EE0" w:rsidRPr="00BE3076" w:rsidRDefault="00007EE0" w:rsidP="00007EE0">
      <w:pPr>
        <w:numPr>
          <w:ilvl w:val="0"/>
          <w:numId w:val="5"/>
        </w:numPr>
        <w:jc w:val="both"/>
        <w:rPr>
          <w:rFonts w:ascii="Times New Roman" w:hAnsi="Times New Roman" w:cs="Times New Roman"/>
          <w:sz w:val="24"/>
          <w:szCs w:val="24"/>
          <w:lang w:val="en-NG"/>
        </w:rPr>
      </w:pPr>
      <w:r w:rsidRPr="00BE3076">
        <w:rPr>
          <w:rFonts w:ascii="Times New Roman" w:hAnsi="Times New Roman" w:cs="Times New Roman"/>
          <w:sz w:val="24"/>
          <w:szCs w:val="24"/>
          <w:lang w:val="en-NG"/>
        </w:rPr>
        <w:t>Federal universities in norther Nigeria should facilitate partnerships between LIS academics in Northern Nigeria and those in other regions or countries to encourage knowledge exchange and the use of advanced scholarly tools for collaborative research projects.</w:t>
      </w:r>
    </w:p>
    <w:p w14:paraId="0B9E040F" w14:textId="77777777" w:rsidR="00007EE0" w:rsidRPr="00BE3076" w:rsidRDefault="00007EE0" w:rsidP="00007EE0">
      <w:pPr>
        <w:numPr>
          <w:ilvl w:val="0"/>
          <w:numId w:val="5"/>
        </w:numPr>
        <w:jc w:val="both"/>
        <w:rPr>
          <w:rFonts w:ascii="Times New Roman" w:hAnsi="Times New Roman" w:cs="Times New Roman"/>
          <w:sz w:val="24"/>
          <w:szCs w:val="24"/>
          <w:lang w:val="en-NG"/>
        </w:rPr>
      </w:pPr>
      <w:r w:rsidRPr="00BE3076">
        <w:rPr>
          <w:rFonts w:ascii="Times New Roman" w:hAnsi="Times New Roman" w:cs="Times New Roman"/>
          <w:sz w:val="24"/>
          <w:szCs w:val="24"/>
          <w:lang w:val="en-NG"/>
        </w:rPr>
        <w:t>Federal universities in northern Nigeria should periodically evaluate the levels of awareness, utilization, and impact of scholarly infrastructure among their staff, using performance indicators such as research output visibility, citation counts, and global collaborations.</w:t>
      </w:r>
    </w:p>
    <w:p w14:paraId="19C0162A" w14:textId="3766534A" w:rsidR="008D4F73" w:rsidRDefault="008D4F73" w:rsidP="00007EE0">
      <w:pPr>
        <w:spacing w:after="0"/>
        <w:jc w:val="both"/>
        <w:rPr>
          <w:rFonts w:ascii="Times New Roman" w:hAnsi="Times New Roman" w:cs="Times New Roman"/>
          <w:sz w:val="24"/>
          <w:szCs w:val="24"/>
          <w:lang w:val="en-NG"/>
        </w:rPr>
      </w:pPr>
    </w:p>
    <w:p w14:paraId="0424B24E" w14:textId="77777777" w:rsidR="00602402" w:rsidRPr="008D4F73" w:rsidRDefault="00602402" w:rsidP="00007EE0">
      <w:pPr>
        <w:spacing w:after="0"/>
        <w:jc w:val="both"/>
        <w:rPr>
          <w:rFonts w:ascii="Times New Roman" w:hAnsi="Times New Roman" w:cs="Times New Roman"/>
          <w:sz w:val="24"/>
          <w:szCs w:val="24"/>
          <w:lang w:val="en-NG"/>
        </w:rPr>
      </w:pPr>
    </w:p>
    <w:p w14:paraId="768E2850" w14:textId="77777777" w:rsidR="008D4F73" w:rsidRDefault="008D4F73" w:rsidP="00706757">
      <w:pPr>
        <w:spacing w:after="0"/>
        <w:jc w:val="both"/>
        <w:rPr>
          <w:rFonts w:ascii="Times New Roman" w:hAnsi="Times New Roman" w:cs="Times New Roman"/>
          <w:sz w:val="24"/>
          <w:szCs w:val="24"/>
        </w:rPr>
      </w:pPr>
    </w:p>
    <w:p w14:paraId="2E9D3E1C" w14:textId="28483E63" w:rsidR="00C66F8A" w:rsidRPr="00007EE0" w:rsidRDefault="008D4F73" w:rsidP="00706757">
      <w:pPr>
        <w:spacing w:after="0"/>
        <w:jc w:val="both"/>
        <w:rPr>
          <w:rFonts w:ascii="Times New Roman" w:hAnsi="Times New Roman" w:cs="Times New Roman"/>
          <w:b/>
          <w:bCs/>
          <w:sz w:val="24"/>
          <w:szCs w:val="24"/>
        </w:rPr>
      </w:pPr>
      <w:r w:rsidRPr="00007EE0">
        <w:rPr>
          <w:rFonts w:ascii="Times New Roman" w:hAnsi="Times New Roman" w:cs="Times New Roman"/>
          <w:b/>
          <w:bCs/>
          <w:sz w:val="24"/>
          <w:szCs w:val="24"/>
        </w:rPr>
        <w:t xml:space="preserve">Conclusion </w:t>
      </w:r>
    </w:p>
    <w:p w14:paraId="7AFF7B86" w14:textId="77777777" w:rsidR="00007EE0" w:rsidRPr="00BE3076" w:rsidRDefault="00007EE0" w:rsidP="00602402">
      <w:pPr>
        <w:ind w:firstLine="720"/>
        <w:jc w:val="both"/>
        <w:rPr>
          <w:rFonts w:ascii="Times New Roman" w:hAnsi="Times New Roman" w:cs="Times New Roman"/>
          <w:sz w:val="24"/>
          <w:szCs w:val="24"/>
          <w:lang w:val="en-NG"/>
        </w:rPr>
      </w:pPr>
      <w:r w:rsidRPr="00BE3076">
        <w:rPr>
          <w:rFonts w:ascii="Times New Roman" w:hAnsi="Times New Roman" w:cs="Times New Roman"/>
          <w:sz w:val="24"/>
          <w:szCs w:val="24"/>
          <w:lang w:val="en-NG"/>
        </w:rPr>
        <w:t>This study examined the influence of scholarly infrastructure on the research visibility of Library and Information Science (LIS) academics in federal universities in northern Nigeria, with particular attention to their levels of awareness, extent of utilization and the resulting implications for web visibility. The findings revealed that while awareness levels of certain infrastructures such as Open Educational Resources (OER) and Institutional Repositories (IRs) were relatively high, this awareness did not always translate into consistent and effective utilization across the board. Infrastructures such as bibliometric tools, citation management software and research networking platforms recorded lower engagement, reflecting a persistent gap between knowledge of these tools and their practical application. Despite the potential of these tools to enhance research visibility, collaboration, and global scholarly impact, systemic barriers such as inadequate institutional training programs, low digital literacy in certain areas, and infrastructural challenges continue to limit optimal adoption.</w:t>
      </w:r>
    </w:p>
    <w:p w14:paraId="0E530A7D" w14:textId="7A40667A" w:rsidR="00353BDE" w:rsidRDefault="00007EE0" w:rsidP="00602402">
      <w:pPr>
        <w:ind w:firstLine="720"/>
        <w:jc w:val="both"/>
        <w:rPr>
          <w:rFonts w:ascii="Times New Roman" w:hAnsi="Times New Roman" w:cs="Times New Roman"/>
          <w:sz w:val="24"/>
          <w:szCs w:val="24"/>
          <w:lang w:val="en-NG"/>
        </w:rPr>
      </w:pPr>
      <w:r w:rsidRPr="00BE3076">
        <w:rPr>
          <w:rFonts w:ascii="Times New Roman" w:hAnsi="Times New Roman" w:cs="Times New Roman"/>
          <w:sz w:val="24"/>
          <w:szCs w:val="24"/>
          <w:lang w:val="en-NG"/>
        </w:rPr>
        <w:t>Finally, the findings highlight the need for strategic institutional interventions, including regular capacity-building programs, mandatory integration of scholarly tools in research workflows and policy frameworks that encourage active participation in scholarly communication platforms. By bridging the gap between awareness and utilization, LIS academics in federal universities in northern Nigeria can significantly improve their global research visibility and contribute more robustly to the advancement of knowledge in their discipline.</w:t>
      </w:r>
    </w:p>
    <w:p w14:paraId="37DCB745" w14:textId="77777777" w:rsidR="00602402" w:rsidRPr="004E2468" w:rsidRDefault="00602402" w:rsidP="00602402">
      <w:pPr>
        <w:ind w:firstLine="720"/>
        <w:jc w:val="both"/>
        <w:rPr>
          <w:rFonts w:ascii="Times New Roman" w:hAnsi="Times New Roman" w:cs="Times New Roman"/>
          <w:sz w:val="24"/>
          <w:szCs w:val="24"/>
          <w:lang w:val="en-NG"/>
        </w:rPr>
      </w:pPr>
    </w:p>
    <w:p w14:paraId="113334A6" w14:textId="77777777" w:rsidR="00C90D99" w:rsidRPr="003377AC" w:rsidRDefault="00C90D99" w:rsidP="00C90D99">
      <w:pPr>
        <w:spacing w:line="240" w:lineRule="auto"/>
        <w:jc w:val="both"/>
        <w:rPr>
          <w:rFonts w:ascii="Times New Roman" w:hAnsi="Times New Roman" w:cs="Times New Roman"/>
          <w:lang w:val="en-NG"/>
        </w:rPr>
      </w:pPr>
      <w:r w:rsidRPr="003377AC">
        <w:rPr>
          <w:rFonts w:ascii="Times New Roman" w:hAnsi="Times New Roman" w:cs="Times New Roman"/>
          <w:b/>
          <w:bCs/>
          <w:lang w:val="en-NG"/>
        </w:rPr>
        <w:t>References</w:t>
      </w:r>
    </w:p>
    <w:p w14:paraId="74778C28" w14:textId="77777777" w:rsidR="00C90D99" w:rsidRPr="003377AC"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Adamu, B. (2022). </w:t>
      </w:r>
      <w:r w:rsidRPr="003377AC">
        <w:rPr>
          <w:rFonts w:ascii="Times New Roman" w:hAnsi="Times New Roman" w:cs="Times New Roman"/>
          <w:i/>
          <w:iCs/>
          <w:lang w:val="en-NG"/>
        </w:rPr>
        <w:t>Information literacy skills, ICT skills and psychological capital as determinants of research productivity of librarians in public university libraries in north-east, Nigeria</w:t>
      </w:r>
      <w:r w:rsidRPr="003377AC">
        <w:rPr>
          <w:rFonts w:ascii="Times New Roman" w:hAnsi="Times New Roman" w:cs="Times New Roman"/>
          <w:lang w:val="en-NG"/>
        </w:rPr>
        <w:t xml:space="preserve"> (Doctoral thesis). Department of Information Resources Management, Babcock University, Ilisan–Remo, Ogun State.</w:t>
      </w:r>
    </w:p>
    <w:p w14:paraId="2948E227" w14:textId="77777777" w:rsidR="00C90D99" w:rsidRPr="003377AC"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Aduba, D. E. (2024). Awareness and use of online platforms for research visibility: A survey of academic librarians in universities in the south-east and south-south, Nigeria. </w:t>
      </w:r>
      <w:r w:rsidRPr="003377AC">
        <w:rPr>
          <w:rFonts w:ascii="Times New Roman" w:hAnsi="Times New Roman" w:cs="Times New Roman"/>
          <w:i/>
          <w:iCs/>
          <w:lang w:val="en-NG"/>
        </w:rPr>
        <w:t>Informology, 3</w:t>
      </w:r>
      <w:r w:rsidRPr="003377AC">
        <w:rPr>
          <w:rFonts w:ascii="Times New Roman" w:hAnsi="Times New Roman" w:cs="Times New Roman"/>
          <w:lang w:val="en-NG"/>
        </w:rPr>
        <w:t>(1), 91–110.</w:t>
      </w:r>
    </w:p>
    <w:p w14:paraId="6C18C350" w14:textId="77777777" w:rsidR="00C90D99" w:rsidRPr="003377AC"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Agu, E. C., &amp; Nkebem, E. E. (2022). Awareness and use of open access resources by academic staff in selected Nigerian universities. </w:t>
      </w:r>
      <w:r w:rsidRPr="003377AC">
        <w:rPr>
          <w:rFonts w:ascii="Times New Roman" w:hAnsi="Times New Roman" w:cs="Times New Roman"/>
          <w:i/>
          <w:iCs/>
          <w:lang w:val="en-NG"/>
        </w:rPr>
        <w:t>Library Philosophy and Practice,</w:t>
      </w:r>
      <w:r w:rsidRPr="003377AC">
        <w:rPr>
          <w:rFonts w:ascii="Times New Roman" w:hAnsi="Times New Roman" w:cs="Times New Roman"/>
          <w:lang w:val="en-NG"/>
        </w:rPr>
        <w:t xml:space="preserve"> 6781.</w:t>
      </w:r>
    </w:p>
    <w:p w14:paraId="0D09C967" w14:textId="77777777" w:rsidR="00C90D99"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Aguaded, J. I. (2021). Institutional policies for open access publishing: Moving toward sustainable dissemination. </w:t>
      </w:r>
      <w:r w:rsidRPr="003377AC">
        <w:rPr>
          <w:rFonts w:ascii="Times New Roman" w:hAnsi="Times New Roman" w:cs="Times New Roman"/>
          <w:i/>
          <w:iCs/>
          <w:lang w:val="en-NG"/>
        </w:rPr>
        <w:t>Open Information Science, 5</w:t>
      </w:r>
      <w:r w:rsidRPr="003377AC">
        <w:rPr>
          <w:rFonts w:ascii="Times New Roman" w:hAnsi="Times New Roman" w:cs="Times New Roman"/>
          <w:lang w:val="en-NG"/>
        </w:rPr>
        <w:t>(1), 12–21.</w:t>
      </w:r>
    </w:p>
    <w:p w14:paraId="348EAF6A" w14:textId="3A24B343" w:rsidR="00724A95" w:rsidRPr="003377AC" w:rsidRDefault="00724A95" w:rsidP="00C90D99">
      <w:pPr>
        <w:spacing w:line="240" w:lineRule="auto"/>
        <w:ind w:left="284" w:hanging="284"/>
        <w:jc w:val="both"/>
        <w:rPr>
          <w:rFonts w:ascii="Times New Roman" w:hAnsi="Times New Roman" w:cs="Times New Roman"/>
          <w:lang w:val="en-NG"/>
        </w:rPr>
      </w:pPr>
      <w:r w:rsidRPr="00724A95">
        <w:rPr>
          <w:rFonts w:ascii="Times New Roman" w:hAnsi="Times New Roman" w:cs="Times New Roman"/>
          <w:lang w:val="en-NG"/>
        </w:rPr>
        <w:t xml:space="preserve">Davis, P. M., &amp; Connolly, M. J. (2007). Institutional repositories: Evaluating the reasons for non-use of Cornell University's installation of DSpace. D-Lib Magazine, 13(3/4). </w:t>
      </w:r>
      <w:hyperlink r:id="rId9" w:history="1">
        <w:r w:rsidRPr="006F3D97">
          <w:rPr>
            <w:rStyle w:val="Hyperlink"/>
            <w:rFonts w:ascii="Times New Roman" w:hAnsi="Times New Roman" w:cs="Times New Roman"/>
            <w:lang w:val="en-NG"/>
          </w:rPr>
          <w:t>http://doi.org/10.1045/march2007-davis</w:t>
        </w:r>
      </w:hyperlink>
      <w:r>
        <w:rPr>
          <w:rFonts w:ascii="Times New Roman" w:hAnsi="Times New Roman" w:cs="Times New Roman"/>
          <w:lang w:val="en-NG"/>
        </w:rPr>
        <w:t xml:space="preserve"> </w:t>
      </w:r>
    </w:p>
    <w:p w14:paraId="4B803947" w14:textId="77777777" w:rsidR="00C90D99" w:rsidRPr="003377AC"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Edem, N. B. (2015). Utilization of electronic information resources by LIS professionals in Nigerian universities. </w:t>
      </w:r>
      <w:r w:rsidRPr="003377AC">
        <w:rPr>
          <w:rFonts w:ascii="Times New Roman" w:hAnsi="Times New Roman" w:cs="Times New Roman"/>
          <w:i/>
          <w:iCs/>
          <w:lang w:val="en-NG"/>
        </w:rPr>
        <w:t>Library Philosophy and Practice (e-journal),</w:t>
      </w:r>
      <w:r w:rsidRPr="003377AC">
        <w:rPr>
          <w:rFonts w:ascii="Times New Roman" w:hAnsi="Times New Roman" w:cs="Times New Roman"/>
          <w:lang w:val="en-NG"/>
        </w:rPr>
        <w:t xml:space="preserve"> 1201.</w:t>
      </w:r>
    </w:p>
    <w:p w14:paraId="11222FDD" w14:textId="77777777" w:rsidR="00C90D99" w:rsidRPr="003377AC"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Ezema, I. J. (2013). Local contents and the development of open access institutional repositories in Nigeria university libraries: Challenges, strategies, and scholarly implications. </w:t>
      </w:r>
      <w:r w:rsidRPr="003377AC">
        <w:rPr>
          <w:rFonts w:ascii="Times New Roman" w:hAnsi="Times New Roman" w:cs="Times New Roman"/>
          <w:i/>
          <w:iCs/>
          <w:lang w:val="en-NG"/>
        </w:rPr>
        <w:t>Library Hi Tech, 31</w:t>
      </w:r>
      <w:r w:rsidRPr="003377AC">
        <w:rPr>
          <w:rFonts w:ascii="Times New Roman" w:hAnsi="Times New Roman" w:cs="Times New Roman"/>
          <w:lang w:val="en-NG"/>
        </w:rPr>
        <w:t xml:space="preserve">(2), 323–340. </w:t>
      </w:r>
      <w:hyperlink r:id="rId10" w:history="1">
        <w:r w:rsidRPr="003377AC">
          <w:rPr>
            <w:rStyle w:val="Hyperlink"/>
            <w:rFonts w:ascii="Times New Roman" w:hAnsi="Times New Roman" w:cs="Times New Roman"/>
            <w:lang w:val="en-NG"/>
          </w:rPr>
          <w:t>https://doi.org/10.1108/07378831311329086</w:t>
        </w:r>
      </w:hyperlink>
    </w:p>
    <w:p w14:paraId="52C23A67" w14:textId="77777777" w:rsidR="00DC371C" w:rsidRPr="003377AC" w:rsidRDefault="00DC371C" w:rsidP="00DC371C">
      <w:pPr>
        <w:spacing w:line="240" w:lineRule="auto"/>
        <w:ind w:left="284" w:hanging="284"/>
        <w:jc w:val="both"/>
        <w:rPr>
          <w:rFonts w:ascii="Times New Roman" w:hAnsi="Times New Roman" w:cs="Times New Roman"/>
          <w:lang w:val="en-NG"/>
        </w:rPr>
      </w:pPr>
      <w:r w:rsidRPr="00A01720">
        <w:rPr>
          <w:rFonts w:ascii="Times New Roman" w:hAnsi="Times New Roman" w:cs="Times New Roman"/>
          <w:lang w:val="en-NG"/>
        </w:rPr>
        <w:lastRenderedPageBreak/>
        <w:t>Gireesh, T. K. (2020). Role of Libraries in Enhancing the Research Visibility and Collaboration of Academics. LISACON 2020, p181-194</w:t>
      </w:r>
    </w:p>
    <w:p w14:paraId="6792E74E" w14:textId="77777777" w:rsidR="00C90D99" w:rsidRPr="003377AC"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Kamba, M. A., &amp; Gwarzo, S. M. (2024). Scholarly contributions and web visibility of library and information science educators in Nigeria. </w:t>
      </w:r>
      <w:r w:rsidRPr="003377AC">
        <w:rPr>
          <w:rFonts w:ascii="Times New Roman" w:hAnsi="Times New Roman" w:cs="Times New Roman"/>
          <w:i/>
          <w:iCs/>
          <w:lang w:val="en-NG"/>
        </w:rPr>
        <w:t>Library Philosophy and Practice (e-journal),</w:t>
      </w:r>
      <w:r w:rsidRPr="003377AC">
        <w:rPr>
          <w:rFonts w:ascii="Times New Roman" w:hAnsi="Times New Roman" w:cs="Times New Roman"/>
          <w:lang w:val="en-NG"/>
        </w:rPr>
        <w:t xml:space="preserve"> 8134. </w:t>
      </w:r>
      <w:hyperlink r:id="rId11" w:history="1">
        <w:r w:rsidRPr="003377AC">
          <w:rPr>
            <w:rStyle w:val="Hyperlink"/>
            <w:rFonts w:ascii="Times New Roman" w:hAnsi="Times New Roman" w:cs="Times New Roman"/>
            <w:lang w:val="en-NG"/>
          </w:rPr>
          <w:t>https://digitalcommons.unl.edu/libphilprac/8134</w:t>
        </w:r>
      </w:hyperlink>
    </w:p>
    <w:p w14:paraId="09C09A1E" w14:textId="77777777" w:rsidR="00C90D99" w:rsidRPr="003377AC"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Ladipo, S. O., Alegbeleye, G. O., Soyemi, O. D., &amp; Ikonne, C. N. (2022). Research productivity of lecturers in federal universities in Nigeria: The place of institutional factors. </w:t>
      </w:r>
      <w:r w:rsidRPr="003377AC">
        <w:rPr>
          <w:rFonts w:ascii="Times New Roman" w:hAnsi="Times New Roman" w:cs="Times New Roman"/>
          <w:i/>
          <w:iCs/>
          <w:lang w:val="en-NG"/>
        </w:rPr>
        <w:t>International Journal of Research in Library Science, 8</w:t>
      </w:r>
      <w:r w:rsidRPr="003377AC">
        <w:rPr>
          <w:rFonts w:ascii="Times New Roman" w:hAnsi="Times New Roman" w:cs="Times New Roman"/>
          <w:lang w:val="en-NG"/>
        </w:rPr>
        <w:t>(2), 134–150.</w:t>
      </w:r>
    </w:p>
    <w:p w14:paraId="3CE53143" w14:textId="77777777" w:rsidR="00C90D99" w:rsidRPr="003377AC"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Majhi, S., Sahu, L., &amp; Bereha, K. (2023). Practices for enhancing research visibility, citations and impact: Review of literature. </w:t>
      </w:r>
      <w:r w:rsidRPr="003377AC">
        <w:rPr>
          <w:rFonts w:ascii="Times New Roman" w:hAnsi="Times New Roman" w:cs="Times New Roman"/>
          <w:i/>
          <w:iCs/>
          <w:lang w:val="en-NG"/>
        </w:rPr>
        <w:t>Aslib Journal of Information Management, 75</w:t>
      </w:r>
      <w:r w:rsidRPr="003377AC">
        <w:rPr>
          <w:rFonts w:ascii="Times New Roman" w:hAnsi="Times New Roman" w:cs="Times New Roman"/>
          <w:lang w:val="en-NG"/>
        </w:rPr>
        <w:t xml:space="preserve">(6), 1280–1305. </w:t>
      </w:r>
      <w:hyperlink r:id="rId12" w:history="1">
        <w:r w:rsidRPr="003377AC">
          <w:rPr>
            <w:rStyle w:val="Hyperlink"/>
            <w:rFonts w:ascii="Times New Roman" w:hAnsi="Times New Roman" w:cs="Times New Roman"/>
            <w:lang w:val="en-NG"/>
          </w:rPr>
          <w:t>https://doi.org/10.1108/AJIM-11-2023-532</w:t>
        </w:r>
      </w:hyperlink>
    </w:p>
    <w:p w14:paraId="3F9FB24E" w14:textId="77777777" w:rsidR="00C90D99" w:rsidRPr="003377AC"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Mingle, J., Adams, M., &amp; Ayamga, M. (2020). Building digital capacities in academic libraries in West Africa. </w:t>
      </w:r>
      <w:r w:rsidRPr="003377AC">
        <w:rPr>
          <w:rFonts w:ascii="Times New Roman" w:hAnsi="Times New Roman" w:cs="Times New Roman"/>
          <w:i/>
          <w:iCs/>
          <w:lang w:val="en-NG"/>
        </w:rPr>
        <w:t>Journal of Librarianship and Information Science, 52</w:t>
      </w:r>
      <w:r w:rsidRPr="003377AC">
        <w:rPr>
          <w:rFonts w:ascii="Times New Roman" w:hAnsi="Times New Roman" w:cs="Times New Roman"/>
          <w:lang w:val="en-NG"/>
        </w:rPr>
        <w:t>(3), 741–755.</w:t>
      </w:r>
    </w:p>
    <w:p w14:paraId="6C882171" w14:textId="77777777" w:rsidR="00C90D99" w:rsidRPr="003377AC"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Okeji, C., Eze, E., &amp; Maureen, C. (2018). Awareness and use of self-archiving options among academic librarians in Nigerian universities. </w:t>
      </w:r>
      <w:r w:rsidRPr="003377AC">
        <w:rPr>
          <w:rFonts w:ascii="Times New Roman" w:hAnsi="Times New Roman" w:cs="Times New Roman"/>
          <w:i/>
          <w:iCs/>
          <w:lang w:val="en-NG"/>
        </w:rPr>
        <w:t>Global Knowledge, Memory and Communication, 68</w:t>
      </w:r>
      <w:r w:rsidRPr="003377AC">
        <w:rPr>
          <w:rFonts w:ascii="Times New Roman" w:hAnsi="Times New Roman" w:cs="Times New Roman"/>
          <w:lang w:val="en-NG"/>
        </w:rPr>
        <w:t>(4).</w:t>
      </w:r>
    </w:p>
    <w:p w14:paraId="3D77D45A" w14:textId="77777777" w:rsidR="00C90D99" w:rsidRPr="003377AC"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Onyancha, O. B. (2011). Research visibility, publication patterns and output of academic librarians in Sub-Saharan Africa. </w:t>
      </w:r>
      <w:r w:rsidRPr="003377AC">
        <w:rPr>
          <w:rFonts w:ascii="Times New Roman" w:hAnsi="Times New Roman" w:cs="Times New Roman"/>
          <w:i/>
          <w:iCs/>
          <w:lang w:val="en-NG"/>
        </w:rPr>
        <w:t>African Journal of Library, Archives &amp; Information Science, 21</w:t>
      </w:r>
      <w:r w:rsidRPr="003377AC">
        <w:rPr>
          <w:rFonts w:ascii="Times New Roman" w:hAnsi="Times New Roman" w:cs="Times New Roman"/>
          <w:lang w:val="en-NG"/>
        </w:rPr>
        <w:t>(2), 143–157.</w:t>
      </w:r>
    </w:p>
    <w:p w14:paraId="391A548A" w14:textId="77777777" w:rsidR="00C90D99" w:rsidRPr="003377AC"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Ortega, J. (2017). Disciplinary differences in the use of academic social networking sites. </w:t>
      </w:r>
      <w:r w:rsidRPr="003377AC">
        <w:rPr>
          <w:rFonts w:ascii="Times New Roman" w:hAnsi="Times New Roman" w:cs="Times New Roman"/>
          <w:i/>
          <w:iCs/>
          <w:lang w:val="en-NG"/>
        </w:rPr>
        <w:t>Online Information Review, 39</w:t>
      </w:r>
      <w:r w:rsidRPr="003377AC">
        <w:rPr>
          <w:rFonts w:ascii="Times New Roman" w:hAnsi="Times New Roman" w:cs="Times New Roman"/>
          <w:lang w:val="en-NG"/>
        </w:rPr>
        <w:t>, 520–536.</w:t>
      </w:r>
    </w:p>
    <w:p w14:paraId="422A15CA" w14:textId="77777777" w:rsidR="00C90D99" w:rsidRPr="003377AC"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Owolabi, K., Adeleke, O., Ajayi, T., &amp; Adesina, O. (2020). Awareness and knowledge of predatory journals among academic librarians in Nigerian universities. </w:t>
      </w:r>
      <w:r w:rsidRPr="003377AC">
        <w:rPr>
          <w:rFonts w:ascii="Times New Roman" w:hAnsi="Times New Roman" w:cs="Times New Roman"/>
          <w:i/>
          <w:iCs/>
          <w:lang w:val="en-NG"/>
        </w:rPr>
        <w:t>The Serials Librarian.</w:t>
      </w:r>
      <w:r w:rsidRPr="003377AC">
        <w:rPr>
          <w:rFonts w:ascii="Times New Roman" w:hAnsi="Times New Roman" w:cs="Times New Roman"/>
          <w:lang w:val="en-NG"/>
        </w:rPr>
        <w:t xml:space="preserve"> </w:t>
      </w:r>
      <w:hyperlink r:id="rId13" w:history="1">
        <w:r w:rsidRPr="003377AC">
          <w:rPr>
            <w:rStyle w:val="Hyperlink"/>
            <w:rFonts w:ascii="Times New Roman" w:hAnsi="Times New Roman" w:cs="Times New Roman"/>
            <w:lang w:val="en-NG"/>
          </w:rPr>
          <w:t>https://doi.org/10.1080/0361526X.2020.1830225</w:t>
        </w:r>
      </w:hyperlink>
    </w:p>
    <w:p w14:paraId="6392B02F" w14:textId="77777777" w:rsidR="00C90D99"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Rowlands, I., &amp; Nicholas, D. (2005). Scholarly communication in the digital environment: The 2005 survey of journal author behaviour and attitudes. </w:t>
      </w:r>
      <w:r w:rsidRPr="003377AC">
        <w:rPr>
          <w:rFonts w:ascii="Times New Roman" w:hAnsi="Times New Roman" w:cs="Times New Roman"/>
          <w:i/>
          <w:iCs/>
          <w:lang w:val="en-NG"/>
        </w:rPr>
        <w:t>Aslib Proceedings, 57</w:t>
      </w:r>
      <w:r w:rsidRPr="003377AC">
        <w:rPr>
          <w:rFonts w:ascii="Times New Roman" w:hAnsi="Times New Roman" w:cs="Times New Roman"/>
          <w:lang w:val="en-NG"/>
        </w:rPr>
        <w:t>(6), 481–497.</w:t>
      </w:r>
    </w:p>
    <w:p w14:paraId="7E0FB4C3" w14:textId="71F042DF" w:rsidR="00A01720" w:rsidRPr="003377AC" w:rsidRDefault="00A01720" w:rsidP="00C90D99">
      <w:pPr>
        <w:spacing w:line="240" w:lineRule="auto"/>
        <w:ind w:left="284" w:hanging="284"/>
        <w:jc w:val="both"/>
        <w:rPr>
          <w:rFonts w:ascii="Times New Roman" w:hAnsi="Times New Roman" w:cs="Times New Roman"/>
          <w:lang w:val="en-NG"/>
        </w:rPr>
      </w:pPr>
      <w:r w:rsidRPr="00A01720">
        <w:rPr>
          <w:rFonts w:ascii="Times New Roman" w:hAnsi="Times New Roman" w:cs="Times New Roman"/>
          <w:lang w:val="en-NG"/>
        </w:rPr>
        <w:t xml:space="preserve">Sife, A. S </w:t>
      </w:r>
      <w:r>
        <w:rPr>
          <w:rFonts w:ascii="Times New Roman" w:hAnsi="Times New Roman" w:cs="Times New Roman"/>
          <w:lang w:val="en-NG"/>
        </w:rPr>
        <w:t>&amp;</w:t>
      </w:r>
      <w:r w:rsidRPr="00A01720">
        <w:rPr>
          <w:rFonts w:ascii="Times New Roman" w:hAnsi="Times New Roman" w:cs="Times New Roman"/>
          <w:lang w:val="en-NG"/>
        </w:rPr>
        <w:t xml:space="preserve"> Lwoga, E. T (2014),</w:t>
      </w:r>
      <w:r>
        <w:rPr>
          <w:rFonts w:ascii="Times New Roman" w:hAnsi="Times New Roman" w:cs="Times New Roman"/>
          <w:lang w:val="en-NG"/>
        </w:rPr>
        <w:t xml:space="preserve"> </w:t>
      </w:r>
      <w:r w:rsidRPr="00A01720">
        <w:rPr>
          <w:rFonts w:ascii="Times New Roman" w:hAnsi="Times New Roman" w:cs="Times New Roman"/>
          <w:lang w:val="en-NG"/>
        </w:rPr>
        <w:t xml:space="preserve">Publication productivity and scholarly impact of academic librarians in Tanzania, </w:t>
      </w:r>
      <w:r w:rsidRPr="00A01720">
        <w:rPr>
          <w:rFonts w:ascii="Times New Roman" w:hAnsi="Times New Roman" w:cs="Times New Roman"/>
          <w:i/>
          <w:iCs/>
          <w:lang w:val="en-NG"/>
        </w:rPr>
        <w:t>New Library World</w:t>
      </w:r>
      <w:r w:rsidRPr="00A01720">
        <w:rPr>
          <w:rFonts w:ascii="Times New Roman" w:hAnsi="Times New Roman" w:cs="Times New Roman"/>
          <w:lang w:val="en-NG"/>
        </w:rPr>
        <w:t xml:space="preserve">, </w:t>
      </w:r>
      <w:r w:rsidRPr="00A01720">
        <w:rPr>
          <w:rFonts w:ascii="Times New Roman" w:hAnsi="Times New Roman" w:cs="Times New Roman"/>
          <w:i/>
          <w:iCs/>
          <w:lang w:val="en-NG"/>
        </w:rPr>
        <w:t>115</w:t>
      </w:r>
      <w:r w:rsidRPr="00A01720">
        <w:rPr>
          <w:rFonts w:ascii="Times New Roman" w:hAnsi="Times New Roman" w:cs="Times New Roman"/>
          <w:i/>
          <w:iCs/>
          <w:lang w:val="en-NG"/>
        </w:rPr>
        <w:t>(</w:t>
      </w:r>
      <w:r w:rsidRPr="00A01720">
        <w:rPr>
          <w:rFonts w:ascii="Times New Roman" w:hAnsi="Times New Roman" w:cs="Times New Roman"/>
          <w:i/>
          <w:iCs/>
          <w:lang w:val="en-NG"/>
        </w:rPr>
        <w:t>11/12</w:t>
      </w:r>
      <w:r w:rsidRPr="00A01720">
        <w:rPr>
          <w:rFonts w:ascii="Times New Roman" w:hAnsi="Times New Roman" w:cs="Times New Roman"/>
          <w:i/>
          <w:iCs/>
          <w:lang w:val="en-NG"/>
        </w:rPr>
        <w:t>)</w:t>
      </w:r>
      <w:r w:rsidRPr="00A01720">
        <w:rPr>
          <w:rFonts w:ascii="Times New Roman" w:hAnsi="Times New Roman" w:cs="Times New Roman"/>
          <w:lang w:val="en-NG"/>
        </w:rPr>
        <w:t xml:space="preserve"> 527- 541</w:t>
      </w:r>
    </w:p>
    <w:p w14:paraId="0D7DF80F" w14:textId="77777777" w:rsidR="00C90D99" w:rsidRPr="003377AC"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Simisaye, A. O., &amp; Popoola, S. O. (2022). Determinants of research productivity of academic staff in Nigerian research institutes. </w:t>
      </w:r>
      <w:r w:rsidRPr="003377AC">
        <w:rPr>
          <w:rFonts w:ascii="Times New Roman" w:hAnsi="Times New Roman" w:cs="Times New Roman"/>
          <w:i/>
          <w:iCs/>
          <w:lang w:val="en-NG"/>
        </w:rPr>
        <w:t>Regional Journal of Information and Knowledge Management, 7</w:t>
      </w:r>
      <w:r w:rsidRPr="003377AC">
        <w:rPr>
          <w:rFonts w:ascii="Times New Roman" w:hAnsi="Times New Roman" w:cs="Times New Roman"/>
          <w:lang w:val="en-NG"/>
        </w:rPr>
        <w:t>(1), 70–91.</w:t>
      </w:r>
    </w:p>
    <w:p w14:paraId="34A20A07" w14:textId="77777777" w:rsidR="00C90D99" w:rsidRPr="003377AC"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Suleiman, I., &amp; Joshua, D. (2019). Awareness and utilization of the internet resources and services for academic activities by the academics of tertiary institutions in Adamawa State, Nigeria. </w:t>
      </w:r>
      <w:r w:rsidRPr="003377AC">
        <w:rPr>
          <w:rFonts w:ascii="Times New Roman" w:hAnsi="Times New Roman" w:cs="Times New Roman"/>
          <w:i/>
          <w:iCs/>
          <w:lang w:val="en-NG"/>
        </w:rPr>
        <w:t>International Journal of Knowledge Content Development &amp; Technology, 9</w:t>
      </w:r>
      <w:r w:rsidRPr="003377AC">
        <w:rPr>
          <w:rFonts w:ascii="Times New Roman" w:hAnsi="Times New Roman" w:cs="Times New Roman"/>
          <w:lang w:val="en-NG"/>
        </w:rPr>
        <w:t>(2), 7–31.</w:t>
      </w:r>
    </w:p>
    <w:p w14:paraId="47677952" w14:textId="77777777" w:rsidR="00C90D99" w:rsidRPr="003377AC"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Tenopir, C., Volentine, R., &amp; King, D. W. (2012). Article and journal reading patterns of LIS faculty: The results of a nationwide survey. </w:t>
      </w:r>
      <w:r w:rsidRPr="003377AC">
        <w:rPr>
          <w:rFonts w:ascii="Times New Roman" w:hAnsi="Times New Roman" w:cs="Times New Roman"/>
          <w:i/>
          <w:iCs/>
          <w:lang w:val="en-NG"/>
        </w:rPr>
        <w:t>Journal of Academic Librarianship, 38</w:t>
      </w:r>
      <w:r w:rsidRPr="003377AC">
        <w:rPr>
          <w:rFonts w:ascii="Times New Roman" w:hAnsi="Times New Roman" w:cs="Times New Roman"/>
          <w:lang w:val="en-NG"/>
        </w:rPr>
        <w:t>(5), 287–293.</w:t>
      </w:r>
    </w:p>
    <w:p w14:paraId="67A62344" w14:textId="77777777" w:rsidR="00C90D99" w:rsidRDefault="00C90D99" w:rsidP="00C90D99">
      <w:pPr>
        <w:spacing w:line="240" w:lineRule="auto"/>
        <w:ind w:left="284" w:hanging="284"/>
        <w:jc w:val="both"/>
        <w:rPr>
          <w:rFonts w:ascii="Times New Roman" w:hAnsi="Times New Roman" w:cs="Times New Roman"/>
          <w:lang w:val="en-NG"/>
        </w:rPr>
      </w:pPr>
      <w:r w:rsidRPr="003377AC">
        <w:rPr>
          <w:rFonts w:ascii="Times New Roman" w:hAnsi="Times New Roman" w:cs="Times New Roman"/>
          <w:lang w:val="en-NG"/>
        </w:rPr>
        <w:t xml:space="preserve">Thelwall, M., &amp; Kousha, K. (2015). ResearchGate: Disseminating, communicating, and measuring scholarship? </w:t>
      </w:r>
      <w:r w:rsidRPr="003377AC">
        <w:rPr>
          <w:rFonts w:ascii="Times New Roman" w:hAnsi="Times New Roman" w:cs="Times New Roman"/>
          <w:i/>
          <w:iCs/>
          <w:lang w:val="en-NG"/>
        </w:rPr>
        <w:t>Journal of the Association for Information Science and Technology, 66</w:t>
      </w:r>
      <w:r w:rsidRPr="003377AC">
        <w:rPr>
          <w:rFonts w:ascii="Times New Roman" w:hAnsi="Times New Roman" w:cs="Times New Roman"/>
          <w:lang w:val="en-NG"/>
        </w:rPr>
        <w:t>(5), 876–889.</w:t>
      </w:r>
    </w:p>
    <w:p w14:paraId="04E78CCD" w14:textId="1D3E70C8" w:rsidR="00562F7C" w:rsidRDefault="00562F7C" w:rsidP="00C90D99">
      <w:pPr>
        <w:spacing w:line="240" w:lineRule="auto"/>
        <w:ind w:left="284" w:hanging="284"/>
        <w:jc w:val="both"/>
        <w:rPr>
          <w:rFonts w:ascii="Times New Roman" w:hAnsi="Times New Roman" w:cs="Times New Roman"/>
          <w:lang w:val="en-NG"/>
        </w:rPr>
      </w:pPr>
      <w:r w:rsidRPr="00562F7C">
        <w:rPr>
          <w:rFonts w:ascii="Times New Roman" w:hAnsi="Times New Roman" w:cs="Times New Roman"/>
          <w:lang w:val="en-NG"/>
        </w:rPr>
        <w:t xml:space="preserve">Xia, J., &amp; Opperman, D. B. (2010). Current trends in institutional repositories for institutions offering master’s and baccalaureate degrees. Serials Review, 36(1), 10–18. </w:t>
      </w:r>
      <w:hyperlink r:id="rId14" w:history="1">
        <w:r w:rsidRPr="006F3D97">
          <w:rPr>
            <w:rStyle w:val="Hyperlink"/>
            <w:rFonts w:ascii="Times New Roman" w:hAnsi="Times New Roman" w:cs="Times New Roman"/>
            <w:lang w:val="en-NG"/>
          </w:rPr>
          <w:t>https://doi.org/10.1016/j.serrev.2009.10.003</w:t>
        </w:r>
      </w:hyperlink>
      <w:r>
        <w:rPr>
          <w:rFonts w:ascii="Times New Roman" w:hAnsi="Times New Roman" w:cs="Times New Roman"/>
          <w:lang w:val="en-NG"/>
        </w:rPr>
        <w:t xml:space="preserve"> </w:t>
      </w:r>
    </w:p>
    <w:p w14:paraId="715422DA" w14:textId="35750BE0" w:rsidR="00353BDE" w:rsidRPr="00BA7E6F" w:rsidRDefault="00353BDE" w:rsidP="00706757">
      <w:pPr>
        <w:spacing w:after="0"/>
        <w:jc w:val="both"/>
        <w:rPr>
          <w:rFonts w:ascii="Times New Roman" w:hAnsi="Times New Roman" w:cs="Times New Roman"/>
          <w:sz w:val="24"/>
          <w:szCs w:val="24"/>
        </w:rPr>
      </w:pPr>
    </w:p>
    <w:sectPr w:rsidR="00353BDE" w:rsidRPr="00BA7E6F" w:rsidSect="00C24D47">
      <w:footerReference w:type="default" r:id="rId1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669A6" w14:textId="77777777" w:rsidR="00962C8E" w:rsidRDefault="00962C8E" w:rsidP="00C24D47">
      <w:pPr>
        <w:spacing w:after="0" w:line="240" w:lineRule="auto"/>
      </w:pPr>
      <w:r>
        <w:separator/>
      </w:r>
    </w:p>
  </w:endnote>
  <w:endnote w:type="continuationSeparator" w:id="0">
    <w:p w14:paraId="6C533FFB" w14:textId="77777777" w:rsidR="00962C8E" w:rsidRDefault="00962C8E" w:rsidP="00C24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422147"/>
      <w:docPartObj>
        <w:docPartGallery w:val="Page Numbers (Bottom of Page)"/>
        <w:docPartUnique/>
      </w:docPartObj>
    </w:sdtPr>
    <w:sdtEndPr>
      <w:rPr>
        <w:noProof/>
      </w:rPr>
    </w:sdtEndPr>
    <w:sdtContent>
      <w:p w14:paraId="0AEB4990" w14:textId="2BDDA5D0" w:rsidR="00C24D47" w:rsidRDefault="00C24D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5DF1CA" w14:textId="77777777" w:rsidR="00C24D47" w:rsidRDefault="00C24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B4F12" w14:textId="77777777" w:rsidR="00962C8E" w:rsidRDefault="00962C8E" w:rsidP="00C24D47">
      <w:pPr>
        <w:spacing w:after="0" w:line="240" w:lineRule="auto"/>
      </w:pPr>
      <w:r>
        <w:separator/>
      </w:r>
    </w:p>
  </w:footnote>
  <w:footnote w:type="continuationSeparator" w:id="0">
    <w:p w14:paraId="613E15A2" w14:textId="77777777" w:rsidR="00962C8E" w:rsidRDefault="00962C8E" w:rsidP="00C24D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62B5D"/>
    <w:multiLevelType w:val="hybridMultilevel"/>
    <w:tmpl w:val="6DC232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70A7308"/>
    <w:multiLevelType w:val="hybridMultilevel"/>
    <w:tmpl w:val="76BCA48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2603814"/>
    <w:multiLevelType w:val="multilevel"/>
    <w:tmpl w:val="4F865B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C7B4585"/>
    <w:multiLevelType w:val="hybridMultilevel"/>
    <w:tmpl w:val="7D58200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68D74068"/>
    <w:multiLevelType w:val="multilevel"/>
    <w:tmpl w:val="26EA2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1184303">
    <w:abstractNumId w:val="0"/>
  </w:num>
  <w:num w:numId="2" w16cid:durableId="629358217">
    <w:abstractNumId w:val="3"/>
  </w:num>
  <w:num w:numId="3" w16cid:durableId="941766903">
    <w:abstractNumId w:val="1"/>
  </w:num>
  <w:num w:numId="4" w16cid:durableId="14562137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1335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70"/>
    <w:rsid w:val="00000DEE"/>
    <w:rsid w:val="0000679D"/>
    <w:rsid w:val="00007EE0"/>
    <w:rsid w:val="000225F3"/>
    <w:rsid w:val="0002688E"/>
    <w:rsid w:val="0003340E"/>
    <w:rsid w:val="000546E0"/>
    <w:rsid w:val="00090584"/>
    <w:rsid w:val="00096735"/>
    <w:rsid w:val="000B0375"/>
    <w:rsid w:val="000E08A0"/>
    <w:rsid w:val="000E558E"/>
    <w:rsid w:val="001038DD"/>
    <w:rsid w:val="00106712"/>
    <w:rsid w:val="002346DC"/>
    <w:rsid w:val="00235AFC"/>
    <w:rsid w:val="00252D72"/>
    <w:rsid w:val="002A33AD"/>
    <w:rsid w:val="002B10D5"/>
    <w:rsid w:val="002D5806"/>
    <w:rsid w:val="002F76BB"/>
    <w:rsid w:val="0031498F"/>
    <w:rsid w:val="00332564"/>
    <w:rsid w:val="00336454"/>
    <w:rsid w:val="00353BDE"/>
    <w:rsid w:val="00387261"/>
    <w:rsid w:val="003A78FB"/>
    <w:rsid w:val="003D641D"/>
    <w:rsid w:val="00405C88"/>
    <w:rsid w:val="00433189"/>
    <w:rsid w:val="004C7CB4"/>
    <w:rsid w:val="004E2468"/>
    <w:rsid w:val="004F1B8B"/>
    <w:rsid w:val="00502F00"/>
    <w:rsid w:val="0051199C"/>
    <w:rsid w:val="00562F7C"/>
    <w:rsid w:val="00571D70"/>
    <w:rsid w:val="00596CEC"/>
    <w:rsid w:val="005A64B1"/>
    <w:rsid w:val="00602402"/>
    <w:rsid w:val="006154E9"/>
    <w:rsid w:val="00620C0F"/>
    <w:rsid w:val="00654F94"/>
    <w:rsid w:val="00681081"/>
    <w:rsid w:val="006D62DB"/>
    <w:rsid w:val="00706757"/>
    <w:rsid w:val="00724A95"/>
    <w:rsid w:val="0079009D"/>
    <w:rsid w:val="00824C4D"/>
    <w:rsid w:val="008623F8"/>
    <w:rsid w:val="008D4F73"/>
    <w:rsid w:val="008F3254"/>
    <w:rsid w:val="009247BC"/>
    <w:rsid w:val="009623B5"/>
    <w:rsid w:val="00962C8E"/>
    <w:rsid w:val="009B19CD"/>
    <w:rsid w:val="009D4159"/>
    <w:rsid w:val="009E5095"/>
    <w:rsid w:val="009F5569"/>
    <w:rsid w:val="00A00C9A"/>
    <w:rsid w:val="00A01720"/>
    <w:rsid w:val="00A1687C"/>
    <w:rsid w:val="00A76772"/>
    <w:rsid w:val="00A77292"/>
    <w:rsid w:val="00A81EA9"/>
    <w:rsid w:val="00AC0C28"/>
    <w:rsid w:val="00AE2D87"/>
    <w:rsid w:val="00AF2CFD"/>
    <w:rsid w:val="00B51970"/>
    <w:rsid w:val="00B60428"/>
    <w:rsid w:val="00B623EE"/>
    <w:rsid w:val="00B664F8"/>
    <w:rsid w:val="00BA7E6F"/>
    <w:rsid w:val="00BB5F41"/>
    <w:rsid w:val="00BD3A7D"/>
    <w:rsid w:val="00C24D47"/>
    <w:rsid w:val="00C37E59"/>
    <w:rsid w:val="00C66F8A"/>
    <w:rsid w:val="00C90D99"/>
    <w:rsid w:val="00C92FBA"/>
    <w:rsid w:val="00CE11FA"/>
    <w:rsid w:val="00CE2737"/>
    <w:rsid w:val="00CE3BAD"/>
    <w:rsid w:val="00D8680C"/>
    <w:rsid w:val="00DC371C"/>
    <w:rsid w:val="00DF1294"/>
    <w:rsid w:val="00DF4208"/>
    <w:rsid w:val="00E37FDE"/>
    <w:rsid w:val="00E5256B"/>
    <w:rsid w:val="00ED692C"/>
    <w:rsid w:val="00F063F1"/>
    <w:rsid w:val="00FD6851"/>
    <w:rsid w:val="00FE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0E509"/>
  <w15:chartTrackingRefBased/>
  <w15:docId w15:val="{A6708607-C1C7-4A06-84FC-E89F83FCE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970"/>
  </w:style>
  <w:style w:type="paragraph" w:styleId="Heading1">
    <w:name w:val="heading 1"/>
    <w:basedOn w:val="Normal"/>
    <w:next w:val="Normal"/>
    <w:link w:val="Heading1Char"/>
    <w:uiPriority w:val="9"/>
    <w:qFormat/>
    <w:rsid w:val="00B519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19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19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19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19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19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9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9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9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9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19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19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19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19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19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9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9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970"/>
    <w:rPr>
      <w:rFonts w:eastAsiaTheme="majorEastAsia" w:cstheme="majorBidi"/>
      <w:color w:val="272727" w:themeColor="text1" w:themeTint="D8"/>
    </w:rPr>
  </w:style>
  <w:style w:type="paragraph" w:styleId="Title">
    <w:name w:val="Title"/>
    <w:basedOn w:val="Normal"/>
    <w:next w:val="Normal"/>
    <w:link w:val="TitleChar"/>
    <w:uiPriority w:val="10"/>
    <w:qFormat/>
    <w:rsid w:val="00B519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9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9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9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970"/>
    <w:pPr>
      <w:spacing w:before="160"/>
      <w:jc w:val="center"/>
    </w:pPr>
    <w:rPr>
      <w:i/>
      <w:iCs/>
      <w:color w:val="404040" w:themeColor="text1" w:themeTint="BF"/>
    </w:rPr>
  </w:style>
  <w:style w:type="character" w:customStyle="1" w:styleId="QuoteChar">
    <w:name w:val="Quote Char"/>
    <w:basedOn w:val="DefaultParagraphFont"/>
    <w:link w:val="Quote"/>
    <w:uiPriority w:val="29"/>
    <w:rsid w:val="00B51970"/>
    <w:rPr>
      <w:i/>
      <w:iCs/>
      <w:color w:val="404040" w:themeColor="text1" w:themeTint="BF"/>
    </w:rPr>
  </w:style>
  <w:style w:type="paragraph" w:styleId="ListParagraph">
    <w:name w:val="List Paragraph"/>
    <w:basedOn w:val="Normal"/>
    <w:uiPriority w:val="34"/>
    <w:qFormat/>
    <w:rsid w:val="00B51970"/>
    <w:pPr>
      <w:ind w:left="720"/>
      <w:contextualSpacing/>
    </w:pPr>
  </w:style>
  <w:style w:type="character" w:styleId="IntenseEmphasis">
    <w:name w:val="Intense Emphasis"/>
    <w:basedOn w:val="DefaultParagraphFont"/>
    <w:uiPriority w:val="21"/>
    <w:qFormat/>
    <w:rsid w:val="00B51970"/>
    <w:rPr>
      <w:i/>
      <w:iCs/>
      <w:color w:val="2F5496" w:themeColor="accent1" w:themeShade="BF"/>
    </w:rPr>
  </w:style>
  <w:style w:type="paragraph" w:styleId="IntenseQuote">
    <w:name w:val="Intense Quote"/>
    <w:basedOn w:val="Normal"/>
    <w:next w:val="Normal"/>
    <w:link w:val="IntenseQuoteChar"/>
    <w:uiPriority w:val="30"/>
    <w:qFormat/>
    <w:rsid w:val="00B519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1970"/>
    <w:rPr>
      <w:i/>
      <w:iCs/>
      <w:color w:val="2F5496" w:themeColor="accent1" w:themeShade="BF"/>
    </w:rPr>
  </w:style>
  <w:style w:type="character" w:styleId="IntenseReference">
    <w:name w:val="Intense Reference"/>
    <w:basedOn w:val="DefaultParagraphFont"/>
    <w:uiPriority w:val="32"/>
    <w:qFormat/>
    <w:rsid w:val="00B51970"/>
    <w:rPr>
      <w:b/>
      <w:bCs/>
      <w:smallCaps/>
      <w:color w:val="2F5496" w:themeColor="accent1" w:themeShade="BF"/>
      <w:spacing w:val="5"/>
    </w:rPr>
  </w:style>
  <w:style w:type="table" w:styleId="TableGrid">
    <w:name w:val="Table Grid"/>
    <w:basedOn w:val="TableNormal"/>
    <w:uiPriority w:val="39"/>
    <w:rsid w:val="00252D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4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D47"/>
  </w:style>
  <w:style w:type="paragraph" w:styleId="Footer">
    <w:name w:val="footer"/>
    <w:basedOn w:val="Normal"/>
    <w:link w:val="FooterChar"/>
    <w:uiPriority w:val="99"/>
    <w:unhideWhenUsed/>
    <w:rsid w:val="00C24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D47"/>
  </w:style>
  <w:style w:type="character" w:styleId="Hyperlink">
    <w:name w:val="Hyperlink"/>
    <w:basedOn w:val="DefaultParagraphFont"/>
    <w:uiPriority w:val="99"/>
    <w:unhideWhenUsed/>
    <w:rsid w:val="00353BDE"/>
    <w:rPr>
      <w:color w:val="0563C1" w:themeColor="hyperlink"/>
      <w:u w:val="single"/>
    </w:rPr>
  </w:style>
  <w:style w:type="character" w:styleId="UnresolvedMention">
    <w:name w:val="Unresolved Mention"/>
    <w:basedOn w:val="DefaultParagraphFont"/>
    <w:uiPriority w:val="99"/>
    <w:semiHidden/>
    <w:unhideWhenUsed/>
    <w:rsid w:val="00724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80/0361526X.2020.18302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08/AJIM-11-2023-53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commons.unl.edu/libphilprac/813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1108/07378831311329086" TargetMode="External"/><Relationship Id="rId4" Type="http://schemas.openxmlformats.org/officeDocument/2006/relationships/settings" Target="settings.xml"/><Relationship Id="rId9" Type="http://schemas.openxmlformats.org/officeDocument/2006/relationships/hyperlink" Target="http://doi.org/10.1045/march2007-davis" TargetMode="External"/><Relationship Id="rId14" Type="http://schemas.openxmlformats.org/officeDocument/2006/relationships/hyperlink" Target="https://doi.org/10.1016/j.serrev.2009.10.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0E9CE-36D0-4A12-BB2B-1F12CE937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3549</TotalTime>
  <Pages>14</Pages>
  <Words>5985</Words>
  <Characters>34116</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71</cp:revision>
  <cp:lastPrinted>2025-08-14T07:58:00Z</cp:lastPrinted>
  <dcterms:created xsi:type="dcterms:W3CDTF">2025-07-29T12:56:00Z</dcterms:created>
  <dcterms:modified xsi:type="dcterms:W3CDTF">2025-08-14T11:36:00Z</dcterms:modified>
</cp:coreProperties>
</file>