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40"/>
        <w:jc w:val="center"/>
        <w:rPr/>
      </w:pPr>
      <w:r>
        <w:rPr>
          <w:rFonts w:ascii="Times New Roman" w:cs="Times New Roman" w:eastAsia="Times New Roman" w:hAnsi="Times New Roman"/>
          <w:b/>
          <w:bCs/>
          <w:i w:val="false"/>
          <w:iCs w:val="false"/>
          <w:sz w:val="28"/>
          <w:szCs w:val="28"/>
        </w:rPr>
        <w:t>IMPACT OF TERRORISM ON LIBRARY AND INFORMATION SYSTEMS DEVELOPMENT IN NORTHERN NIGERIA:</w:t>
      </w:r>
    </w:p>
    <w:p>
      <w:pPr>
        <w:pStyle w:val="style0"/>
        <w:spacing w:after="300"/>
        <w:jc w:val="center"/>
        <w:rPr/>
      </w:pPr>
      <w:r>
        <w:rPr>
          <w:rFonts w:ascii="Times New Roman" w:cs="Times New Roman" w:eastAsia="Times New Roman" w:hAnsi="Times New Roman"/>
          <w:b/>
          <w:bCs/>
          <w:i w:val="false"/>
          <w:iCs w:val="false"/>
          <w:sz w:val="28"/>
          <w:szCs w:val="28"/>
        </w:rPr>
        <w:t>A NARRATIVE REVIEW OF THE LITERATURE</w:t>
      </w:r>
    </w:p>
    <w:p>
      <w:pPr>
        <w:pStyle w:val="style0"/>
        <w:spacing w:after="80"/>
        <w:jc w:val="center"/>
        <w:rPr/>
      </w:pPr>
      <w:r>
        <w:rPr>
          <w:lang w:val="en-US"/>
        </w:rPr>
        <w:t xml:space="preserve">BINSHAK, Monday Daniel </w:t>
      </w:r>
    </w:p>
    <w:p>
      <w:pPr>
        <w:pStyle w:val="style0"/>
        <w:spacing w:after="80"/>
        <w:jc w:val="center"/>
        <w:rPr/>
      </w:pPr>
      <w:r>
        <w:rPr>
          <w:rFonts w:ascii="Times New Roman" w:cs="Times New Roman" w:eastAsia="Times New Roman" w:hAnsi="Times New Roman"/>
          <w:b w:val="false"/>
          <w:bCs w:val="false"/>
          <w:i/>
          <w:iCs/>
          <w:sz w:val="24"/>
          <w:szCs w:val="24"/>
          <w:lang w:val="en-US"/>
        </w:rPr>
        <w:t>Mewar International University, Nigeria</w:t>
      </w:r>
    </w:p>
    <w:p>
      <w:pPr>
        <w:pStyle w:val="style0"/>
        <w:spacing w:after="400"/>
        <w:jc w:val="center"/>
        <w:rPr/>
      </w:pPr>
      <w:r>
        <w:rPr>
          <w:rFonts w:ascii="Times New Roman" w:cs="Times New Roman" w:eastAsia="Times New Roman" w:hAnsi="Times New Roman"/>
          <w:b w:val="false"/>
          <w:bCs w:val="false"/>
          <w:i w:val="false"/>
          <w:iCs w:val="false"/>
          <w:sz w:val="24"/>
          <w:szCs w:val="24"/>
        </w:rPr>
        <w:t>Tel: +(234) 08</w:t>
      </w:r>
      <w:r>
        <w:rPr>
          <w:rFonts w:ascii="Times New Roman" w:cs="Times New Roman" w:eastAsia="Times New Roman" w:hAnsi="Times New Roman"/>
          <w:b w:val="false"/>
          <w:bCs w:val="false"/>
          <w:i w:val="false"/>
          <w:iCs w:val="false"/>
          <w:sz w:val="24"/>
          <w:szCs w:val="24"/>
          <w:lang w:val="en-US"/>
        </w:rPr>
        <w:t>1</w:t>
      </w:r>
      <w:r>
        <w:rPr>
          <w:rFonts w:ascii="Times New Roman" w:cs="Times New Roman" w:eastAsia="Times New Roman" w:hAnsi="Times New Roman"/>
          <w:b w:val="false"/>
          <w:bCs w:val="false"/>
          <w:i w:val="false"/>
          <w:iCs w:val="false"/>
          <w:sz w:val="24"/>
          <w:szCs w:val="24"/>
        </w:rPr>
        <w:t>-3</w:t>
      </w:r>
      <w:r>
        <w:rPr>
          <w:rFonts w:ascii="Times New Roman" w:cs="Times New Roman" w:eastAsia="Times New Roman" w:hAnsi="Times New Roman"/>
          <w:b w:val="false"/>
          <w:bCs w:val="false"/>
          <w:i w:val="false"/>
          <w:iCs w:val="false"/>
          <w:sz w:val="24"/>
          <w:szCs w:val="24"/>
          <w:lang w:val="en-US"/>
        </w:rPr>
        <w:t>408</w:t>
      </w:r>
      <w:r>
        <w:rPr>
          <w:rFonts w:ascii="Times New Roman" w:cs="Times New Roman" w:eastAsia="Times New Roman" w:hAnsi="Times New Roman"/>
          <w:b w:val="false"/>
          <w:bCs w:val="false"/>
          <w:i w:val="false"/>
          <w:iCs w:val="false"/>
          <w:sz w:val="24"/>
          <w:szCs w:val="24"/>
        </w:rPr>
        <w:t>-</w:t>
      </w:r>
      <w:r>
        <w:rPr>
          <w:rFonts w:ascii="Times New Roman" w:cs="Times New Roman" w:eastAsia="Times New Roman" w:hAnsi="Times New Roman"/>
          <w:b w:val="false"/>
          <w:bCs w:val="false"/>
          <w:i w:val="false"/>
          <w:iCs w:val="false"/>
          <w:sz w:val="24"/>
          <w:szCs w:val="24"/>
          <w:lang w:val="en-US"/>
        </w:rPr>
        <w:t>4085</w:t>
      </w:r>
    </w:p>
    <w:p>
      <w:pPr>
        <w:pStyle w:val="style0"/>
        <w:spacing w:before="360" w:after="150"/>
        <w:jc w:val="left"/>
        <w:rPr/>
      </w:pPr>
      <w:r>
        <w:rPr>
          <w:rFonts w:ascii="Times New Roman" w:cs="Times New Roman" w:eastAsia="Times New Roman" w:hAnsi="Times New Roman"/>
          <w:b/>
          <w:bCs/>
          <w:sz w:val="27"/>
          <w:szCs w:val="27"/>
        </w:rPr>
        <w:t>Abstract</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Terrorism and insurgency have inflicted severe and well-documented damage on human life, education, health, and the economy of Northern Nigeria, yet their bearing on library and information systems — the institutions charged with preserving and disseminating knowledge — remains comparatively under-examined. This paper presents a narrative review of the peer-reviewed and grey literature on how terrorism has affected library infrastructure and collections, the delivery of information services, the retention of information personnel, and the adequacy of security and disaster-preparedness arrangements in libraries across Northern Nigeria's three geopolitical zones. Sources were identified through structured searches of Scopus-indexed journals, institutional repositories, and library-science databases, screened for relevance, and synthesised thematically around the review's four guiding objectives. Drawing on Human Security Theory and library disaster-resilience frameworks, the review finds converging evidence that armed conflict has damaged or destroyed library buildings and collections, disrupted access to information for both host and displaced communities, driven the displacement of trained personnel, and exposed the near-total absence of formal disaster-preparedness planning in Nigerian libraries. The review further finds that libraries are simultaneously framed in the literature as victims of insecurity and as an under-utilised resource for counter-terrorism and post-conflict recovery. It concludes with implications for policy and professional practice, and with a research agenda for the primary, field-based studies needed to test the propositions this review advances.</w:t>
      </w:r>
    </w:p>
    <w:p>
      <w:pPr>
        <w:pStyle w:val="style0"/>
        <w:spacing w:after="200" w:lineRule="auto" w:line="360"/>
        <w:jc w:val="both"/>
        <w:rPr/>
      </w:pPr>
      <w:r>
        <w:rPr>
          <w:rFonts w:ascii="Times New Roman" w:cs="Times New Roman" w:eastAsia="Times New Roman" w:hAnsi="Times New Roman"/>
          <w:b w:val="false"/>
          <w:bCs w:val="false"/>
          <w:i/>
          <w:iCs/>
          <w:sz w:val="24"/>
          <w:szCs w:val="24"/>
        </w:rPr>
        <w:t>Keywords: Terrorism, insurgency, library and information systems, Northern Nigeria, disaster preparedness, human security, narrative review</w:t>
      </w:r>
    </w:p>
    <w:p>
      <w:pPr>
        <w:pStyle w:val="style0"/>
        <w:spacing w:before="360" w:after="150"/>
        <w:jc w:val="left"/>
        <w:rPr/>
      </w:pPr>
      <w:r>
        <w:rPr>
          <w:rFonts w:ascii="Times New Roman" w:cs="Times New Roman" w:eastAsia="Times New Roman" w:hAnsi="Times New Roman"/>
          <w:b/>
          <w:bCs/>
          <w:sz w:val="27"/>
          <w:szCs w:val="27"/>
        </w:rPr>
        <w:t>1.0 Introduction</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The Global Terrorism Index (2023) reported 8,352 terrorist-related deaths worldwide in 2023, a 22% rise on 2022, with the Central Sahel region of sub-Saharan Africa now accounting for over half of all terrorism-related deaths globally (Global Terrorism Index, 2023). In Nigeria, violence linked to Boko Haram, banditry, and farmer-herder conflict has left an enduring mark on the northern zone. The Bureau of Counterterrorism (2019) estimates that close to two million people have been internally displaced within northern Nigerian states, with over 240,000 refugees recorded in neighbouring countries, while Ehwarieme and Umukoro (2015) note that Boko Haram-linked attacks alone account for roughly 13,000 deaths, ranking the group among the deadliest terrorist organisations in the world.</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Beyond its human toll, terrorism has degraded the institutions that generate, preserve, and disseminate knowledge in the north — chiefly libraries and information systems. Yet, while a substantial body of scholarship has examined the effects of insurgency on education broadly, health, agriculture, governance, and the wider economy of Northern Nigeria (Emmanuel, Yusufari &amp; Chuga, 2025; Impacts of Boko Haram Insurgency on Educational Infrastructure, 2024; Analysis of the Impact of Boko Haram Insurgency on Education in Adamawa State, 2017), comparatively little scholarly attention has been paid to the library and information sub-sector specifically, despite libraries being both physically vulnerable to attack and functionally central to the recovery, literacy, and civic-information needs of affected populations.</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This paper addresses that gap through a narrative review that synthesises the available literature on how terrorism and insurgency have affected library infrastructure, collections, personnel, service delivery, and disaster-preparedness arrangements in Northern Nigeria, situates the discussion within Human Security Theory and library-resilience scholarship, and identifies the primary research needed to build on the evidence assembled here. The specific objectives guiding the review are to: (i) synthesise evidence on the extent of damage to library infrastructure and collections arising from terrorism in Northern Nigeria; (ii) synthesise evidence on the disruption of information service delivery to host and displaced communities; (iii) synthesise evidence on the displacement and loss of trained library and information personnel; and (iv) appraise evidence on the adequacy of existing security and disaster-preparedness measures within libraries and information centres in the region.</w:t>
      </w:r>
    </w:p>
    <w:p>
      <w:pPr>
        <w:pStyle w:val="style0"/>
        <w:spacing w:before="360" w:after="150"/>
        <w:jc w:val="left"/>
        <w:rPr/>
      </w:pPr>
      <w:r>
        <w:rPr>
          <w:rFonts w:ascii="Times New Roman" w:cs="Times New Roman" w:eastAsia="Times New Roman" w:hAnsi="Times New Roman"/>
          <w:b/>
          <w:bCs/>
          <w:sz w:val="27"/>
          <w:szCs w:val="27"/>
        </w:rPr>
        <w:t>2.0 Review Methodology</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This paper adopts a narrative (desk) review methodology, an approach well established in library and information science for synthesising a fragmented and cross-disciplinary evidence base into a coherent thematic account (see, for example, the systematic narrative synthesis of library disaster-management literature conducted using the Initialisation-Conceptualisation-Actualisation framework across Web of Science and Scopus). A narrative rather than a fully systematic review was chosen because the literature bridging terrorism studies and library and information science in Northern Nigeria is sparse and methodologically heterogeneous, spanning empirical surveys, case studies, and conceptual commentary, and is better served by thematic synthesis than by meta-analytic pooling.</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Sources were identified through structured searches of Scopus-indexed and other peer-reviewed journals (including Biblios, Library Management, Library &amp; Archival Security, the IFLA Journal, and the Academic Journal of Interdisciplinary Studies), institutional and disciplinary repositories (notably Library Philosophy and Practice), and reports from recognised bodies including the Institute for Economics and Peace, the United States Department of State, and the United Nations Development Programme. Search terms combined variants of "terrorism", "insurgency", "Boko Haram", and "insecurity" with "library", "library and information systems", "disaster preparedness", and "information services", restricted to sources addressing Nigeria or, where Nigerian evidence was unavailable on a given sub-theme, comparable developing-country contexts.</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Sources were included where they (a) addressed terrorism, insurgency, or armed conflict and its effects on libraries, information services, or education infrastructure in Nigeria or a comparable setting, or (b) addressed library disaster-preparedness, security, or resilience more generally, providing a comparative baseline against which the conflict-specific literature could be read. Sources concerned solely with terrorism's macroeconomic or health effects, without any library, information, or education dimension, were used only to establish contextual background in the introduction. The resulting set of sources was read in full and synthesised thematically, organised around the review's four objectives, using the process outlined in Section 4.</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As a narrative review, this paper does not itself generate new primary data; rather, it maps and interprets the existing evidence base to identify converging findings, contested or under-evidenced claims, and gaps warranting future field-based research. This limitation is addressed directly in Section 7, which sets out a proposed empirical research agenda.</w:t>
      </w:r>
    </w:p>
    <w:p>
      <w:pPr>
        <w:pStyle w:val="style0"/>
        <w:spacing w:before="360" w:after="150"/>
        <w:jc w:val="left"/>
        <w:rPr/>
      </w:pPr>
      <w:r>
        <w:rPr>
          <w:rFonts w:ascii="Times New Roman" w:cs="Times New Roman" w:eastAsia="Times New Roman" w:hAnsi="Times New Roman"/>
          <w:b/>
          <w:bCs/>
          <w:sz w:val="27"/>
          <w:szCs w:val="27"/>
        </w:rPr>
        <w:t>3.0 Theoretical Framework</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This review situates its synthesis within Human Security Theory, first articulated in the United Nations Development Programme's Human Development Report (UNDP, 1994), which broadens the referent of security from the state to the individual and identifies threats to community, economic, and personal security — including the destruction of the institutions on which people rely for education and information — as legitimate security concerns in their own right. Applied to this review, Human Security Theory frames the destruction of library infrastructure and the disruption of information access not as incidental collateral damage but as a direct erosion of the human security of affected populations, since information access underpins education, livelihood, and civic participation.</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This is complemented by library disaster-resilience frameworks, which conceptualise institutional response to disruptive events along a continuum from reactive crisis management to proactive, planned resilience-building (Garnett, 2019). Read together, these two frameworks structure the thematic synthesis in Section 4: the impact of terrorism on library and information systems is assessed both in terms of physical and human losses already documented in the literature, and in terms of the institutional capacity — plans, training, funding, and partnerships — reported (or found absent) for anticipating, withstanding, and recovering from future disruption.</w:t>
      </w:r>
    </w:p>
    <w:p>
      <w:pPr>
        <w:pStyle w:val="style0"/>
        <w:spacing w:before="360" w:after="150"/>
        <w:jc w:val="left"/>
        <w:rPr/>
      </w:pPr>
      <w:r>
        <w:rPr>
          <w:rFonts w:ascii="Times New Roman" w:cs="Times New Roman" w:eastAsia="Times New Roman" w:hAnsi="Times New Roman"/>
          <w:b/>
          <w:bCs/>
          <w:sz w:val="27"/>
          <w:szCs w:val="27"/>
        </w:rPr>
        <w:t>4.0 Thematic Synthesis of the Literature</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This section presents the review's core synthesis, organised around the four objectives set out in Section 1, preceded by background on the conflict context and followed by two cross-cutting themes — the reframing of libraries as counter-terrorism instruments, and the gaps left by the existing evidence base.</w:t>
      </w:r>
    </w:p>
    <w:p>
      <w:pPr>
        <w:pStyle w:val="style0"/>
        <w:spacing w:before="240" w:after="120"/>
        <w:jc w:val="left"/>
        <w:rPr/>
      </w:pPr>
      <w:r>
        <w:rPr>
          <w:rFonts w:ascii="Times New Roman" w:cs="Times New Roman" w:eastAsia="Times New Roman" w:hAnsi="Times New Roman"/>
          <w:b/>
          <w:bCs/>
          <w:i/>
          <w:iCs/>
          <w:sz w:val="25"/>
          <w:szCs w:val="25"/>
        </w:rPr>
        <w:t>4.1 Terrorism and Insurgency in Northern Nigeria: Context</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Northern Nigeria has, since 2009, been the epicentre of the Boko Haram insurgency, alongside banditry and farmer-herder violence that together have displaced millions and destabilised entire local government areas (Bureau of Counterterrorism, 2019). The socio-economic toll has been extensively documented: Emmanuel, Yusufari and Chuga (2025) found that the insurgency in Borno State weakened governance institutions, disrupted trade and investment, and hindered access to education and healthcare, while studies of the North-East more broadly report the destruction of hundreds of school buildings and mass displacement of teachers and pupils (Impacts of Boko Haram Insurgency on Educational Infrastructure, 2024). In Adamawa State, insurgency-related disruption to school enrolment, attendance, and infrastructure has been shown to significantly depress human-capital investment (Analysis of the Impact of Boko Haram Insurgency on Education in Adamawa State, 2017). This body of evidence establishes a well-documented pattern of institutional damage that forms the backdrop against which the library and information sub-sector is examined below. It is also worth noting that libraries and information systems are, independent of insecurity, widely recognised as infrastructure for national development: Mngutyô, Angbande and Gbuushi (2020) argue that weak government engagement with public library and information systems has itself constrained sustainable national development in Nigeria, while Abubakar (2013) demonstrates that strategic public library services can contribute directly to poverty-alleviation programming when adequately resourced. Where such systems are further weakened by conflict, the loss compounds a pre-existing developmental deficit rather than introducing an entirely new problem.</w:t>
      </w:r>
    </w:p>
    <w:p>
      <w:pPr>
        <w:pStyle w:val="style0"/>
        <w:spacing w:before="240" w:after="120"/>
        <w:jc w:val="left"/>
        <w:rPr/>
      </w:pPr>
      <w:r>
        <w:rPr>
          <w:rFonts w:ascii="Times New Roman" w:cs="Times New Roman" w:eastAsia="Times New Roman" w:hAnsi="Times New Roman"/>
          <w:b/>
          <w:bCs/>
          <w:i/>
          <w:iCs/>
          <w:sz w:val="25"/>
          <w:szCs w:val="25"/>
        </w:rPr>
        <w:t>4.2 Objective One: Damage to Library Infrastructure and Collections</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The literature converges on the finding that library buildings and collections in Northern Nigeria have suffered direct physical damage from insurgent and bandit activity, and that both public and academic libraries in the region were largely unprepared for such events when they occurred. Esse et al. (2022) document that Boko Haram and armed herdsmen activities have led to the burning of buildings and destruction of collections in libraries and higher institutions across parts of Northern Nigeria, leaving public libraries in the region acutely unprepared for such disasters. This finding is consistent with the broader literature on library preparedness against terrorism in Nigeria, which found that Nigerian university libraries remain largely unready to withstand or recover from an attack, risking the loss of irreplaceable staff expertise, physical facilities, and information resources (Level of Preparedness for Prevention against Terrorism in Libraries, 2016). A case study of the University of Jos Library — itself situated in a North-Central state affected by recurrent communal and insurgent violence — similarly found weak institutional disaster-management planning and a heavy reliance on ad-hoc, reactive responses rather than documented contingency procedures (Nwokedi, Panle &amp; Samuel, 2017). This damage is compounded by the general absence of written disaster-management plans in Nigerian academic libraries, a weakness also documented outside conflict-affected zones (Iroeze, 2021).</w:t>
      </w:r>
    </w:p>
    <w:p>
      <w:pPr>
        <w:pStyle w:val="style0"/>
        <w:spacing w:before="240" w:after="120"/>
        <w:jc w:val="left"/>
        <w:rPr/>
      </w:pPr>
      <w:r>
        <w:rPr>
          <w:rFonts w:ascii="Times New Roman" w:cs="Times New Roman" w:eastAsia="Times New Roman" w:hAnsi="Times New Roman"/>
          <w:b/>
          <w:bCs/>
          <w:i/>
          <w:iCs/>
          <w:sz w:val="25"/>
          <w:szCs w:val="25"/>
        </w:rPr>
        <w:t>4.3 Objective Two: Disruption of Information Service Delivery</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Evidence indicates that service delivery to both host and displaced communities has been substantially disrupted. Studies of library provision for Nigeria's internally displaced population show that public libraries have struggled to develop a coherent policy framework or partnership structure for meeting the information needs of IDPs, leaving a socially excluded population without reliable access to civic, educational, and livelihood information during displacement (Library Services to Internally Displaced Persons, n.d.). This gap is particularly consequential given that IDP populations, many of them children and youths, have heightened rather than diminished information needs around education, health, and reunification services during displacement. Compounding this, low ICT adoption in schools and libraries in the North-West and North-Central zones has limited the extent to which digital or remote channels can substitute for physical access during periods of closure (Abubakar, 2022).</w:t>
      </w:r>
    </w:p>
    <w:p>
      <w:pPr>
        <w:pStyle w:val="style0"/>
        <w:spacing w:before="240" w:after="120"/>
        <w:jc w:val="left"/>
        <w:rPr/>
      </w:pPr>
      <w:r>
        <w:rPr>
          <w:rFonts w:ascii="Times New Roman" w:cs="Times New Roman" w:eastAsia="Times New Roman" w:hAnsi="Times New Roman"/>
          <w:b/>
          <w:bCs/>
          <w:i/>
          <w:iCs/>
          <w:sz w:val="25"/>
          <w:szCs w:val="25"/>
        </w:rPr>
        <w:t>4.4 Objective Three: Displacement and Loss of Personnel</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Insecurity does not only damage buildings; the reviewed literature also points, directly and by implication, to the loss of trained personnel needed to run library and information services. Abubakar (2022) shows that the closure of educational institutions across Nigeria's North-West and North-Central zones due to insecurity has made teaching and learning more erratic, with direct repercussions for librarians and information specialists whose services depend on functioning host institutions. Direct, library-specific data on personnel attrition attributable to terrorism in Northern Nigeria remains limited in the literature reviewed; however, the closure of educational institutions and the broader pattern of personnel displacement documented in the wider insurgency literature (Bureau of Counterterrorism, 2019; Impacts of Boko Haram Insurgency on Educational Infrastructure, 2024) strongly implies parallel disruption for library and information staff who depend on the same institutional hosts and security conditions. This is flagged in Section 6 as a specific area where the existing literature is thin and primary research is needed.</w:t>
      </w:r>
    </w:p>
    <w:p>
      <w:pPr>
        <w:pStyle w:val="style0"/>
        <w:spacing w:before="240" w:after="120"/>
        <w:jc w:val="left"/>
        <w:rPr/>
      </w:pPr>
      <w:r>
        <w:rPr>
          <w:rFonts w:ascii="Times New Roman" w:cs="Times New Roman" w:eastAsia="Times New Roman" w:hAnsi="Times New Roman"/>
          <w:b/>
          <w:bCs/>
          <w:i/>
          <w:iCs/>
          <w:sz w:val="25"/>
          <w:szCs w:val="25"/>
        </w:rPr>
        <w:t>4.5 Objective Four: Adequacy of Security and Disaster-Preparedness Measures</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Across the reviewed studies, disaster-preparedness in Nigerian libraries — whether framed around terrorism specifically or disaster risk more broadly — is consistently found to be inadequate, characterised by the absence of written plans, limited staff training, and minimal security infrastructure (Level of Preparedness for Prevention against Terrorism in Libraries, 2016; Iroeze, 2021; Nwokedi, Panle &amp; Samuel, 2017). Comparative evidence from beyond Nigeria reinforces this pattern: in Ghana, disaster-preparedness studies of academic and polytechnic libraries have found limited written disaster plans, inadequate staff training, and reliance on informal responses to fire, flood, and related hazards (Ahenkorah-Marfo &amp; Borteye, 2010; Ayoung, Boatbil &amp; Baada, 2021), while in Greece, Kostagiolas, Araka, Theodorou and Bokos (2011) similarly found that academic libraries had not systematically integrated disaster management into institutional planning. Garnett (2019) argues that academic libraries need to move from reactive to resilience-oriented planning that explicitly aligns with international Disaster Risk Reduction frameworks. Read together, this comparative evidence indicates that the weak disaster-preparedness posture observed in Northern Nigerian libraries reflects a structural weakness common to the library profession, one whose consequences are magnified where the disaster risk in question is armed conflict rather than fire or flood.</w:t>
      </w:r>
    </w:p>
    <w:p>
      <w:pPr>
        <w:pStyle w:val="style0"/>
        <w:spacing w:before="240" w:after="120"/>
        <w:jc w:val="left"/>
        <w:rPr/>
      </w:pPr>
      <w:r>
        <w:rPr>
          <w:rFonts w:ascii="Times New Roman" w:cs="Times New Roman" w:eastAsia="Times New Roman" w:hAnsi="Times New Roman"/>
          <w:b/>
          <w:bCs/>
          <w:i/>
          <w:iCs/>
          <w:sz w:val="25"/>
          <w:szCs w:val="25"/>
        </w:rPr>
        <w:t>4.6 Cross-Cutting Theme: Libraries as Instruments of Counter-Terrorism and National Security</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A parallel strand of scholarship reframes libraries not merely as victims of insecurity but as an under-utilised resource for combating it. Ossai-Ugbah (2013) argues that libraries and librarians can contribute to national security through effective information dissemination, civic education, and the bridging of ideological divides, while recommending increased government funding and the incorporation of national-security content into library-science training curricula. Ogugua and Ikeagwuani (2024) reach similar conclusions, noting that libraries and information centres could be repositioned as instruments of counter-terrorism and national security through civic-education programming, information literacy, and community outreach, but that acute underfunding, low patronage, and weak management currently blunt this potential. Taken together, these studies suggest that the relationship between terrorism and libraries in Northern Nigeria runs in both directions: libraries are damaged by insecurity, yet a better-resourced library system could also help mitigate the conditions that sustain it.</w:t>
      </w:r>
    </w:p>
    <w:p>
      <w:pPr>
        <w:pStyle w:val="style0"/>
        <w:spacing w:before="240" w:after="120"/>
        <w:jc w:val="left"/>
        <w:rPr/>
      </w:pPr>
      <w:r>
        <w:rPr>
          <w:rFonts w:ascii="Times New Roman" w:cs="Times New Roman" w:eastAsia="Times New Roman" w:hAnsi="Times New Roman"/>
          <w:b/>
          <w:bCs/>
          <w:i/>
          <w:iCs/>
          <w:sz w:val="25"/>
          <w:szCs w:val="25"/>
        </w:rPr>
        <w:t>4.7 Gaps in the Literature</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While the reviewed literature establishes, individually, that (a) terrorism has damaged education and broader development indices in Northern Nigeria, (b) library disaster-preparedness in Nigeria is generally weak, and (c) libraries have particular potential as counter-terrorism instruments, few studies integrate these strands into a single assessment of how terrorism specifically affects library and information systems development across all three northern geopolitical zones, using primary data drawn directly from librarians, information personnel, and the displaced and host communities they serve. This gap — most acute for Objective Three above — is the principal justification for the research agenda proposed in Section 7.</w:t>
      </w:r>
    </w:p>
    <w:p>
      <w:pPr>
        <w:pStyle w:val="style0"/>
        <w:spacing w:before="360" w:after="150"/>
        <w:jc w:val="left"/>
        <w:rPr/>
      </w:pPr>
      <w:r>
        <w:rPr>
          <w:rFonts w:ascii="Times New Roman" w:cs="Times New Roman" w:eastAsia="Times New Roman" w:hAnsi="Times New Roman"/>
          <w:b/>
          <w:bCs/>
          <w:sz w:val="27"/>
          <w:szCs w:val="27"/>
        </w:rPr>
        <w:t>5.0 Discussion</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The synthesis above suggests that terrorism affects library and information systems development in Northern Nigeria through at least three interlocking mechanisms evident across the reviewed literature: direct physical destruction of infrastructure and collections; indirect disruption of service delivery arising from institutional closures, personnel displacement, and low ICT capacity; and a persistent, pre-existing weakness in disaster-preparedness planning that leaves libraries poorly positioned to anticipate or recover from conflict-related disruption. Viewed through Human Security Theory, this pattern represents a compounding erosion of human security: populations already displaced or otherwise affected by conflict lose, in addition, one of the institutional channels through which they might access the education, civic, and livelihood information needed to recover.</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At the same time, the literature on libraries as counter-terrorism instruments (Ossai-Ugbah, 2013; Ogugua &amp; Ikeagwuani, 2024) points to an underexploited opportunity: a better-funded, better-secured library system could plausibly contribute to the civic-education and information-literacy efforts needed to counter the narratives that sustain insurgency, even as it is itself a casualty of that insurgency. This dual character — victim and potential remedy — has not been adequately reflected in national counter-terrorism strategy or library-sector policy, both of which have tended to treat libraries as peripheral to security discourse. It is also notable that the evidentiary strength of the four objectives is uneven: Objectives One, Two, and Four are supported by multiple, mutually reinforcing Nigerian and comparative sources, whereas Objective Three rests more heavily on inference from adjacent literature than on library-specific data, a distinction future empirical work should address directly.</w:t>
      </w:r>
    </w:p>
    <w:p>
      <w:pPr>
        <w:pStyle w:val="style0"/>
        <w:spacing w:before="360" w:after="150"/>
        <w:jc w:val="left"/>
        <w:rPr/>
      </w:pPr>
      <w:r>
        <w:rPr>
          <w:rFonts w:ascii="Times New Roman" w:cs="Times New Roman" w:eastAsia="Times New Roman" w:hAnsi="Times New Roman"/>
          <w:b/>
          <w:bCs/>
          <w:sz w:val="27"/>
          <w:szCs w:val="27"/>
        </w:rPr>
        <w:t>6.0 Implications for Policy and Practice</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Based on the foregoing synthesis, the following implications and recommendations are proposed for policymakers, library administrators, and professional bodies:</w:t>
      </w:r>
    </w:p>
    <w:p>
      <w:pPr>
        <w:pStyle w:val="style0"/>
        <w:spacing w:after="160" w:lineRule="auto" w:line="360"/>
        <w:ind w:left="400"/>
        <w:jc w:val="both"/>
        <w:rPr/>
      </w:pPr>
      <w:r>
        <w:rPr>
          <w:rFonts w:ascii="Times New Roman" w:cs="Times New Roman" w:eastAsia="Times New Roman" w:hAnsi="Times New Roman"/>
          <w:sz w:val="24"/>
          <w:szCs w:val="24"/>
        </w:rPr>
        <w:t>1. Government and institutional authorities should mandate and fund the development of written disaster-preparedness and security plans for all public and academic libraries in conflict-affected states, incorporating both natural-hazard and conflict-specific risk scenarios.</w:t>
      </w:r>
    </w:p>
    <w:p>
      <w:pPr>
        <w:pStyle w:val="style0"/>
        <w:spacing w:after="160" w:lineRule="auto" w:line="360"/>
        <w:ind w:left="400"/>
        <w:jc w:val="both"/>
        <w:rPr/>
      </w:pPr>
      <w:r>
        <w:rPr>
          <w:rFonts w:ascii="Times New Roman" w:cs="Times New Roman" w:eastAsia="Times New Roman" w:hAnsi="Times New Roman"/>
          <w:sz w:val="24"/>
          <w:szCs w:val="24"/>
        </w:rPr>
        <w:t>2. Library and information science curricula should integrate modules on security awareness, civic education, and disaster risk reduction, consistent with recommendations for reorienting professional training toward national-security contribution (Ossai-Ugbah, 2013).</w:t>
      </w:r>
    </w:p>
    <w:p>
      <w:pPr>
        <w:pStyle w:val="style0"/>
        <w:spacing w:after="160" w:lineRule="auto" w:line="360"/>
        <w:ind w:left="400"/>
        <w:jc w:val="both"/>
        <w:rPr/>
      </w:pPr>
      <w:r>
        <w:rPr>
          <w:rFonts w:ascii="Times New Roman" w:cs="Times New Roman" w:eastAsia="Times New Roman" w:hAnsi="Times New Roman"/>
          <w:sz w:val="24"/>
          <w:szCs w:val="24"/>
        </w:rPr>
        <w:t>3. The National Library of Nigeria, in partnership with humanitarian agencies, should develop a dedicated policy framework and outreach strategy for extending library and information services to IDPs and host communities, addressing the gap identified in the literature on IDP information provision.</w:t>
      </w:r>
    </w:p>
    <w:p>
      <w:pPr>
        <w:pStyle w:val="style0"/>
        <w:spacing w:after="160" w:lineRule="auto" w:line="360"/>
        <w:ind w:left="400"/>
        <w:jc w:val="both"/>
        <w:rPr/>
      </w:pPr>
      <w:r>
        <w:rPr>
          <w:rFonts w:ascii="Times New Roman" w:cs="Times New Roman" w:eastAsia="Times New Roman" w:hAnsi="Times New Roman"/>
          <w:sz w:val="24"/>
          <w:szCs w:val="24"/>
        </w:rPr>
        <w:t>4. Investment in low-cost, resilient ICT infrastructure — including offline digital repositories and mobile library units — should be prioritised to sustain information access where physical facilities are damaged or inaccessible, building on existing analyses of ICT adoption barriers in insecure environments (Abubakar, 2022).</w:t>
      </w:r>
    </w:p>
    <w:p>
      <w:pPr>
        <w:pStyle w:val="style0"/>
        <w:spacing w:after="160" w:lineRule="auto" w:line="360"/>
        <w:ind w:left="400"/>
        <w:jc w:val="both"/>
        <w:rPr/>
      </w:pPr>
      <w:r>
        <w:rPr>
          <w:rFonts w:ascii="Times New Roman" w:cs="Times New Roman" w:eastAsia="Times New Roman" w:hAnsi="Times New Roman"/>
          <w:sz w:val="24"/>
          <w:szCs w:val="24"/>
        </w:rPr>
        <w:t>5. Professional associations should establish structured channels for repositioning libraries as active contributors to counter-terrorism and civic-education strategy, rather than treating them as peripheral to national security planning.</w:t>
      </w:r>
    </w:p>
    <w:p>
      <w:pPr>
        <w:pStyle w:val="style0"/>
        <w:spacing w:before="360" w:after="150"/>
        <w:jc w:val="left"/>
        <w:rPr/>
      </w:pPr>
      <w:r>
        <w:rPr>
          <w:rFonts w:ascii="Times New Roman" w:cs="Times New Roman" w:eastAsia="Times New Roman" w:hAnsi="Times New Roman"/>
          <w:b/>
          <w:bCs/>
          <w:sz w:val="27"/>
          <w:szCs w:val="27"/>
        </w:rPr>
        <w:t>7.0 Directions for Future Research</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This review is, by design, a synthesis of existing secondary evidence rather than a source of new primary data, and its conclusions are therefore only as strong as the underlying literature, which is comparatively thin on library-specific personnel displacement (Objective Three) and largely silent on the perspectives of IDPs and host-community library users themselves. Future research should address this through a field-based cross-sectional survey of librarians, information officers, library users, internally displaced persons, and host-community residents across the North-Central, North-East, and North-West geopolitical zones, using purposive sampling and a structured questionnaire supplemented by key-informant interviews with library managers and security stakeholders. Such a study could apply descriptive statistics and Chi-square tests of association (at p &lt; 0.05) to the resulting data to formally test the propositions this review has advanced, and would be particularly valuable in quantifying the extent of personnel displacement and directly capturing the information needs and experiences of displaced library users, both of which the current literature addresses only indirectly.</w:t>
      </w:r>
    </w:p>
    <w:p>
      <w:pPr>
        <w:pStyle w:val="style0"/>
        <w:spacing w:before="360" w:after="150"/>
        <w:jc w:val="left"/>
        <w:rPr/>
      </w:pPr>
      <w:r>
        <w:rPr>
          <w:rFonts w:ascii="Times New Roman" w:cs="Times New Roman" w:eastAsia="Times New Roman" w:hAnsi="Times New Roman"/>
          <w:b/>
          <w:bCs/>
          <w:sz w:val="27"/>
          <w:szCs w:val="27"/>
        </w:rPr>
        <w:t>8.0 Conclusion</w:t>
      </w:r>
    </w:p>
    <w:p>
      <w:pPr>
        <w:pStyle w:val="style0"/>
        <w:spacing w:after="200" w:lineRule="auto" w:line="360"/>
        <w:jc w:val="both"/>
        <w:rPr/>
      </w:pPr>
      <w:r>
        <w:rPr>
          <w:rFonts w:ascii="Times New Roman" w:cs="Times New Roman" w:eastAsia="Times New Roman" w:hAnsi="Times New Roman"/>
          <w:b w:val="false"/>
          <w:bCs w:val="false"/>
          <w:i w:val="false"/>
          <w:iCs w:val="false"/>
          <w:sz w:val="24"/>
          <w:szCs w:val="24"/>
        </w:rPr>
        <w:t>Terrorism and insurgency in Northern Nigeria have imposed substantial, if under-studied, costs on the region's library and information systems, damaging infrastructure and collections, disrupting service delivery, displacing trained personnel, and exposing a longstanding deficit in disaster-preparedness planning. At the same time, the same literature suggests that libraries, if adequately resourced and integrated into national security and educational-recovery strategy, could play a meaningful role in mitigating the conditions that sustain conflict. This review has synthesised the available evidence around four guiding objectives, situated it within Human Security Theory and library-resilience scholarship, and identified where the evidence base is strongest and where it remains thin. Closing the empirical gaps identified here — particularly around personnel displacement and displaced-user experience — through the field-based research agenda proposed in Section 7 would provide the evidence needed to design targeted interventions that both protect libraries from future disruption and harness their potential contribution to peacebuilding and post-conflict development in the region.</w:t>
      </w:r>
    </w:p>
    <w:p>
      <w:pPr>
        <w:pStyle w:val="style0"/>
        <w:pageBreakBefore/>
        <w:rPr/>
      </w:pPr>
      <w:r>
        <w:br/>
      </w:r>
    </w:p>
    <w:p>
      <w:pPr>
        <w:pStyle w:val="style0"/>
        <w:spacing w:after="300"/>
        <w:jc w:val="center"/>
        <w:rPr/>
      </w:pPr>
      <w:r>
        <w:rPr>
          <w:rFonts w:ascii="Times New Roman" w:cs="Times New Roman" w:eastAsia="Times New Roman" w:hAnsi="Times New Roman"/>
          <w:b/>
          <w:bCs/>
          <w:i w:val="false"/>
          <w:iCs w:val="false"/>
          <w:sz w:val="26"/>
          <w:szCs w:val="26"/>
        </w:rPr>
        <w:t>References</w:t>
      </w:r>
    </w:p>
    <w:p>
      <w:pPr>
        <w:pStyle w:val="style0"/>
        <w:spacing w:after="200" w:lineRule="auto" w:line="300"/>
        <w:ind w:left="400" w:hanging="400"/>
        <w:jc w:val="left"/>
        <w:rPr/>
      </w:pPr>
      <w:r>
        <w:rPr>
          <w:rFonts w:ascii="Times New Roman" w:cs="Times New Roman" w:eastAsia="Times New Roman" w:hAnsi="Times New Roman"/>
          <w:sz w:val="22"/>
          <w:szCs w:val="22"/>
        </w:rPr>
        <w:t>Abubakar, B. M. (2013). Poverty alleviation through strategic public library services in Nigeria in the 21st century: a model. IFLA Journal, 39(1), 4–14.</w:t>
      </w:r>
    </w:p>
    <w:p>
      <w:pPr>
        <w:pStyle w:val="style0"/>
        <w:spacing w:after="200" w:lineRule="auto" w:line="300"/>
        <w:ind w:left="400" w:hanging="400"/>
        <w:jc w:val="left"/>
        <w:rPr/>
      </w:pPr>
      <w:r>
        <w:rPr>
          <w:rFonts w:ascii="Times New Roman" w:cs="Times New Roman" w:eastAsia="Times New Roman" w:hAnsi="Times New Roman"/>
          <w:sz w:val="22"/>
          <w:szCs w:val="22"/>
        </w:rPr>
        <w:t>Abubakar, M. K. (2022). Identifying an analytical framework to assess the determinants of ICT adoption in libraries and its implications for teaching and learning during insecurity. Library Philosophy and Practice. Available at: https://digitalcommons.unl.edu/libphilprac/7446</w:t>
      </w:r>
    </w:p>
    <w:p>
      <w:pPr>
        <w:pStyle w:val="style0"/>
        <w:spacing w:after="200" w:lineRule="auto" w:line="300"/>
        <w:ind w:left="400" w:hanging="400"/>
        <w:jc w:val="left"/>
        <w:rPr/>
      </w:pPr>
      <w:r>
        <w:rPr>
          <w:rFonts w:ascii="Times New Roman" w:cs="Times New Roman" w:eastAsia="Times New Roman" w:hAnsi="Times New Roman"/>
          <w:sz w:val="22"/>
          <w:szCs w:val="22"/>
        </w:rPr>
        <w:t>Ahenkorah-Marfo, M., &amp; Borteye, E. M. (2010). Disaster preparedness in academic libraries: the case of the Kwame Nkrumah University of Science and Technology Library, Kumasi, Ghana. Library &amp; Archival Security, 23(2), 117–136. https://doi.org/10.1080/01960075.2010.501417</w:t>
      </w:r>
    </w:p>
    <w:p>
      <w:pPr>
        <w:pStyle w:val="style0"/>
        <w:spacing w:after="200" w:lineRule="auto" w:line="300"/>
        <w:ind w:left="400" w:hanging="400"/>
        <w:jc w:val="left"/>
        <w:rPr/>
      </w:pPr>
      <w:r>
        <w:rPr>
          <w:rFonts w:ascii="Times New Roman" w:cs="Times New Roman" w:eastAsia="Times New Roman" w:hAnsi="Times New Roman"/>
          <w:sz w:val="22"/>
          <w:szCs w:val="22"/>
        </w:rPr>
        <w:t>Analysis of the Impact of Boko Haram Insurgency on Education in Adamawa State, Nigeria (2017). International Journal of Academic Research and Reflection, 5(6). Available at: https://www.researchgate.net/publication/321245509</w:t>
      </w:r>
    </w:p>
    <w:p>
      <w:pPr>
        <w:pStyle w:val="style0"/>
        <w:spacing w:after="200" w:lineRule="auto" w:line="300"/>
        <w:ind w:left="400" w:hanging="400"/>
        <w:jc w:val="left"/>
        <w:rPr/>
      </w:pPr>
      <w:r>
        <w:rPr>
          <w:rFonts w:ascii="Times New Roman" w:cs="Times New Roman" w:eastAsia="Times New Roman" w:hAnsi="Times New Roman"/>
          <w:sz w:val="22"/>
          <w:szCs w:val="22"/>
        </w:rPr>
        <w:t>Ayoung, A. D., Boatbil, C. S., &amp; Baada, F. N. (2021). Disaster preparedness of libraries: insights from polytechnic librarians in Ghana. Information Development, 37(2).</w:t>
      </w:r>
    </w:p>
    <w:p>
      <w:pPr>
        <w:pStyle w:val="style0"/>
        <w:spacing w:after="200" w:lineRule="auto" w:line="300"/>
        <w:ind w:left="400" w:hanging="400"/>
        <w:jc w:val="left"/>
        <w:rPr/>
      </w:pPr>
      <w:r>
        <w:rPr>
          <w:rFonts w:ascii="Times New Roman" w:cs="Times New Roman" w:eastAsia="Times New Roman" w:hAnsi="Times New Roman"/>
          <w:sz w:val="22"/>
          <w:szCs w:val="22"/>
        </w:rPr>
        <w:t>Bureau of Counterterrorism (2019). Country Reports on Terrorism 2019: Nigeria. US Department of State. Available at: https://www.state.gov/reports/country-reports-on-terrorism-2019/nigeria/</w:t>
      </w:r>
    </w:p>
    <w:p>
      <w:pPr>
        <w:pStyle w:val="style0"/>
        <w:spacing w:after="200" w:lineRule="auto" w:line="300"/>
        <w:ind w:left="400" w:hanging="400"/>
        <w:jc w:val="left"/>
        <w:rPr/>
      </w:pPr>
      <w:r>
        <w:rPr>
          <w:rFonts w:ascii="Times New Roman" w:cs="Times New Roman" w:eastAsia="Times New Roman" w:hAnsi="Times New Roman"/>
          <w:sz w:val="22"/>
          <w:szCs w:val="22"/>
        </w:rPr>
        <w:t>Ehwarieme, W., &amp; Umukoro, N. (2015). Civil society and terrorism in Nigeria: a study of the Boko Haram crisis. Available at: https://go.gale.com/ps/anonymous?id=GALE%7CA430168223</w:t>
      </w:r>
    </w:p>
    <w:p>
      <w:pPr>
        <w:pStyle w:val="style0"/>
        <w:spacing w:after="200" w:lineRule="auto" w:line="300"/>
        <w:ind w:left="400" w:hanging="400"/>
        <w:jc w:val="left"/>
        <w:rPr/>
      </w:pPr>
      <w:r>
        <w:rPr>
          <w:rFonts w:ascii="Times New Roman" w:cs="Times New Roman" w:eastAsia="Times New Roman" w:hAnsi="Times New Roman"/>
          <w:sz w:val="22"/>
          <w:szCs w:val="22"/>
        </w:rPr>
        <w:t>Emmanuel, J., Yusufari, A. G., &amp; Chuga, J. F. (2025). Impact of Boko Haram Insurgency on Governance and Socio-Economic Development in Borno State, Nigeria. International Journal of Education, Culture, and Society. Available at: https://ejournal.yasin-alsys.org/IJECS/article/view/5573</w:t>
      </w:r>
    </w:p>
    <w:p>
      <w:pPr>
        <w:pStyle w:val="style0"/>
        <w:spacing w:after="200" w:lineRule="auto" w:line="300"/>
        <w:ind w:left="400" w:hanging="400"/>
        <w:jc w:val="left"/>
        <w:rPr/>
      </w:pPr>
      <w:r>
        <w:rPr>
          <w:rFonts w:ascii="Times New Roman" w:cs="Times New Roman" w:eastAsia="Times New Roman" w:hAnsi="Times New Roman"/>
          <w:sz w:val="22"/>
          <w:szCs w:val="22"/>
        </w:rPr>
        <w:t>Esse, U. C., Fagbohun, M. O., Youngharry, I., Furfuri, I. M. M., Ilo, P. I., &amp; Omeje, M. (2022). Public libraries in danger: an investigation into disaster management readiness among public libraries in North West Nigeria. Biblios, (84), 13–31. https://doi.org/10.5195/biblios.2022.1022</w:t>
      </w:r>
    </w:p>
    <w:p>
      <w:pPr>
        <w:pStyle w:val="style0"/>
        <w:spacing w:after="200" w:lineRule="auto" w:line="300"/>
        <w:ind w:left="400" w:hanging="400"/>
        <w:jc w:val="left"/>
        <w:rPr/>
      </w:pPr>
      <w:r>
        <w:rPr>
          <w:rFonts w:ascii="Times New Roman" w:cs="Times New Roman" w:eastAsia="Times New Roman" w:hAnsi="Times New Roman"/>
          <w:sz w:val="22"/>
          <w:szCs w:val="22"/>
        </w:rPr>
        <w:t>Garnett, J. (2019). Academic libraries - changing the approach: resilience building against disruptive events and contribution to Disaster Risk Reduction Framework. https://doi.org/10.1080/13614533.2019.1703767</w:t>
      </w:r>
    </w:p>
    <w:p>
      <w:pPr>
        <w:pStyle w:val="style0"/>
        <w:spacing w:after="200" w:lineRule="auto" w:line="300"/>
        <w:ind w:left="400" w:hanging="400"/>
        <w:jc w:val="left"/>
        <w:rPr/>
      </w:pPr>
      <w:r>
        <w:rPr>
          <w:rFonts w:ascii="Times New Roman" w:cs="Times New Roman" w:eastAsia="Times New Roman" w:hAnsi="Times New Roman"/>
          <w:sz w:val="22"/>
          <w:szCs w:val="22"/>
        </w:rPr>
        <w:t>Global Terrorism Index (2023). Annual report ranking nations by terrorist activity. Institute for Economics and Peace (IEP). Available at: https://www.visionofhumanity.org/wp-content/uploads/2023/03/GTI-2023-web-170423.pdf</w:t>
      </w:r>
    </w:p>
    <w:p>
      <w:pPr>
        <w:pStyle w:val="style0"/>
        <w:spacing w:after="200" w:lineRule="auto" w:line="300"/>
        <w:ind w:left="400" w:hanging="400"/>
        <w:jc w:val="left"/>
        <w:rPr/>
      </w:pPr>
      <w:r>
        <w:rPr>
          <w:rFonts w:ascii="Times New Roman" w:cs="Times New Roman" w:eastAsia="Times New Roman" w:hAnsi="Times New Roman"/>
          <w:sz w:val="22"/>
          <w:szCs w:val="22"/>
        </w:rPr>
        <w:t>Impacts of Boko Haram Insurgency on Educational Infrastructure and Facilities in North-East Nigeria (2024). Global Journal of Arts Humanity and Social Sciences. Available at: https://www.researchgate.net/publication/381322988</w:t>
      </w:r>
    </w:p>
    <w:p>
      <w:pPr>
        <w:pStyle w:val="style0"/>
        <w:spacing w:after="200" w:lineRule="auto" w:line="300"/>
        <w:ind w:left="400" w:hanging="400"/>
        <w:jc w:val="left"/>
        <w:rPr/>
      </w:pPr>
      <w:r>
        <w:rPr>
          <w:rFonts w:ascii="Times New Roman" w:cs="Times New Roman" w:eastAsia="Times New Roman" w:hAnsi="Times New Roman"/>
          <w:sz w:val="22"/>
          <w:szCs w:val="22"/>
        </w:rPr>
        <w:t>Iroeze, P. C. (2021). Level of disaster management preparedness by library staff in academic libraries: The experience of academic libraries in South Eastern State, Nigeria. Library Philosophy and Practice. Available at: https://digitalcommons.unl.edu/libphilprac/6689</w:t>
      </w:r>
    </w:p>
    <w:p>
      <w:pPr>
        <w:pStyle w:val="style0"/>
        <w:spacing w:after="200" w:lineRule="auto" w:line="300"/>
        <w:ind w:left="400" w:hanging="400"/>
        <w:jc w:val="left"/>
        <w:rPr/>
      </w:pPr>
      <w:r>
        <w:rPr>
          <w:rFonts w:ascii="Times New Roman" w:cs="Times New Roman" w:eastAsia="Times New Roman" w:hAnsi="Times New Roman"/>
          <w:sz w:val="22"/>
          <w:szCs w:val="22"/>
        </w:rPr>
        <w:t>Kostagiolas, P., Araka, I., Theodorou, R., &amp; Bokos, G. (2011). Disaster management approaches for academic libraries: an issue not to be neglected in Greece. Library Management, 32(8/9), 516–530. https://doi.org/10.1108/01435121111187888</w:t>
      </w:r>
    </w:p>
    <w:p>
      <w:pPr>
        <w:pStyle w:val="style0"/>
        <w:spacing w:after="200" w:lineRule="auto" w:line="300"/>
        <w:ind w:left="400" w:hanging="400"/>
        <w:jc w:val="left"/>
        <w:rPr/>
      </w:pPr>
      <w:r>
        <w:rPr>
          <w:rFonts w:ascii="Times New Roman" w:cs="Times New Roman" w:eastAsia="Times New Roman" w:hAnsi="Times New Roman"/>
          <w:sz w:val="22"/>
          <w:szCs w:val="22"/>
        </w:rPr>
        <w:t>Level of Preparedness for Prevention against Terrorism in Libraries: Implications for Librarians in Nigeria (2016). Available at: https://www.researchgate.net/publication/307610036</w:t>
      </w:r>
    </w:p>
    <w:p>
      <w:pPr>
        <w:pStyle w:val="style0"/>
        <w:spacing w:after="200" w:lineRule="auto" w:line="300"/>
        <w:ind w:left="400" w:hanging="400"/>
        <w:jc w:val="left"/>
        <w:rPr/>
      </w:pPr>
      <w:r>
        <w:rPr>
          <w:rFonts w:ascii="Times New Roman" w:cs="Times New Roman" w:eastAsia="Times New Roman" w:hAnsi="Times New Roman"/>
          <w:sz w:val="22"/>
          <w:szCs w:val="22"/>
        </w:rPr>
        <w:t>Library Services to Internally Displaced Persons (IDPs): Strategies for a More Proactive Approach by Public Libraries in Nigeria. Available at: https://www.researchgate.net/publication/297736703</w:t>
      </w:r>
    </w:p>
    <w:p>
      <w:pPr>
        <w:pStyle w:val="style0"/>
        <w:spacing w:after="200" w:lineRule="auto" w:line="300"/>
        <w:ind w:left="400" w:hanging="400"/>
        <w:jc w:val="left"/>
        <w:rPr/>
      </w:pPr>
      <w:r>
        <w:rPr>
          <w:rFonts w:ascii="Times New Roman" w:cs="Times New Roman" w:eastAsia="Times New Roman" w:hAnsi="Times New Roman"/>
          <w:sz w:val="22"/>
          <w:szCs w:val="22"/>
        </w:rPr>
        <w:t>Mngutyô, J., Angbande, D. P., &amp; Gbuushi, J. A. (2020). Engaging the government in library services for sustainable national development: the case of public library and information systems in Nigeria. International Journal of Research and Innovation in Social Science, 4(9), 70–74.</w:t>
      </w:r>
    </w:p>
    <w:p>
      <w:pPr>
        <w:pStyle w:val="style0"/>
        <w:spacing w:after="200" w:lineRule="auto" w:line="300"/>
        <w:ind w:left="400" w:hanging="400"/>
        <w:jc w:val="left"/>
        <w:rPr/>
      </w:pPr>
      <w:r>
        <w:rPr>
          <w:rFonts w:ascii="Times New Roman" w:cs="Times New Roman" w:eastAsia="Times New Roman" w:hAnsi="Times New Roman"/>
          <w:sz w:val="22"/>
          <w:szCs w:val="22"/>
        </w:rPr>
        <w:t>Nwokedi, G. I., Panle, P. P., &amp; Samuel, N. (2017). Disaster management and preparedness: a case study of University of Jos Library. Library Philosophy &amp; Practice, 1–23.</w:t>
      </w:r>
    </w:p>
    <w:p>
      <w:pPr>
        <w:pStyle w:val="style0"/>
        <w:spacing w:after="200" w:lineRule="auto" w:line="300"/>
        <w:ind w:left="400" w:hanging="400"/>
        <w:jc w:val="left"/>
        <w:rPr/>
      </w:pPr>
      <w:r>
        <w:rPr>
          <w:rFonts w:ascii="Times New Roman" w:cs="Times New Roman" w:eastAsia="Times New Roman" w:hAnsi="Times New Roman"/>
          <w:sz w:val="22"/>
          <w:szCs w:val="22"/>
        </w:rPr>
        <w:t>Ogugua, U. J., &amp; Ikeagwuani, J. A. (2024). Combating Terrorism to Promote National Security in Nigeria: Libraries. Library Philosophy and Practice. Available at: https://digitalcommons.unl.edu/libphilprac/8185/</w:t>
      </w:r>
    </w:p>
    <w:p>
      <w:pPr>
        <w:pStyle w:val="style0"/>
        <w:spacing w:after="200" w:lineRule="auto" w:line="300"/>
        <w:ind w:left="400" w:hanging="400"/>
        <w:jc w:val="left"/>
        <w:rPr/>
      </w:pPr>
      <w:r>
        <w:rPr>
          <w:rFonts w:ascii="Times New Roman" w:cs="Times New Roman" w:eastAsia="Times New Roman" w:hAnsi="Times New Roman"/>
          <w:sz w:val="22"/>
          <w:szCs w:val="22"/>
        </w:rPr>
        <w:t>Ossai-Ugbah, N. B. (2013). The role of the library and librarians in promoting national security in Nigeria. Academic Journal of Interdisciplinary Studies, 2(2), 99. https://doi.org/10.5901/ajis.2013.v2n2p99</w:t>
      </w:r>
    </w:p>
    <w:p>
      <w:pPr>
        <w:pStyle w:val="style0"/>
        <w:spacing w:after="200" w:lineRule="auto" w:line="300"/>
        <w:ind w:left="400" w:hanging="400"/>
        <w:jc w:val="left"/>
        <w:rPr/>
      </w:pPr>
      <w:r>
        <w:rPr>
          <w:rFonts w:ascii="Times New Roman" w:cs="Times New Roman" w:eastAsia="Times New Roman" w:hAnsi="Times New Roman"/>
          <w:sz w:val="22"/>
          <w:szCs w:val="22"/>
        </w:rPr>
        <w:t>United Nations Development Programme (UNDP) (1994). Human Development Report 1994: New Dimensions of Human Security. New York: Oxford University Press.</w:t>
      </w:r>
    </w:p>
    <w:sectPr>
      <w:pgSz w:w="12240" w:h="15840" w:orient="portrait"/>
      <w:pgMar w:top="1440" w:right="1440" w:bottom="1440" w:left="1440" w:header="708" w:footer="708"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5"/>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pPrDefault>
  </w:docDefaults>
  <w:style w:type="paragraph" w:styleId="style62">
    <w:name w:val="Title"/>
    <w:next w:val="style62"/>
    <w:qFormat/>
    <w:pPr/>
    <w:rPr>
      <w:sz w:val="56"/>
      <w:szCs w:val="56"/>
    </w:rPr>
  </w:style>
  <w:style w:type="paragraph" w:customStyle="1" w:styleId="style4097">
    <w:name w:val="Heading 1"/>
    <w:next w:val="style4097"/>
    <w:qFormat/>
    <w:pPr/>
    <w:rPr>
      <w:color w:val="2e74b5"/>
      <w:sz w:val="32"/>
      <w:szCs w:val="32"/>
    </w:rPr>
  </w:style>
  <w:style w:type="paragraph" w:customStyle="1" w:styleId="style4098">
    <w:name w:val="Heading 2"/>
    <w:next w:val="style4098"/>
    <w:qFormat/>
    <w:pPr/>
    <w:rPr>
      <w:color w:val="2e74b5"/>
      <w:sz w:val="26"/>
      <w:szCs w:val="26"/>
    </w:rPr>
  </w:style>
  <w:style w:type="paragraph" w:customStyle="1" w:styleId="style4099">
    <w:name w:val="Heading 3"/>
    <w:next w:val="style4099"/>
    <w:qFormat/>
    <w:pPr/>
    <w:rPr>
      <w:color w:val="1f4d78"/>
      <w:sz w:val="24"/>
      <w:szCs w:val="24"/>
    </w:rPr>
  </w:style>
  <w:style w:type="paragraph" w:customStyle="1" w:styleId="style4100">
    <w:name w:val="Heading 4"/>
    <w:next w:val="style4100"/>
    <w:qFormat/>
    <w:pPr/>
    <w:rPr>
      <w:i/>
      <w:iCs/>
      <w:color w:val="2e74b5"/>
    </w:rPr>
  </w:style>
  <w:style w:type="paragraph" w:customStyle="1" w:styleId="style4101">
    <w:name w:val="Heading 5"/>
    <w:next w:val="style4101"/>
    <w:qFormat/>
    <w:pPr/>
    <w:rPr>
      <w:color w:val="2e74b5"/>
    </w:rPr>
  </w:style>
  <w:style w:type="paragraph" w:customStyle="1" w:styleId="style4102">
    <w:name w:val="Heading 6"/>
    <w:next w:val="style4102"/>
    <w:qFormat/>
    <w:pPr/>
    <w:rPr>
      <w:color w:val="1f4d78"/>
    </w:rPr>
  </w:style>
  <w:style w:type="paragraph" w:customStyle="1" w:styleId="style4103">
    <w:name w:val="Strong_7fa0d2e9-0267-44c4-b8bf-7e33c233e67a"/>
    <w:next w:val="style4103"/>
    <w:qFormat/>
    <w:pPr/>
    <w:rPr>
      <w:b/>
      <w:bCs/>
    </w:rPr>
  </w:style>
  <w:style w:type="paragraph" w:styleId="style179">
    <w:name w:val="List Paragraph"/>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104"/>
    <w:uiPriority w:val="99"/>
    <w:pPr>
      <w:spacing w:after="0" w:lineRule="auto" w:line="240"/>
    </w:pPr>
    <w:rPr>
      <w:sz w:val="20"/>
      <w:szCs w:val="20"/>
    </w:rPr>
  </w:style>
  <w:style w:type="character" w:customStyle="1" w:styleId="style4104">
    <w:name w:val="Footnote Text Char"/>
    <w:next w:val="style4104"/>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105"/>
    <w:uiPriority w:val="99"/>
    <w:pPr>
      <w:spacing w:after="0" w:lineRule="auto" w:line="240"/>
    </w:pPr>
    <w:rPr>
      <w:sz w:val="20"/>
      <w:szCs w:val="20"/>
    </w:rPr>
  </w:style>
  <w:style w:type="character" w:customStyle="1" w:styleId="style4105">
    <w:name w:val="Endnote Text Char"/>
    <w:next w:val="style4105"/>
    <w:link w:val="style43"/>
    <w:uiPriority w:val="99"/>
    <w:rPr>
      <w:sz w:val="20"/>
      <w:szCs w:val="20"/>
    </w:rPr>
  </w:style>
  <w:style w:type="paragraph" w:default="1" w:styleId="style0">
    <w:name w:val="Normal"/>
    <w:next w:val="style0"/>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3806</Words>
  <Characters>25246</Characters>
  <Application>WPS Office</Application>
  <Paragraphs>73</Paragraphs>
  <CharactersWithSpaces>28996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2026-08-03T11:12:20Z</dcterms:created>
  <dc:creator>Un-named</dc:creator>
  <lastModifiedBy>SM-A135F</lastModifiedBy>
  <dcterms:modified xsi:type="dcterms:W3CDTF">2026-10-11T18:17:29Z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edf725ce71ad4aa184ad45c136a80338</vt:lpwstr>
  </property>
</Properties>
</file>