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CA0" w:rsidRDefault="00253119">
      <w:pPr>
        <w:spacing w:after="60"/>
        <w:jc w:val="center"/>
      </w:pPr>
      <w:bookmarkStart w:id="0" w:name="_GoBack"/>
      <w:bookmarkEnd w:id="0"/>
      <w:r>
        <w:rPr>
          <w:b/>
        </w:rPr>
        <w:t>MATERNAL AND CAREGIVER NUTRITION KNOWLEDGE, FEEDING PRACTICES AND UNDER-FIVE NUTRITIONAL STATUS IN RURAL AND URBAN HEALTH FACILITIES IN GOMBE LGA, NIGERIA</w:t>
      </w:r>
    </w:p>
    <w:p w:rsidR="00576CA0" w:rsidRDefault="00253119">
      <w:pPr>
        <w:keepNext/>
        <w:spacing w:before="60"/>
      </w:pPr>
      <w:r>
        <w:rPr>
          <w:b/>
        </w:rPr>
        <w:t>Abstract</w:t>
      </w:r>
    </w:p>
    <w:p w:rsidR="00576CA0" w:rsidRDefault="00253119">
      <w:pPr>
        <w:jc w:val="both"/>
      </w:pPr>
      <w:r>
        <w:t xml:space="preserve">This study comparatively examined maternal and caregiver nutrition knowledge, feeding </w:t>
      </w:r>
      <w:r>
        <w:t>practices and the nutritional status of children under five years attending selected rural and urban health facilities in Gombe Local Government Area, Gombe State, Nigeria. A facility-based cross-sectional survey was undertaken among 176 mothers and caregi</w:t>
      </w:r>
      <w:r>
        <w:t>vers selected from two urban and two rural primary health facilities. Data were generated through a structured questionnaire and anthropometric assessment and analysed using descriptive statistics and Pearson chi-square tests at the 0.05 significance level</w:t>
      </w:r>
      <w:r>
        <w:t>. Although 91.0% of respondents recognised the importance of breastfeeding initiation within the first hour after birth, only 42.0% demonstrated adequate knowledge of exclusive breastfeeding and 43.2% showed adequate knowledge of colostrum. Urban responden</w:t>
      </w:r>
      <w:r>
        <w:t>ts consistently exhibited stronger knowledge and practice profiles, especially concerning colostrum, bottle hygiene and handwashing. Anthropometric findings were disquieting: 62.5% of the children were underweight, while 21.0% were stunted and 10.2% were s</w:t>
      </w:r>
      <w:r>
        <w:t>everely stunted. Caregiver age, educational attainment, employment, marital status and household income were significantly associated with nutrition knowledge and practices, while age, education and income were also associated with child nutritional status</w:t>
      </w:r>
      <w:r>
        <w:t>. The evidence demonstrates that informational deficits coexist with structural deprivation, thereby rendering nutrition education necessary but insufficient when implemented in isolation. The study recommends context-responsive nutrition literacy, strengt</w:t>
      </w:r>
      <w:r>
        <w:t>hened rural outreach, household food-security support, intensified growth monitoring and culturally competent counselling that incorporates fathers, grandmothers and other influential household actors.</w:t>
      </w:r>
    </w:p>
    <w:p w:rsidR="00576CA0" w:rsidRDefault="00253119">
      <w:pPr>
        <w:spacing w:before="40"/>
      </w:pPr>
      <w:r>
        <w:rPr>
          <w:b/>
        </w:rPr>
        <w:t xml:space="preserve">Keywords: </w:t>
      </w:r>
      <w:r>
        <w:t>caregiver nutrition literacy; child malnutri</w:t>
      </w:r>
      <w:r>
        <w:t>tion; feeding practices; Gombe LGA; rural–urban inequality</w:t>
      </w:r>
    </w:p>
    <w:p w:rsidR="00576CA0" w:rsidRDefault="00253119">
      <w:pPr>
        <w:keepNext/>
        <w:spacing w:before="60"/>
      </w:pPr>
      <w:r>
        <w:rPr>
          <w:b/>
        </w:rPr>
        <w:t>1. Introduction</w:t>
      </w:r>
    </w:p>
    <w:p w:rsidR="00576CA0" w:rsidRDefault="00253119">
      <w:pPr>
        <w:ind w:firstLine="432"/>
        <w:jc w:val="both"/>
      </w:pPr>
      <w:r>
        <w:t>The nutritional condition of children in the first five years of life is a sentinel indicator of population health, social protection and the distributive capacity of food and healt</w:t>
      </w:r>
      <w:r>
        <w:t>h systems. During this developmentally plastic period, inadequate dietary intake, recurrent infection and deficient caregiving can produce growth faltering, impaired immunity, attenuated neurocognitive development and enduring losses in educational and eco</w:t>
      </w:r>
      <w:r>
        <w:t>nomic potential. Contemporary nutrition scholarship therefore conceptualises child malnutrition not as a narrowly biological deficit, but as the cumulative expression of immediate dietary and disease-related causes, underlying household and service constra</w:t>
      </w:r>
      <w:r>
        <w:t>ints, and wider structural determinants such as poverty, gender relations, food environments and public policy (UNICEF, 2020; John et al., 2024).</w:t>
      </w:r>
    </w:p>
    <w:p w:rsidR="00576CA0" w:rsidRDefault="00253119">
      <w:pPr>
        <w:ind w:firstLine="432"/>
        <w:jc w:val="both"/>
      </w:pPr>
      <w:r>
        <w:lastRenderedPageBreak/>
        <w:t>The global burden remains formidable despite decades of policy attention. The 2025 Joint Child Malnutrition Es</w:t>
      </w:r>
      <w:r>
        <w:t>timates indicate that 150.2 million children under five were stunted, 42.8 million were wasted and 35.5 million were overweight in 2024, while progress towards the Sustainable Development Goal nutrition targets remains substantially inadequate (UNICEF, Wor</w:t>
      </w:r>
      <w:r>
        <w:t>ld Health Organization [WHO], &amp; World Bank Group, 2025). The coexistence of undernutrition, micronutrient inadequacy and childhood overweight has generated a complex triple burden, particularly in low- and middle-income countries where food insecurity inte</w:t>
      </w:r>
      <w:r>
        <w:t>rsects with rapidly changing food systems. UNICEF's recent child-food-poverty framework further demonstrates that dietary deprivation is not reducible to household income alone: poor food environments, social norms and suboptimal feeding behaviour also con</w:t>
      </w:r>
      <w:r>
        <w:t>strain children's access to diverse, nutrient-dense diets (UNICEF, 2024).</w:t>
      </w:r>
    </w:p>
    <w:p w:rsidR="00576CA0" w:rsidRDefault="00253119">
      <w:pPr>
        <w:ind w:firstLine="432"/>
        <w:jc w:val="both"/>
      </w:pPr>
      <w:r>
        <w:t>Nigeria carries a disproportionate share of this burden. The 2024 Nigeria Demographic and Health Survey reports persistently suboptimal infant and young child feeding indicators, inc</w:t>
      </w:r>
      <w:r>
        <w:t>luding 29% exclusive breastfeeding among infants younger than six months and only 12% minimum dietary diversity among children aged 6–23 months (National Population Commission [NPC] &amp; ICF, 2025). The urgency has intensified: UNICEF projects that approximat</w:t>
      </w:r>
      <w:r>
        <w:t>ely three million Nigerian children will require life-saving treatment for severe wasting in 2026, while contemporary programme evidence indicates that about half of under-five children in Gombe State are stunted (UNICEF, 2026a, 2026b). Recent national and</w:t>
      </w:r>
      <w:r>
        <w:t xml:space="preserve"> subnational analyses similarly show pronounced geographic inequality, with the highest concentrations of anthropometric failure occurring in northern states, including Gombe (Obasohan et al., 2024; John et al., 2024). These inequalities are produced throu</w:t>
      </w:r>
      <w:r>
        <w:t>gh interacting disadvantages in maternal education, household purchasing power, service utilisation, food availability, sanitation, disease exposure and women's decision-making autonomy.</w:t>
      </w:r>
    </w:p>
    <w:p w:rsidR="00576CA0" w:rsidRDefault="00253119">
      <w:pPr>
        <w:ind w:firstLine="432"/>
        <w:jc w:val="both"/>
      </w:pPr>
      <w:r>
        <w:t>Caregiver knowledge is indispensable because mothers and other househ</w:t>
      </w:r>
      <w:r>
        <w:t>old caregivers determine breastfeeding, complementary feeding, food preparation, meal frequency, hygiene and care-seeking. Nevertheless, evidence increasingly cautions against equating knowledge with practicable capability. Nigerian studies have shown that</w:t>
      </w:r>
      <w:r>
        <w:t xml:space="preserve"> mothers may understand recommended feeding principles while remaining unable to operationalise them because of food insecurity, precarious employment, cultural prescriptions, weak social support or limited access to health services (Schnefke et al., 2023;</w:t>
      </w:r>
      <w:r>
        <w:t xml:space="preserve"> Flax et al., 2025; Ogunniyi &amp; Okoye, 2025). Consequently, rigorous assessment must interrogate both cognitive competence and the structural conditions that enable or frustrate its translation into practice.</w:t>
      </w:r>
    </w:p>
    <w:p w:rsidR="00576CA0" w:rsidRDefault="00253119">
      <w:pPr>
        <w:ind w:firstLine="432"/>
        <w:jc w:val="both"/>
      </w:pPr>
      <w:r>
        <w:t>Gombe Local Government Area presents an analytic</w:t>
      </w:r>
      <w:r>
        <w:t>ally important context because it contains densely populated urban communities alongside rural settlements with divergent access to education, income opportunities, health facilities and nutrition information. Yet locally differentiated evidence on caregiv</w:t>
      </w:r>
      <w:r>
        <w:t>ers' knowledge, feeding behaviour and child anthropometric outcomes remains insufficient. Without such evidence, interventions risk adopting generic messaging that obscures intra-locality inequalities and fails to identify the populations requiring the mos</w:t>
      </w:r>
      <w:r>
        <w:t xml:space="preserve">t intensive support. This study </w:t>
      </w:r>
      <w:r>
        <w:lastRenderedPageBreak/>
        <w:t>therefore compares rural and urban health-facility users in Gombe LGA and examines the socio-demographic correlates of nutrition knowledge, practices and child nutritional status.</w:t>
      </w:r>
    </w:p>
    <w:p w:rsidR="00576CA0" w:rsidRDefault="00253119">
      <w:pPr>
        <w:keepNext/>
        <w:spacing w:before="20"/>
      </w:pPr>
      <w:r>
        <w:rPr>
          <w:b/>
        </w:rPr>
        <w:t>1.1 Statement of the problem</w:t>
      </w:r>
    </w:p>
    <w:p w:rsidR="00576CA0" w:rsidRDefault="00253119">
      <w:pPr>
        <w:ind w:firstLine="432"/>
        <w:jc w:val="both"/>
      </w:pPr>
      <w:r>
        <w:t>Despite extensi</w:t>
      </w:r>
      <w:r>
        <w:t>ve public-health advocacy, the nutritional circumstances of many Nigerian children remain precarious. National averages conceal severe state-level and rural–urban disparities, while facility-based nutrition counselling often concentrates on information tra</w:t>
      </w:r>
      <w:r>
        <w:t xml:space="preserve">nsmission without adequately confronting the material and social constraints that shape household feeding decisions. In the source study, caregivers displayed high awareness of early breastfeeding initiation but substantially weaker knowledge of exclusive </w:t>
      </w:r>
      <w:r>
        <w:t>breastfeeding, colostrum and balanced dietary composition. The simultaneous observation of widespread underweight and stunting suggests that health information has not been consistently converted into nutritionally protective behaviour.</w:t>
      </w:r>
    </w:p>
    <w:p w:rsidR="00576CA0" w:rsidRDefault="00253119">
      <w:pPr>
        <w:ind w:firstLine="432"/>
        <w:jc w:val="both"/>
      </w:pPr>
      <w:r>
        <w:t>The problem is ther</w:t>
      </w:r>
      <w:r>
        <w:t>efore twofold. First, the content and distribution of caregiver knowledge are uneven, especially between urban and rural settings. Second, feeding practices and child outcomes are embedded in socio-economic conditions that cannot be remedied through counse</w:t>
      </w:r>
      <w:r>
        <w:t>lling alone. A comparative appraisal is required to determine where knowledge deficits are most pronounced, whether practices correspond with knowledge, and which caregiver characteristics are statistically associated with these outcomes.</w:t>
      </w:r>
    </w:p>
    <w:p w:rsidR="00576CA0" w:rsidRDefault="00253119">
      <w:pPr>
        <w:keepNext/>
        <w:spacing w:before="20"/>
      </w:pPr>
      <w:r>
        <w:rPr>
          <w:b/>
        </w:rPr>
        <w:t>1.2 Objectives of</w:t>
      </w:r>
      <w:r>
        <w:rPr>
          <w:b/>
        </w:rPr>
        <w:t xml:space="preserve"> the study</w:t>
      </w:r>
    </w:p>
    <w:p w:rsidR="00576CA0" w:rsidRDefault="00253119">
      <w:pPr>
        <w:jc w:val="both"/>
      </w:pPr>
      <w:r>
        <w:t>The principal objective was to assess maternal and caregiver nutrition knowledge, feeding practices and the nutritional status of under-five children attending selected rural and urban health facilities in Gombe LGA. Specifically, the study soug</w:t>
      </w:r>
      <w:r>
        <w:t>ht to: (i) determine respondents' knowledge of child nutrition and recommended feeding; (ii) compare selected nutrition and hygiene practices across rural and urban facilities; (iii) assess children' weight-for-age and height-for-age status; and (iv) exami</w:t>
      </w:r>
      <w:r>
        <w:t>ne associations between caregiver socio-demographic characteristics, nutrition knowledge, practices and child nutritional status.</w:t>
      </w:r>
    </w:p>
    <w:p w:rsidR="00576CA0" w:rsidRDefault="00253119">
      <w:pPr>
        <w:keepNext/>
        <w:spacing w:before="20"/>
      </w:pPr>
      <w:r>
        <w:rPr>
          <w:b/>
        </w:rPr>
        <w:t>1.3 Research hypotheses</w:t>
      </w:r>
    </w:p>
    <w:p w:rsidR="00576CA0" w:rsidRDefault="00253119">
      <w:pPr>
        <w:jc w:val="both"/>
      </w:pPr>
      <w:r>
        <w:t>H01: There is no statistically significant association between caregivers' socio-demographic character</w:t>
      </w:r>
      <w:r>
        <w:t>istics and their nutrition knowledge. H02: There is no statistically significant association between caregivers' socio-demographic characteristics and their nutrition practices. H03: There is no statistically significant association between selected caregi</w:t>
      </w:r>
      <w:r>
        <w:t>ver socio-demographic characteristics and the nutritional status of under-five children.</w:t>
      </w:r>
    </w:p>
    <w:p w:rsidR="00576CA0" w:rsidRDefault="00253119">
      <w:pPr>
        <w:keepNext/>
        <w:spacing w:before="20"/>
      </w:pPr>
      <w:r>
        <w:rPr>
          <w:b/>
        </w:rPr>
        <w:t>1.4 Significance of the study</w:t>
      </w:r>
    </w:p>
    <w:p w:rsidR="00576CA0" w:rsidRDefault="00253119">
      <w:pPr>
        <w:ind w:firstLine="432"/>
        <w:jc w:val="both"/>
      </w:pPr>
      <w:r>
        <w:t xml:space="preserve">The study provides local evidence for primary-health-care managers, nutrition programme planners, community health extension workers and </w:t>
      </w:r>
      <w:r>
        <w:t xml:space="preserve">policy actors seeking to reduce under-five malnutrition in Gombe State. By disaggregating findings across rural and urban facilities, it identifies where routine counselling, outreach and social-protection measures require sharper targeting. The </w:t>
      </w:r>
      <w:r>
        <w:lastRenderedPageBreak/>
        <w:t>analysis a</w:t>
      </w:r>
      <w:r>
        <w:t>lso contributes to the Nigerian literature on the knowledge–practice discontinuity by demonstrating that caregiver cognition, household resources and health-service exposure operate as interdependent determinants rather than isolated influences.</w:t>
      </w:r>
    </w:p>
    <w:p w:rsidR="00576CA0" w:rsidRDefault="00253119">
      <w:pPr>
        <w:keepNext/>
        <w:spacing w:before="60"/>
      </w:pPr>
      <w:r>
        <w:rPr>
          <w:b/>
        </w:rPr>
        <w:t>2. Literat</w:t>
      </w:r>
      <w:r>
        <w:rPr>
          <w:b/>
        </w:rPr>
        <w:t>ure review</w:t>
      </w:r>
    </w:p>
    <w:p w:rsidR="00576CA0" w:rsidRDefault="00253119">
      <w:pPr>
        <w:keepNext/>
        <w:spacing w:before="20"/>
      </w:pPr>
      <w:r>
        <w:rPr>
          <w:b/>
        </w:rPr>
        <w:t>2.1 Contemporary conceptualisation of under-five nutritional status</w:t>
      </w:r>
    </w:p>
    <w:p w:rsidR="00576CA0" w:rsidRDefault="00253119">
      <w:pPr>
        <w:ind w:firstLine="432"/>
        <w:jc w:val="both"/>
      </w:pPr>
      <w:r>
        <w:t xml:space="preserve">Nutritional status denotes the physiological outcome of nutrient intake, absorption, utilisation, disease exposure and care. In population studies, under-five undernutrition is </w:t>
      </w:r>
      <w:r>
        <w:t>commonly operationalised through anthropometric indices derived from the WHO Child Growth Standards. Stunting, defined as height-for-age below minus two standard deviations from the reference median, reflects cumulative or chronic deprivation; wasting, def</w:t>
      </w:r>
      <w:r>
        <w:t>ined by low weight-for-height, captures acute weight loss or failure to gain weight; and underweight, defined by low weight-for-age, is a composite indicator influenced by both chronic and acute processes. Severe forms fall below minus three standard devia</w:t>
      </w:r>
      <w:r>
        <w:t>tions (WHO, 2023a).</w:t>
      </w:r>
    </w:p>
    <w:p w:rsidR="00576CA0" w:rsidRDefault="00253119">
      <w:pPr>
        <w:ind w:firstLine="432"/>
        <w:jc w:val="both"/>
      </w:pPr>
      <w:r>
        <w:t>Although anthropometry is indispensable for surveillance, it does not by itself disclose the causal pathways producing growth failure. UNICEF's Conceptual Framework on the Determinants of Maternal and Child Nutrition locates immediate d</w:t>
      </w:r>
      <w:r>
        <w:t xml:space="preserve">eterminants—diets and care—within broader domains of food, practices and services, all conditioned by governance, resources, norms and environmental circumstances (UNICEF, 2020). This formulation is especially apposite in northern Nigeria, where household </w:t>
      </w:r>
      <w:r>
        <w:t>poverty, food-price volatility, seasonal livelihood insecurity, gendered decision-making and uneven service coverage frequently converge. Recent spatial analysis identifies Gombe among the northern states with elevated composite anthropometric failure, rei</w:t>
      </w:r>
      <w:r>
        <w:t>nforcing the importance of locally calibrated interventions (Obasohan et al., 2024).</w:t>
      </w:r>
    </w:p>
    <w:p w:rsidR="00576CA0" w:rsidRDefault="00253119">
      <w:pPr>
        <w:ind w:firstLine="432"/>
        <w:jc w:val="both"/>
      </w:pPr>
      <w:r>
        <w:t>The developmental implications of chronic undernutrition are profound. Growth faltering during the first 1,000 days is associated with impaired cognitive development, weak</w:t>
      </w:r>
      <w:r>
        <w:t>er school attainment, reduced adult productivity and heightened vulnerability to infection. At the same time, emerging overweight in food-insecure environments illustrates that malnutrition encompasses both deficiency and excess. Effective programming must</w:t>
      </w:r>
      <w:r>
        <w:t xml:space="preserve"> therefore prioritise diet quality and responsive care rather than caloric sufficiency alone.</w:t>
      </w:r>
    </w:p>
    <w:p w:rsidR="00576CA0" w:rsidRDefault="00253119">
      <w:pPr>
        <w:keepNext/>
        <w:spacing w:before="20"/>
      </w:pPr>
      <w:r>
        <w:rPr>
          <w:b/>
        </w:rPr>
        <w:t>2.2 Breastfeeding, complementary feeding and dietary diversity</w:t>
      </w:r>
    </w:p>
    <w:p w:rsidR="00576CA0" w:rsidRDefault="00253119">
      <w:pPr>
        <w:ind w:firstLine="432"/>
        <w:jc w:val="both"/>
      </w:pPr>
      <w:r>
        <w:t xml:space="preserve">WHO and UNICEF recommend initiation of breastfeeding within the first hour after birth, exclusive </w:t>
      </w:r>
      <w:r>
        <w:t>breastfeeding for the first six months, and continued breastfeeding alongside nutritionally adequate and safe complementary foods from six months to two years or beyond (WHO &amp; UNICEF, 2021; WHO, 2023b). Complementary feeding should be timely, developmental</w:t>
      </w:r>
      <w:r>
        <w:t>ly appropriate, sufficiently frequent and diverse, and practised responsively. The updated minimum dietary diversity indicator requires consumption from at least five of eight food groups during the preceding day for children aged 6–23 months.</w:t>
      </w:r>
    </w:p>
    <w:p w:rsidR="00576CA0" w:rsidRDefault="00253119">
      <w:pPr>
        <w:ind w:firstLine="432"/>
        <w:jc w:val="both"/>
      </w:pPr>
      <w:r>
        <w:lastRenderedPageBreak/>
        <w:t>Nigeria's re</w:t>
      </w:r>
      <w:r>
        <w:t>cent national indicators remain below desirable thresholds. Flax et al. (2025) reported that maternal knowledge, beliefs, self-efficacy, health-worker contact, antenatal attendance, household food security and social support predicted different feeding out</w:t>
      </w:r>
      <w:r>
        <w:t>comes in Kaduna and Lagos, underscoring the contextual variability of infant and young child feeding. Their findings are pertinent to Gombe because they demonstrate that behavioural determinants interact with state-specific structural conditions rather tha</w:t>
      </w:r>
      <w:r>
        <w:t>n exerting uniform effects. Similarly, Schnefke et al. (2023) found that fathers and grandmothers can either reinforce or obstruct recommended breastfeeding and dietary-diversity practices, especially where water supplementation, prelacteal feeding or cult</w:t>
      </w:r>
      <w:r>
        <w:t>urally inherited food restrictions remain normative.</w:t>
      </w:r>
    </w:p>
    <w:p w:rsidR="00576CA0" w:rsidRDefault="00253119">
      <w:pPr>
        <w:ind w:firstLine="432"/>
        <w:jc w:val="both"/>
      </w:pPr>
      <w:r>
        <w:t xml:space="preserve">Comparative evidence from Ibadan likewise demonstrates rural–urban differences in exclusive breastfeeding and anthropometric outcomes even within a single local-government setting (Bakare et al., 2023). </w:t>
      </w:r>
      <w:r>
        <w:t>More recent Nigerian research reveals that adequate nutrition knowledge may coexist with severe household food insecurity and suboptimal dietary diversity, indicating that information is not synonymous with feasible dietary choice (Ogunniyi &amp; Okoye, 2025).</w:t>
      </w:r>
      <w:r>
        <w:t xml:space="preserve"> Thus, caregiver education must be integrated with interventions addressing affordability, access and household decision-making.</w:t>
      </w:r>
    </w:p>
    <w:p w:rsidR="00576CA0" w:rsidRDefault="00253119">
      <w:pPr>
        <w:keepNext/>
        <w:spacing w:before="20"/>
      </w:pPr>
      <w:r>
        <w:rPr>
          <w:b/>
        </w:rPr>
        <w:t>2.3 Maternal education, household resources and health-service exposure</w:t>
      </w:r>
    </w:p>
    <w:p w:rsidR="00576CA0" w:rsidRDefault="00253119">
      <w:pPr>
        <w:ind w:firstLine="432"/>
        <w:jc w:val="both"/>
      </w:pPr>
      <w:r>
        <w:t>Maternal education is repeatedly associated with improv</w:t>
      </w:r>
      <w:r>
        <w:t>ed child feeding, timely service utilisation and lower risks of anthropometric failure. Education can enhance comprehension of counselling, confidence in navigating health systems, receptivity to evidence-based recommendations and capacity to negotiate hou</w:t>
      </w:r>
      <w:r>
        <w:t xml:space="preserve">sehold resources. Lawal et al. (2024), using nationally representative Nigerian data, found that children of mothers without formal or higher education were more vulnerable to stunting and other nutritional imbalances. However, formal schooling should not </w:t>
      </w:r>
      <w:r>
        <w:t>be treated as a deterministic proxy for good practice because educated mothers may also experience employment-related time constraints, urban food-environment pressures or household food insecurity.</w:t>
      </w:r>
    </w:p>
    <w:p w:rsidR="00576CA0" w:rsidRDefault="00253119">
      <w:pPr>
        <w:ind w:firstLine="432"/>
        <w:jc w:val="both"/>
      </w:pPr>
      <w:r>
        <w:t>Household income and food security determine whether care</w:t>
      </w:r>
      <w:r>
        <w:t>givers can procure diverse foods, maintain safe water and sanitation, and seek timely treatment for childhood illness. The 2024 UNICEF report on child food poverty demonstrates that even non-poor households may provide monotonous diets when food environmen</w:t>
      </w:r>
      <w:r>
        <w:t xml:space="preserve">ts and feeding norms are unfavourable; nevertheless, severe deprivation remains concentrated among economically marginalised families (UNICEF, 2024). In Nigeria, Atoloye et al. (2024) further showed that caregiver age, education, household composition and </w:t>
      </w:r>
      <w:r>
        <w:t>perceived food-safety control were associated with elements of child nutrition and food-handling behaviour. These findings caution against individualising responsibility for malnutrition without addressing the household and community systems within which c</w:t>
      </w:r>
      <w:r>
        <w:t>aregivers act.</w:t>
      </w:r>
    </w:p>
    <w:p w:rsidR="00576CA0" w:rsidRDefault="00253119">
      <w:pPr>
        <w:ind w:firstLine="432"/>
        <w:jc w:val="both"/>
      </w:pPr>
      <w:r>
        <w:t>Contact with trained health workers can strengthen early breastfeeding, exclusive breastfeeding, complementary feeding and growth-monitoring practices. Yet facility contact is socially patterned: rural households may face distance, transport</w:t>
      </w:r>
      <w:r>
        <w:t xml:space="preserve"> cost, seasonal inaccessibility, staff shortages and limited </w:t>
      </w:r>
      <w:r>
        <w:lastRenderedPageBreak/>
        <w:t>continuity of counselling. Facility-based surveys may consequently over-represent caregivers already connected to services, while the most marginalised remain invisible. Rural outreach, community</w:t>
      </w:r>
      <w:r>
        <w:t xml:space="preserve"> platforms and repeated counselling are therefore necessary to supplement clinic-based education.</w:t>
      </w:r>
    </w:p>
    <w:p w:rsidR="00576CA0" w:rsidRDefault="00253119">
      <w:pPr>
        <w:keepNext/>
        <w:spacing w:before="20"/>
      </w:pPr>
      <w:r>
        <w:rPr>
          <w:b/>
        </w:rPr>
        <w:t>2.4 Theoretical framework</w:t>
      </w:r>
    </w:p>
    <w:p w:rsidR="00576CA0" w:rsidRDefault="00253119">
      <w:pPr>
        <w:ind w:firstLine="432"/>
        <w:jc w:val="both"/>
      </w:pPr>
      <w:r>
        <w:t>The study is interpreted through an integrated Health Belief Model and UNICEF determinants framework. The Health Belief Model propos</w:t>
      </w:r>
      <w:r>
        <w:t>es that preventive action is influenced by perceived susceptibility, perceived severity, perceived benefits, perceived barriers, cues to action and self-efficacy. Applied to child nutrition, caregivers are more likely to adopt recommended feeding when they</w:t>
      </w:r>
      <w:r>
        <w:t xml:space="preserve"> recognise the child's vulnerability to malnutrition, appreciate its consequences, believe that breastfeeding and diversified feeding are efficacious, possess confidence to implement them, and encounter credible prompts from health workers or community net</w:t>
      </w:r>
      <w:r>
        <w:t>works.</w:t>
      </w:r>
    </w:p>
    <w:p w:rsidR="00576CA0" w:rsidRDefault="00253119">
      <w:pPr>
        <w:ind w:firstLine="432"/>
        <w:jc w:val="both"/>
      </w:pPr>
      <w:r>
        <w:t>The model's principal limitation is its tendency to privilege individual cognition. Caregivers may perceive risk and value recommended actions yet lack money, food availability, time, household authority or service access. The UNICEF framework remed</w:t>
      </w:r>
      <w:r>
        <w:t>ies this limitation by situating practices within food, service and social systems. In the present study, age, education, employment, marital status and income are therefore treated as modifying and enabling conditions that shape both beliefs and behaviour</w:t>
      </w:r>
      <w:r>
        <w:t>al feasibility. This integrated interpretation prevents the erroneous conclusion that poor child outcomes are merely consequences of caregiver ignorance.</w:t>
      </w:r>
    </w:p>
    <w:p w:rsidR="00576CA0" w:rsidRDefault="00253119">
      <w:pPr>
        <w:keepNext/>
        <w:spacing w:before="60"/>
      </w:pPr>
      <w:r>
        <w:rPr>
          <w:b/>
        </w:rPr>
        <w:t>3. Methodology</w:t>
      </w:r>
    </w:p>
    <w:p w:rsidR="00576CA0" w:rsidRDefault="00253119">
      <w:pPr>
        <w:keepNext/>
        <w:spacing w:before="20"/>
      </w:pPr>
      <w:r>
        <w:rPr>
          <w:b/>
        </w:rPr>
        <w:t>3.1 Study design and setting</w:t>
      </w:r>
    </w:p>
    <w:p w:rsidR="00576CA0" w:rsidRDefault="00253119">
      <w:pPr>
        <w:ind w:firstLine="432"/>
        <w:jc w:val="both"/>
      </w:pPr>
      <w:r>
        <w:t>A comparative facility-based cross-sectional survey was co</w:t>
      </w:r>
      <w:r>
        <w:t>nducted in Gombe Local Government Area, Gombe State, north-eastern Nigeria. Gombe LGA contains urbanised communities and rural settlements characterised by heterogeneous livelihood structures, educational opportunities and access to primary health care. Fo</w:t>
      </w:r>
      <w:r>
        <w:t>ur facilities were purposively selected to ensure representation of both settings: PHCC Town Maternity and PHCC Pantami represented the urban stratum, while Jauro Abare Health Post and Sabon Gari Health Post represented the rural stratum. The design enable</w:t>
      </w:r>
      <w:r>
        <w:t>d contemporaneous assessment of caregiver knowledge, practices and child anthropometric status, although it did not permit causal inference.</w:t>
      </w:r>
    </w:p>
    <w:p w:rsidR="00576CA0" w:rsidRDefault="00253119">
      <w:pPr>
        <w:keepNext/>
        <w:spacing w:before="20"/>
      </w:pPr>
      <w:r>
        <w:rPr>
          <w:b/>
        </w:rPr>
        <w:t>3.2 Population, sample size and sampling procedure</w:t>
      </w:r>
    </w:p>
    <w:p w:rsidR="00576CA0" w:rsidRDefault="00253119">
      <w:pPr>
        <w:ind w:firstLine="432"/>
        <w:jc w:val="both"/>
      </w:pPr>
      <w:r>
        <w:t>The study population comprised mothers and other primary caregiv</w:t>
      </w:r>
      <w:r>
        <w:t>ers of children younger than five years who attended the selected facilities during the data-collection period. The Yamane sample-size expression, n = N/[1 + N(e²)], was applied to an accessible population of 313 at a 95% confidence level and 5% precision,</w:t>
      </w:r>
      <w:r>
        <w:t xml:space="preserve"> producing an initial target of approximately 250 participants. Proportional allocation and random selection were implemented across the four facilities. Of the questionnaires distributed, 176 were sufficiently complete for analysis, representing a usable </w:t>
      </w:r>
      <w:r>
        <w:t xml:space="preserve">response rate of 70.4%. The final sample was evenly divided between urban and rural facilities (88 respondents </w:t>
      </w:r>
      <w:r>
        <w:lastRenderedPageBreak/>
        <w:t>each). Eligible participants were resident caregivers of an under-five child attending the selected facilities; caregivers whose index children w</w:t>
      </w:r>
      <w:r>
        <w:t>ere aged five years or older were excluded.</w:t>
      </w:r>
    </w:p>
    <w:p w:rsidR="00576CA0" w:rsidRDefault="00253119">
      <w:pPr>
        <w:keepNext/>
        <w:spacing w:before="20"/>
      </w:pPr>
      <w:r>
        <w:rPr>
          <w:b/>
        </w:rPr>
        <w:t>3.3 Instrument, validity and data collection</w:t>
      </w:r>
    </w:p>
    <w:p w:rsidR="00576CA0" w:rsidRDefault="00253119">
      <w:pPr>
        <w:ind w:firstLine="432"/>
        <w:jc w:val="both"/>
      </w:pPr>
      <w:r>
        <w:t>Data were collected with a structured interviewer-administered questionnaire covering socio-demographic characteristics, recognition of malnutrition, knowledge of brea</w:t>
      </w:r>
      <w:r>
        <w:t>stfeeding and colostrum, perceptions of balanced diet, selected feeding and hygiene practices, and perceived nutritional complications. Anthropometric information was used to classify weight-for-age and height-for-age status. Face and content validity were</w:t>
      </w:r>
      <w:r>
        <w:t xml:space="preserve"> established through expert review, while a pilot exercise was undertaken to assess clarity and reliability. Trained research assistants administered the instrument during facility visits after informed consent had been obtained.</w:t>
      </w:r>
    </w:p>
    <w:p w:rsidR="00576CA0" w:rsidRDefault="00253119">
      <w:pPr>
        <w:keepNext/>
        <w:spacing w:before="20"/>
      </w:pPr>
      <w:r>
        <w:rPr>
          <w:b/>
        </w:rPr>
        <w:t>3.4 Measurement and analyt</w:t>
      </w:r>
      <w:r>
        <w:rPr>
          <w:b/>
        </w:rPr>
        <w:t>ical procedure</w:t>
      </w:r>
    </w:p>
    <w:p w:rsidR="00576CA0" w:rsidRDefault="00253119">
      <w:pPr>
        <w:ind w:firstLine="432"/>
        <w:jc w:val="both"/>
      </w:pPr>
      <w:r>
        <w:t>Knowledge and practice responses were categorised into good and poor levels according to the scoring procedure used in the source dataset. Anthropometric classifications followed the conventional WHO thresholds for normal status, underweight</w:t>
      </w:r>
      <w:r>
        <w:t>, stunting and severe stunting. Data were coded and analysed using IBM SPSS. Frequencies and percentages summarised categorical variables, while Pearson chi-square tests examined associations between socio-demographic characteristics and nutrition knowledg</w:t>
      </w:r>
      <w:r>
        <w:t xml:space="preserve">e, practices and child nutritional status. Statistical significance was determined at p &lt; .05. To improve interpretability, rural and urban percentages reported in the present tables were recalculated within each location (n = 88), while total percentages </w:t>
      </w:r>
      <w:r>
        <w:t>retained the full denominator of 176.</w:t>
      </w:r>
    </w:p>
    <w:p w:rsidR="00576CA0" w:rsidRDefault="00253119">
      <w:pPr>
        <w:keepNext/>
        <w:spacing w:before="20"/>
      </w:pPr>
      <w:r>
        <w:rPr>
          <w:b/>
        </w:rPr>
        <w:t>3.5 Ethical considerations</w:t>
      </w:r>
    </w:p>
    <w:p w:rsidR="00576CA0" w:rsidRDefault="00253119">
      <w:pPr>
        <w:ind w:firstLine="432"/>
        <w:jc w:val="both"/>
      </w:pPr>
      <w:r>
        <w:t xml:space="preserve">Ethical approval was obtained from the relevant institutional review structure before fieldwork. Participation was voluntary, informed consent was secured, and respondents were assured that </w:t>
      </w:r>
      <w:r>
        <w:t>their information would be treated confidentially and used exclusively for research purposes. No personally identifying information is reported in this article.</w:t>
      </w:r>
    </w:p>
    <w:p w:rsidR="00576CA0" w:rsidRDefault="00253119">
      <w:pPr>
        <w:keepNext/>
        <w:spacing w:before="60"/>
      </w:pPr>
      <w:r>
        <w:rPr>
          <w:b/>
        </w:rPr>
        <w:t>4. Results</w:t>
      </w:r>
    </w:p>
    <w:p w:rsidR="00576CA0" w:rsidRDefault="00253119">
      <w:pPr>
        <w:keepNext/>
        <w:spacing w:before="20"/>
      </w:pPr>
      <w:r>
        <w:rPr>
          <w:b/>
        </w:rPr>
        <w:t>4.1 Respondent profile</w:t>
      </w:r>
    </w:p>
    <w:p w:rsidR="00576CA0" w:rsidRDefault="00253119">
      <w:pPr>
        <w:ind w:firstLine="432"/>
        <w:jc w:val="both"/>
      </w:pPr>
      <w:r>
        <w:t>The 176 respondents were equally distributed between urban an</w:t>
      </w:r>
      <w:r>
        <w:t>d rural facilities. Caregivers aged 35–44 years constituted the modal group (44.8%), while those older than 45 years were least represented. Biological mothers comprised 93.2% of respondents, confirming that day-to-day child-feeding responsibility remained</w:t>
      </w:r>
      <w:r>
        <w:t xml:space="preserve"> overwhelmingly maternal. Educational attainment was spatially differentiated: tertiary education was substantially more prevalent among urban respondents than rural respondents. Most participants were married, and unemployment was concentrated in the rura</w:t>
      </w:r>
      <w:r>
        <w:t>l stratum. Household circumstances indicated substantial caregiving and economic pressure, including multiple under-five children in many households and generally low reported income. Female index children constituted 51.7% of the sample and males 48.3%.</w:t>
      </w:r>
    </w:p>
    <w:p w:rsidR="00576CA0" w:rsidRDefault="00253119">
      <w:pPr>
        <w:keepNext/>
        <w:spacing w:before="20"/>
      </w:pPr>
      <w:r>
        <w:rPr>
          <w:b/>
        </w:rPr>
        <w:lastRenderedPageBreak/>
        <w:t>4</w:t>
      </w:r>
      <w:r>
        <w:rPr>
          <w:b/>
        </w:rPr>
        <w:t>.2 Recognition of malnutrition and understanding of balanced diet</w:t>
      </w:r>
    </w:p>
    <w:p w:rsidR="00576CA0" w:rsidRDefault="00253119">
      <w:pPr>
        <w:ind w:firstLine="432"/>
        <w:jc w:val="both"/>
      </w:pPr>
      <w:r>
        <w:t>Weight loss was the most frequently recognised manifestation of malnutrition, identified by 107 respondents (60.8%). Stunting was identified by 31.2%, while a small proportion relied on non-</w:t>
      </w:r>
      <w:r>
        <w:t>standard descriptors such as “shrinking” or crying. Rural respondents were somewhat more likely to select weight loss, whereas urban respondents were more likely to identify stunting. These responses indicate that visible weight deterioration is more readi</w:t>
      </w:r>
      <w:r>
        <w:t>ly understood than chronic linear-growth failure.</w:t>
      </w:r>
    </w:p>
    <w:p w:rsidR="00576CA0" w:rsidRDefault="00253119">
      <w:pPr>
        <w:keepNext/>
        <w:spacing w:before="60" w:after="20" w:line="240" w:lineRule="auto"/>
        <w:jc w:val="center"/>
      </w:pPr>
      <w:r>
        <w:rPr>
          <w:b/>
          <w:sz w:val="20"/>
        </w:rPr>
        <w:t>Table 1: Caregivers’ identification of a malnourished under-five child (N = 176)</w:t>
      </w:r>
    </w:p>
    <w:tbl>
      <w:tblPr>
        <w:tblStyle w:val="TableGrid"/>
        <w:tblW w:w="0" w:type="auto"/>
        <w:jc w:val="center"/>
        <w:tblLayout w:type="fixed"/>
        <w:tblLook w:val="04A0" w:firstRow="1" w:lastRow="0" w:firstColumn="1" w:lastColumn="0" w:noHBand="0" w:noVBand="1"/>
      </w:tblPr>
      <w:tblGrid>
        <w:gridCol w:w="3960"/>
        <w:gridCol w:w="2088"/>
        <w:gridCol w:w="2088"/>
        <w:gridCol w:w="2088"/>
      </w:tblGrid>
      <w:tr w:rsidR="00576CA0">
        <w:trPr>
          <w:tblHeader/>
          <w:jc w:val="center"/>
        </w:trPr>
        <w:tc>
          <w:tcPr>
            <w:tcW w:w="3960" w:type="dxa"/>
            <w:tcMar>
              <w:top w:w="60" w:type="dxa"/>
              <w:left w:w="70" w:type="dxa"/>
              <w:bottom w:w="60" w:type="dxa"/>
              <w:right w:w="70" w:type="dxa"/>
            </w:tcMar>
            <w:vAlign w:val="center"/>
          </w:tcPr>
          <w:p w:rsidR="00576CA0" w:rsidRDefault="00253119">
            <w:pPr>
              <w:spacing w:line="240" w:lineRule="auto"/>
              <w:jc w:val="center"/>
            </w:pPr>
            <w:r>
              <w:rPr>
                <w:b/>
                <w:sz w:val="16"/>
              </w:rPr>
              <w:t>Indicator</w:t>
            </w:r>
          </w:p>
        </w:tc>
        <w:tc>
          <w:tcPr>
            <w:tcW w:w="2088" w:type="dxa"/>
            <w:tcMar>
              <w:top w:w="60" w:type="dxa"/>
              <w:left w:w="70" w:type="dxa"/>
              <w:bottom w:w="60" w:type="dxa"/>
              <w:right w:w="70" w:type="dxa"/>
            </w:tcMar>
            <w:vAlign w:val="center"/>
          </w:tcPr>
          <w:p w:rsidR="00576CA0" w:rsidRDefault="00253119">
            <w:pPr>
              <w:spacing w:line="240" w:lineRule="auto"/>
              <w:jc w:val="center"/>
            </w:pPr>
            <w:r>
              <w:rPr>
                <w:b/>
                <w:sz w:val="16"/>
              </w:rPr>
              <w:t>Total n (%)</w:t>
            </w:r>
          </w:p>
        </w:tc>
        <w:tc>
          <w:tcPr>
            <w:tcW w:w="2088" w:type="dxa"/>
            <w:tcMar>
              <w:top w:w="60" w:type="dxa"/>
              <w:left w:w="70" w:type="dxa"/>
              <w:bottom w:w="60" w:type="dxa"/>
              <w:right w:w="70" w:type="dxa"/>
            </w:tcMar>
            <w:vAlign w:val="center"/>
          </w:tcPr>
          <w:p w:rsidR="00576CA0" w:rsidRDefault="00253119">
            <w:pPr>
              <w:spacing w:line="240" w:lineRule="auto"/>
              <w:jc w:val="center"/>
            </w:pPr>
            <w:r>
              <w:rPr>
                <w:b/>
                <w:sz w:val="16"/>
              </w:rPr>
              <w:t>Urban n (%)</w:t>
            </w:r>
          </w:p>
        </w:tc>
        <w:tc>
          <w:tcPr>
            <w:tcW w:w="2088" w:type="dxa"/>
            <w:tcMar>
              <w:top w:w="60" w:type="dxa"/>
              <w:left w:w="70" w:type="dxa"/>
              <w:bottom w:w="60" w:type="dxa"/>
              <w:right w:w="70" w:type="dxa"/>
            </w:tcMar>
            <w:vAlign w:val="center"/>
          </w:tcPr>
          <w:p w:rsidR="00576CA0" w:rsidRDefault="00253119">
            <w:pPr>
              <w:spacing w:line="240" w:lineRule="auto"/>
              <w:jc w:val="center"/>
            </w:pPr>
            <w:r>
              <w:rPr>
                <w:b/>
                <w:sz w:val="16"/>
              </w:rPr>
              <w:t>Rural n (%)</w:t>
            </w:r>
          </w:p>
        </w:tc>
      </w:tr>
      <w:tr w:rsidR="00576CA0">
        <w:trPr>
          <w:jc w:val="center"/>
        </w:trPr>
        <w:tc>
          <w:tcPr>
            <w:tcW w:w="3960" w:type="dxa"/>
            <w:tcMar>
              <w:top w:w="60" w:type="dxa"/>
              <w:left w:w="70" w:type="dxa"/>
              <w:bottom w:w="60" w:type="dxa"/>
              <w:right w:w="70" w:type="dxa"/>
            </w:tcMar>
            <w:vAlign w:val="center"/>
          </w:tcPr>
          <w:p w:rsidR="00576CA0" w:rsidRDefault="00253119">
            <w:pPr>
              <w:spacing w:line="240" w:lineRule="auto"/>
            </w:pPr>
            <w:r>
              <w:rPr>
                <w:sz w:val="16"/>
              </w:rPr>
              <w:t>Loss of weight</w:t>
            </w:r>
          </w:p>
        </w:tc>
        <w:tc>
          <w:tcPr>
            <w:tcW w:w="2088" w:type="dxa"/>
            <w:tcMar>
              <w:top w:w="60" w:type="dxa"/>
              <w:left w:w="70" w:type="dxa"/>
              <w:bottom w:w="60" w:type="dxa"/>
              <w:right w:w="70" w:type="dxa"/>
            </w:tcMar>
            <w:vAlign w:val="center"/>
          </w:tcPr>
          <w:p w:rsidR="00576CA0" w:rsidRDefault="00253119">
            <w:pPr>
              <w:spacing w:line="240" w:lineRule="auto"/>
              <w:jc w:val="center"/>
            </w:pPr>
            <w:r>
              <w:rPr>
                <w:sz w:val="16"/>
              </w:rPr>
              <w:t>107 (60.8)</w:t>
            </w:r>
          </w:p>
        </w:tc>
        <w:tc>
          <w:tcPr>
            <w:tcW w:w="2088" w:type="dxa"/>
            <w:tcMar>
              <w:top w:w="60" w:type="dxa"/>
              <w:left w:w="70" w:type="dxa"/>
              <w:bottom w:w="60" w:type="dxa"/>
              <w:right w:w="70" w:type="dxa"/>
            </w:tcMar>
            <w:vAlign w:val="center"/>
          </w:tcPr>
          <w:p w:rsidR="00576CA0" w:rsidRDefault="00253119">
            <w:pPr>
              <w:spacing w:line="240" w:lineRule="auto"/>
              <w:jc w:val="center"/>
            </w:pPr>
            <w:r>
              <w:rPr>
                <w:sz w:val="16"/>
              </w:rPr>
              <w:t>50 (56.8)</w:t>
            </w:r>
          </w:p>
        </w:tc>
        <w:tc>
          <w:tcPr>
            <w:tcW w:w="2088" w:type="dxa"/>
            <w:tcMar>
              <w:top w:w="60" w:type="dxa"/>
              <w:left w:w="70" w:type="dxa"/>
              <w:bottom w:w="60" w:type="dxa"/>
              <w:right w:w="70" w:type="dxa"/>
            </w:tcMar>
            <w:vAlign w:val="center"/>
          </w:tcPr>
          <w:p w:rsidR="00576CA0" w:rsidRDefault="00253119">
            <w:pPr>
              <w:spacing w:line="240" w:lineRule="auto"/>
              <w:jc w:val="center"/>
            </w:pPr>
            <w:r>
              <w:rPr>
                <w:sz w:val="16"/>
              </w:rPr>
              <w:t>57 (64.8)</w:t>
            </w:r>
          </w:p>
        </w:tc>
      </w:tr>
      <w:tr w:rsidR="00576CA0">
        <w:trPr>
          <w:jc w:val="center"/>
        </w:trPr>
        <w:tc>
          <w:tcPr>
            <w:tcW w:w="3960" w:type="dxa"/>
            <w:tcMar>
              <w:top w:w="60" w:type="dxa"/>
              <w:left w:w="70" w:type="dxa"/>
              <w:bottom w:w="60" w:type="dxa"/>
              <w:right w:w="70" w:type="dxa"/>
            </w:tcMar>
            <w:vAlign w:val="center"/>
          </w:tcPr>
          <w:p w:rsidR="00576CA0" w:rsidRDefault="00253119">
            <w:pPr>
              <w:spacing w:line="240" w:lineRule="auto"/>
            </w:pPr>
            <w:r>
              <w:rPr>
                <w:sz w:val="16"/>
              </w:rPr>
              <w:t>Stunting</w:t>
            </w:r>
          </w:p>
        </w:tc>
        <w:tc>
          <w:tcPr>
            <w:tcW w:w="2088" w:type="dxa"/>
            <w:tcMar>
              <w:top w:w="60" w:type="dxa"/>
              <w:left w:w="70" w:type="dxa"/>
              <w:bottom w:w="60" w:type="dxa"/>
              <w:right w:w="70" w:type="dxa"/>
            </w:tcMar>
            <w:vAlign w:val="center"/>
          </w:tcPr>
          <w:p w:rsidR="00576CA0" w:rsidRDefault="00253119">
            <w:pPr>
              <w:spacing w:line="240" w:lineRule="auto"/>
              <w:jc w:val="center"/>
            </w:pPr>
            <w:r>
              <w:rPr>
                <w:sz w:val="16"/>
              </w:rPr>
              <w:t>55 (31.2)</w:t>
            </w:r>
          </w:p>
        </w:tc>
        <w:tc>
          <w:tcPr>
            <w:tcW w:w="2088" w:type="dxa"/>
            <w:tcMar>
              <w:top w:w="60" w:type="dxa"/>
              <w:left w:w="70" w:type="dxa"/>
              <w:bottom w:w="60" w:type="dxa"/>
              <w:right w:w="70" w:type="dxa"/>
            </w:tcMar>
            <w:vAlign w:val="center"/>
          </w:tcPr>
          <w:p w:rsidR="00576CA0" w:rsidRDefault="00253119">
            <w:pPr>
              <w:spacing w:line="240" w:lineRule="auto"/>
              <w:jc w:val="center"/>
            </w:pPr>
            <w:r>
              <w:rPr>
                <w:sz w:val="16"/>
              </w:rPr>
              <w:t>35 (39.8)</w:t>
            </w:r>
          </w:p>
        </w:tc>
        <w:tc>
          <w:tcPr>
            <w:tcW w:w="2088" w:type="dxa"/>
            <w:tcMar>
              <w:top w:w="60" w:type="dxa"/>
              <w:left w:w="70" w:type="dxa"/>
              <w:bottom w:w="60" w:type="dxa"/>
              <w:right w:w="70" w:type="dxa"/>
            </w:tcMar>
            <w:vAlign w:val="center"/>
          </w:tcPr>
          <w:p w:rsidR="00576CA0" w:rsidRDefault="00253119">
            <w:pPr>
              <w:spacing w:line="240" w:lineRule="auto"/>
              <w:jc w:val="center"/>
            </w:pPr>
            <w:r>
              <w:rPr>
                <w:sz w:val="16"/>
              </w:rPr>
              <w:t>20</w:t>
            </w:r>
            <w:r>
              <w:rPr>
                <w:sz w:val="16"/>
              </w:rPr>
              <w:t xml:space="preserve"> (22.7)</w:t>
            </w:r>
          </w:p>
        </w:tc>
      </w:tr>
      <w:tr w:rsidR="00576CA0">
        <w:trPr>
          <w:jc w:val="center"/>
        </w:trPr>
        <w:tc>
          <w:tcPr>
            <w:tcW w:w="3960" w:type="dxa"/>
            <w:tcMar>
              <w:top w:w="60" w:type="dxa"/>
              <w:left w:w="70" w:type="dxa"/>
              <w:bottom w:w="60" w:type="dxa"/>
              <w:right w:w="70" w:type="dxa"/>
            </w:tcMar>
            <w:vAlign w:val="center"/>
          </w:tcPr>
          <w:p w:rsidR="00576CA0" w:rsidRDefault="00253119">
            <w:pPr>
              <w:spacing w:line="240" w:lineRule="auto"/>
            </w:pPr>
            <w:r>
              <w:rPr>
                <w:sz w:val="16"/>
              </w:rPr>
              <w:t>Shrinking</w:t>
            </w:r>
          </w:p>
        </w:tc>
        <w:tc>
          <w:tcPr>
            <w:tcW w:w="2088" w:type="dxa"/>
            <w:tcMar>
              <w:top w:w="60" w:type="dxa"/>
              <w:left w:w="70" w:type="dxa"/>
              <w:bottom w:w="60" w:type="dxa"/>
              <w:right w:w="70" w:type="dxa"/>
            </w:tcMar>
            <w:vAlign w:val="center"/>
          </w:tcPr>
          <w:p w:rsidR="00576CA0" w:rsidRDefault="00253119">
            <w:pPr>
              <w:spacing w:line="240" w:lineRule="auto"/>
              <w:jc w:val="center"/>
            </w:pPr>
            <w:r>
              <w:rPr>
                <w:sz w:val="16"/>
              </w:rPr>
              <w:t>13 (7.4)</w:t>
            </w:r>
          </w:p>
        </w:tc>
        <w:tc>
          <w:tcPr>
            <w:tcW w:w="2088" w:type="dxa"/>
            <w:tcMar>
              <w:top w:w="60" w:type="dxa"/>
              <w:left w:w="70" w:type="dxa"/>
              <w:bottom w:w="60" w:type="dxa"/>
              <w:right w:w="70" w:type="dxa"/>
            </w:tcMar>
            <w:vAlign w:val="center"/>
          </w:tcPr>
          <w:p w:rsidR="00576CA0" w:rsidRDefault="00253119">
            <w:pPr>
              <w:spacing w:line="240" w:lineRule="auto"/>
              <w:jc w:val="center"/>
            </w:pPr>
            <w:r>
              <w:rPr>
                <w:sz w:val="16"/>
              </w:rPr>
              <w:t>3 (3.4)</w:t>
            </w:r>
          </w:p>
        </w:tc>
        <w:tc>
          <w:tcPr>
            <w:tcW w:w="2088" w:type="dxa"/>
            <w:tcMar>
              <w:top w:w="60" w:type="dxa"/>
              <w:left w:w="70" w:type="dxa"/>
              <w:bottom w:w="60" w:type="dxa"/>
              <w:right w:w="70" w:type="dxa"/>
            </w:tcMar>
            <w:vAlign w:val="center"/>
          </w:tcPr>
          <w:p w:rsidR="00576CA0" w:rsidRDefault="00253119">
            <w:pPr>
              <w:spacing w:line="240" w:lineRule="auto"/>
              <w:jc w:val="center"/>
            </w:pPr>
            <w:r>
              <w:rPr>
                <w:sz w:val="16"/>
              </w:rPr>
              <w:t>10 (11.4)</w:t>
            </w:r>
          </w:p>
        </w:tc>
      </w:tr>
      <w:tr w:rsidR="00576CA0">
        <w:trPr>
          <w:jc w:val="center"/>
        </w:trPr>
        <w:tc>
          <w:tcPr>
            <w:tcW w:w="3960" w:type="dxa"/>
            <w:tcMar>
              <w:top w:w="60" w:type="dxa"/>
              <w:left w:w="70" w:type="dxa"/>
              <w:bottom w:w="60" w:type="dxa"/>
              <w:right w:w="70" w:type="dxa"/>
            </w:tcMar>
            <w:vAlign w:val="center"/>
          </w:tcPr>
          <w:p w:rsidR="00576CA0" w:rsidRDefault="00253119">
            <w:pPr>
              <w:spacing w:line="240" w:lineRule="auto"/>
            </w:pPr>
            <w:r>
              <w:rPr>
                <w:sz w:val="16"/>
              </w:rPr>
              <w:t>Crying</w:t>
            </w:r>
          </w:p>
        </w:tc>
        <w:tc>
          <w:tcPr>
            <w:tcW w:w="2088" w:type="dxa"/>
            <w:tcMar>
              <w:top w:w="60" w:type="dxa"/>
              <w:left w:w="70" w:type="dxa"/>
              <w:bottom w:w="60" w:type="dxa"/>
              <w:right w:w="70" w:type="dxa"/>
            </w:tcMar>
            <w:vAlign w:val="center"/>
          </w:tcPr>
          <w:p w:rsidR="00576CA0" w:rsidRDefault="00253119">
            <w:pPr>
              <w:spacing w:line="240" w:lineRule="auto"/>
              <w:jc w:val="center"/>
            </w:pPr>
            <w:r>
              <w:rPr>
                <w:sz w:val="16"/>
              </w:rPr>
              <w:t>1 (0.6)</w:t>
            </w:r>
          </w:p>
        </w:tc>
        <w:tc>
          <w:tcPr>
            <w:tcW w:w="2088" w:type="dxa"/>
            <w:tcMar>
              <w:top w:w="60" w:type="dxa"/>
              <w:left w:w="70" w:type="dxa"/>
              <w:bottom w:w="60" w:type="dxa"/>
              <w:right w:w="70" w:type="dxa"/>
            </w:tcMar>
            <w:vAlign w:val="center"/>
          </w:tcPr>
          <w:p w:rsidR="00576CA0" w:rsidRDefault="00253119">
            <w:pPr>
              <w:spacing w:line="240" w:lineRule="auto"/>
              <w:jc w:val="center"/>
            </w:pPr>
            <w:r>
              <w:rPr>
                <w:sz w:val="16"/>
              </w:rPr>
              <w:t>0 (0.0)</w:t>
            </w:r>
          </w:p>
        </w:tc>
        <w:tc>
          <w:tcPr>
            <w:tcW w:w="2088" w:type="dxa"/>
            <w:tcMar>
              <w:top w:w="60" w:type="dxa"/>
              <w:left w:w="70" w:type="dxa"/>
              <w:bottom w:w="60" w:type="dxa"/>
              <w:right w:w="70" w:type="dxa"/>
            </w:tcMar>
            <w:vAlign w:val="center"/>
          </w:tcPr>
          <w:p w:rsidR="00576CA0" w:rsidRDefault="00253119">
            <w:pPr>
              <w:spacing w:line="240" w:lineRule="auto"/>
              <w:jc w:val="center"/>
            </w:pPr>
            <w:r>
              <w:rPr>
                <w:sz w:val="16"/>
              </w:rPr>
              <w:t>1 (1.1)</w:t>
            </w:r>
          </w:p>
        </w:tc>
      </w:tr>
    </w:tbl>
    <w:p w:rsidR="00576CA0" w:rsidRDefault="00253119">
      <w:pPr>
        <w:spacing w:after="20" w:line="240" w:lineRule="auto"/>
      </w:pPr>
      <w:r>
        <w:rPr>
          <w:i/>
          <w:sz w:val="17"/>
        </w:rPr>
        <w:t>Note. Urban and rural percentages are calculated within each location (n = 88). Source: Field survey, 2024.</w:t>
      </w:r>
    </w:p>
    <w:p w:rsidR="00576CA0" w:rsidRDefault="00253119">
      <w:pPr>
        <w:ind w:firstLine="432"/>
        <w:jc w:val="both"/>
      </w:pPr>
      <w:r>
        <w:t>Understanding of a balanced diet was markedly reductionist. Most resp</w:t>
      </w:r>
      <w:r>
        <w:t>ondents (69.9%) equated a balanced diet principally with protein-rich foods, while 22.7% selected fruits and vegetables. Only one respondent recognised that a balanced diet requires the combination of all major food groups. Urban respondents more frequentl</w:t>
      </w:r>
      <w:r>
        <w:t>y selected protein foods, whereas rural respondents more frequently selected fruits and vegetables. The result reveals a substantial conceptual deficit: respondents recognised individual nutritious food categories but rarely understood dietary balance as d</w:t>
      </w:r>
      <w:r>
        <w:t>iversity, proportionality and adequacy.</w:t>
      </w:r>
    </w:p>
    <w:p w:rsidR="00576CA0" w:rsidRDefault="00253119">
      <w:pPr>
        <w:keepNext/>
        <w:spacing w:before="60" w:after="20" w:line="240" w:lineRule="auto"/>
        <w:jc w:val="center"/>
      </w:pPr>
      <w:r>
        <w:rPr>
          <w:b/>
          <w:sz w:val="20"/>
        </w:rPr>
        <w:t>Table 2: Caregivers’ understanding of a balanced diet (N = 176)</w:t>
      </w:r>
    </w:p>
    <w:tbl>
      <w:tblPr>
        <w:tblStyle w:val="TableGrid"/>
        <w:tblW w:w="0" w:type="auto"/>
        <w:jc w:val="center"/>
        <w:tblLayout w:type="fixed"/>
        <w:tblLook w:val="04A0" w:firstRow="1" w:lastRow="0" w:firstColumn="1" w:lastColumn="0" w:noHBand="0" w:noVBand="1"/>
      </w:tblPr>
      <w:tblGrid>
        <w:gridCol w:w="4320"/>
        <w:gridCol w:w="1872"/>
        <w:gridCol w:w="2016"/>
        <w:gridCol w:w="2016"/>
      </w:tblGrid>
      <w:tr w:rsidR="00576CA0">
        <w:trPr>
          <w:tblHeader/>
          <w:jc w:val="center"/>
        </w:trPr>
        <w:tc>
          <w:tcPr>
            <w:tcW w:w="4320" w:type="dxa"/>
            <w:tcMar>
              <w:top w:w="60" w:type="dxa"/>
              <w:left w:w="70" w:type="dxa"/>
              <w:bottom w:w="60" w:type="dxa"/>
              <w:right w:w="70" w:type="dxa"/>
            </w:tcMar>
            <w:vAlign w:val="center"/>
          </w:tcPr>
          <w:p w:rsidR="00576CA0" w:rsidRDefault="00253119">
            <w:pPr>
              <w:spacing w:line="240" w:lineRule="auto"/>
              <w:jc w:val="center"/>
            </w:pPr>
            <w:r>
              <w:rPr>
                <w:b/>
                <w:sz w:val="16"/>
              </w:rPr>
              <w:t>Response category</w:t>
            </w:r>
          </w:p>
        </w:tc>
        <w:tc>
          <w:tcPr>
            <w:tcW w:w="1872" w:type="dxa"/>
            <w:tcMar>
              <w:top w:w="60" w:type="dxa"/>
              <w:left w:w="70" w:type="dxa"/>
              <w:bottom w:w="60" w:type="dxa"/>
              <w:right w:w="70" w:type="dxa"/>
            </w:tcMar>
            <w:vAlign w:val="center"/>
          </w:tcPr>
          <w:p w:rsidR="00576CA0" w:rsidRDefault="00253119">
            <w:pPr>
              <w:spacing w:line="240" w:lineRule="auto"/>
              <w:jc w:val="center"/>
            </w:pPr>
            <w:r>
              <w:rPr>
                <w:b/>
                <w:sz w:val="16"/>
              </w:rPr>
              <w:t>Total n (%)</w:t>
            </w:r>
          </w:p>
        </w:tc>
        <w:tc>
          <w:tcPr>
            <w:tcW w:w="2016" w:type="dxa"/>
            <w:tcMar>
              <w:top w:w="60" w:type="dxa"/>
              <w:left w:w="70" w:type="dxa"/>
              <w:bottom w:w="60" w:type="dxa"/>
              <w:right w:w="70" w:type="dxa"/>
            </w:tcMar>
            <w:vAlign w:val="center"/>
          </w:tcPr>
          <w:p w:rsidR="00576CA0" w:rsidRDefault="00253119">
            <w:pPr>
              <w:spacing w:line="240" w:lineRule="auto"/>
              <w:jc w:val="center"/>
            </w:pPr>
            <w:r>
              <w:rPr>
                <w:b/>
                <w:sz w:val="16"/>
              </w:rPr>
              <w:t>Urban n (%)</w:t>
            </w:r>
          </w:p>
        </w:tc>
        <w:tc>
          <w:tcPr>
            <w:tcW w:w="2016" w:type="dxa"/>
            <w:tcMar>
              <w:top w:w="60" w:type="dxa"/>
              <w:left w:w="70" w:type="dxa"/>
              <w:bottom w:w="60" w:type="dxa"/>
              <w:right w:w="70" w:type="dxa"/>
            </w:tcMar>
            <w:vAlign w:val="center"/>
          </w:tcPr>
          <w:p w:rsidR="00576CA0" w:rsidRDefault="00253119">
            <w:pPr>
              <w:spacing w:line="240" w:lineRule="auto"/>
              <w:jc w:val="center"/>
            </w:pPr>
            <w:r>
              <w:rPr>
                <w:b/>
                <w:sz w:val="16"/>
              </w:rPr>
              <w:t>Rural n (%)</w:t>
            </w:r>
          </w:p>
        </w:tc>
      </w:tr>
      <w:tr w:rsidR="00576CA0">
        <w:trPr>
          <w:jc w:val="center"/>
        </w:trPr>
        <w:tc>
          <w:tcPr>
            <w:tcW w:w="4320" w:type="dxa"/>
            <w:tcMar>
              <w:top w:w="60" w:type="dxa"/>
              <w:left w:w="70" w:type="dxa"/>
              <w:bottom w:w="60" w:type="dxa"/>
              <w:right w:w="70" w:type="dxa"/>
            </w:tcMar>
            <w:vAlign w:val="center"/>
          </w:tcPr>
          <w:p w:rsidR="00576CA0" w:rsidRDefault="00253119">
            <w:pPr>
              <w:spacing w:line="240" w:lineRule="auto"/>
            </w:pPr>
            <w:r>
              <w:rPr>
                <w:sz w:val="16"/>
              </w:rPr>
              <w:t>Protein-rich foods (meat, fish, egg, milk)</w:t>
            </w:r>
          </w:p>
        </w:tc>
        <w:tc>
          <w:tcPr>
            <w:tcW w:w="1872" w:type="dxa"/>
            <w:tcMar>
              <w:top w:w="60" w:type="dxa"/>
              <w:left w:w="70" w:type="dxa"/>
              <w:bottom w:w="60" w:type="dxa"/>
              <w:right w:w="70" w:type="dxa"/>
            </w:tcMar>
            <w:vAlign w:val="center"/>
          </w:tcPr>
          <w:p w:rsidR="00576CA0" w:rsidRDefault="00253119">
            <w:pPr>
              <w:spacing w:line="240" w:lineRule="auto"/>
              <w:jc w:val="center"/>
            </w:pPr>
            <w:r>
              <w:rPr>
                <w:sz w:val="16"/>
              </w:rPr>
              <w:t>123 (69.9)</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73 (83.0)</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50 (56.8)</w:t>
            </w:r>
          </w:p>
        </w:tc>
      </w:tr>
      <w:tr w:rsidR="00576CA0">
        <w:trPr>
          <w:jc w:val="center"/>
        </w:trPr>
        <w:tc>
          <w:tcPr>
            <w:tcW w:w="4320" w:type="dxa"/>
            <w:tcMar>
              <w:top w:w="60" w:type="dxa"/>
              <w:left w:w="70" w:type="dxa"/>
              <w:bottom w:w="60" w:type="dxa"/>
              <w:right w:w="70" w:type="dxa"/>
            </w:tcMar>
            <w:vAlign w:val="center"/>
          </w:tcPr>
          <w:p w:rsidR="00576CA0" w:rsidRDefault="00253119">
            <w:pPr>
              <w:spacing w:line="240" w:lineRule="auto"/>
            </w:pPr>
            <w:r>
              <w:rPr>
                <w:sz w:val="16"/>
              </w:rPr>
              <w:t>Fruits and vegetables</w:t>
            </w:r>
          </w:p>
        </w:tc>
        <w:tc>
          <w:tcPr>
            <w:tcW w:w="1872" w:type="dxa"/>
            <w:tcMar>
              <w:top w:w="60" w:type="dxa"/>
              <w:left w:w="70" w:type="dxa"/>
              <w:bottom w:w="60" w:type="dxa"/>
              <w:right w:w="70" w:type="dxa"/>
            </w:tcMar>
            <w:vAlign w:val="center"/>
          </w:tcPr>
          <w:p w:rsidR="00576CA0" w:rsidRDefault="00253119">
            <w:pPr>
              <w:spacing w:line="240" w:lineRule="auto"/>
              <w:jc w:val="center"/>
            </w:pPr>
            <w:r>
              <w:rPr>
                <w:sz w:val="16"/>
              </w:rPr>
              <w:t>40 (22.7)</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10 (11.4)</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30 (34.1)</w:t>
            </w:r>
          </w:p>
        </w:tc>
      </w:tr>
      <w:tr w:rsidR="00576CA0">
        <w:trPr>
          <w:jc w:val="center"/>
        </w:trPr>
        <w:tc>
          <w:tcPr>
            <w:tcW w:w="4320" w:type="dxa"/>
            <w:tcMar>
              <w:top w:w="60" w:type="dxa"/>
              <w:left w:w="70" w:type="dxa"/>
              <w:bottom w:w="60" w:type="dxa"/>
              <w:right w:w="70" w:type="dxa"/>
            </w:tcMar>
            <w:vAlign w:val="center"/>
          </w:tcPr>
          <w:p w:rsidR="00576CA0" w:rsidRDefault="00253119">
            <w:pPr>
              <w:spacing w:line="240" w:lineRule="auto"/>
            </w:pPr>
            <w:r>
              <w:rPr>
                <w:sz w:val="16"/>
              </w:rPr>
              <w:t>Carbohydrate staples</w:t>
            </w:r>
          </w:p>
        </w:tc>
        <w:tc>
          <w:tcPr>
            <w:tcW w:w="1872" w:type="dxa"/>
            <w:tcMar>
              <w:top w:w="60" w:type="dxa"/>
              <w:left w:w="70" w:type="dxa"/>
              <w:bottom w:w="60" w:type="dxa"/>
              <w:right w:w="70" w:type="dxa"/>
            </w:tcMar>
            <w:vAlign w:val="center"/>
          </w:tcPr>
          <w:p w:rsidR="00576CA0" w:rsidRDefault="00253119">
            <w:pPr>
              <w:spacing w:line="240" w:lineRule="auto"/>
              <w:jc w:val="center"/>
            </w:pPr>
            <w:r>
              <w:rPr>
                <w:sz w:val="16"/>
              </w:rPr>
              <w:t>6 (3.4)</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2 (2.3)</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4 (4.5)</w:t>
            </w:r>
          </w:p>
        </w:tc>
      </w:tr>
      <w:tr w:rsidR="00576CA0">
        <w:trPr>
          <w:jc w:val="center"/>
        </w:trPr>
        <w:tc>
          <w:tcPr>
            <w:tcW w:w="4320" w:type="dxa"/>
            <w:tcMar>
              <w:top w:w="60" w:type="dxa"/>
              <w:left w:w="70" w:type="dxa"/>
              <w:bottom w:w="60" w:type="dxa"/>
              <w:right w:w="70" w:type="dxa"/>
            </w:tcMar>
            <w:vAlign w:val="center"/>
          </w:tcPr>
          <w:p w:rsidR="00576CA0" w:rsidRDefault="00253119">
            <w:pPr>
              <w:spacing w:line="240" w:lineRule="auto"/>
            </w:pPr>
            <w:r>
              <w:rPr>
                <w:sz w:val="16"/>
              </w:rPr>
              <w:t>Fats and oils</w:t>
            </w:r>
          </w:p>
        </w:tc>
        <w:tc>
          <w:tcPr>
            <w:tcW w:w="1872" w:type="dxa"/>
            <w:tcMar>
              <w:top w:w="60" w:type="dxa"/>
              <w:left w:w="70" w:type="dxa"/>
              <w:bottom w:w="60" w:type="dxa"/>
              <w:right w:w="70" w:type="dxa"/>
            </w:tcMar>
            <w:vAlign w:val="center"/>
          </w:tcPr>
          <w:p w:rsidR="00576CA0" w:rsidRDefault="00253119">
            <w:pPr>
              <w:spacing w:line="240" w:lineRule="auto"/>
              <w:jc w:val="center"/>
            </w:pPr>
            <w:r>
              <w:rPr>
                <w:sz w:val="16"/>
              </w:rPr>
              <w:t>6 (3.4)</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3 (3.4)</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3 (3.4)</w:t>
            </w:r>
          </w:p>
        </w:tc>
      </w:tr>
      <w:tr w:rsidR="00576CA0">
        <w:trPr>
          <w:jc w:val="center"/>
        </w:trPr>
        <w:tc>
          <w:tcPr>
            <w:tcW w:w="4320" w:type="dxa"/>
            <w:tcMar>
              <w:top w:w="60" w:type="dxa"/>
              <w:left w:w="70" w:type="dxa"/>
              <w:bottom w:w="60" w:type="dxa"/>
              <w:right w:w="70" w:type="dxa"/>
            </w:tcMar>
            <w:vAlign w:val="center"/>
          </w:tcPr>
          <w:p w:rsidR="00576CA0" w:rsidRDefault="00253119">
            <w:pPr>
              <w:spacing w:line="240" w:lineRule="auto"/>
            </w:pPr>
            <w:r>
              <w:rPr>
                <w:sz w:val="16"/>
              </w:rPr>
              <w:t>All listed food groups</w:t>
            </w:r>
          </w:p>
        </w:tc>
        <w:tc>
          <w:tcPr>
            <w:tcW w:w="1872" w:type="dxa"/>
            <w:tcMar>
              <w:top w:w="60" w:type="dxa"/>
              <w:left w:w="70" w:type="dxa"/>
              <w:bottom w:w="60" w:type="dxa"/>
              <w:right w:w="70" w:type="dxa"/>
            </w:tcMar>
            <w:vAlign w:val="center"/>
          </w:tcPr>
          <w:p w:rsidR="00576CA0" w:rsidRDefault="00253119">
            <w:pPr>
              <w:spacing w:line="240" w:lineRule="auto"/>
              <w:jc w:val="center"/>
            </w:pPr>
            <w:r>
              <w:rPr>
                <w:sz w:val="16"/>
              </w:rPr>
              <w:t>1 (0.6)</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0 (0.0)</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1 (1.1)</w:t>
            </w:r>
          </w:p>
        </w:tc>
      </w:tr>
    </w:tbl>
    <w:p w:rsidR="00576CA0" w:rsidRDefault="00253119">
      <w:pPr>
        <w:spacing w:after="20" w:line="240" w:lineRule="auto"/>
      </w:pPr>
      <w:r>
        <w:rPr>
          <w:i/>
          <w:sz w:val="17"/>
        </w:rPr>
        <w:t>Note. Urban and rural percentages are calculated within each location. Source: Field survey,</w:t>
      </w:r>
      <w:r>
        <w:rPr>
          <w:i/>
          <w:sz w:val="17"/>
        </w:rPr>
        <w:t xml:space="preserve"> 2024.</w:t>
      </w:r>
    </w:p>
    <w:p w:rsidR="00576CA0" w:rsidRDefault="00253119">
      <w:pPr>
        <w:keepNext/>
        <w:spacing w:before="20"/>
      </w:pPr>
      <w:r>
        <w:rPr>
          <w:b/>
        </w:rPr>
        <w:t>4.3 Knowledge of breastfeeding and colostrum</w:t>
      </w:r>
    </w:p>
    <w:p w:rsidR="00576CA0" w:rsidRDefault="00253119">
      <w:pPr>
        <w:ind w:firstLine="432"/>
        <w:jc w:val="both"/>
      </w:pPr>
      <w:r>
        <w:t xml:space="preserve">Knowledge was strongest for early breastfeeding initiation and weakest for exclusive breastfeeding and colostrum. Overall, 160 respondents (91.0%) knew that breastfeeding should begin within the first </w:t>
      </w:r>
      <w:r>
        <w:t>hour after delivery. In contrast, only 74 (42.0%) demonstrated adequate knowledge of exclusive breastfeeding, while 76 (43.2%) showed adequate knowledge of colostrum. The rural disadvantage was particularly pronounced for colostrum: only 22.7% of rural res</w:t>
      </w:r>
      <w:r>
        <w:t>pondents demonstrated good knowledge compared with 63.6% of urban respondents.</w:t>
      </w:r>
    </w:p>
    <w:p w:rsidR="00576CA0" w:rsidRDefault="00253119">
      <w:pPr>
        <w:keepNext/>
        <w:spacing w:before="60" w:after="20" w:line="240" w:lineRule="auto"/>
        <w:jc w:val="center"/>
      </w:pPr>
      <w:r>
        <w:rPr>
          <w:b/>
          <w:sz w:val="20"/>
        </w:rPr>
        <w:t>Table 3: Summary of caregivers’ child-nutrition knowledge (N = 176)</w:t>
      </w:r>
    </w:p>
    <w:tbl>
      <w:tblPr>
        <w:tblStyle w:val="TableGrid"/>
        <w:tblW w:w="0" w:type="auto"/>
        <w:jc w:val="center"/>
        <w:tblLayout w:type="fixed"/>
        <w:tblLook w:val="04A0" w:firstRow="1" w:lastRow="0" w:firstColumn="1" w:lastColumn="0" w:noHBand="0" w:noVBand="1"/>
      </w:tblPr>
      <w:tblGrid>
        <w:gridCol w:w="3672"/>
        <w:gridCol w:w="1944"/>
        <w:gridCol w:w="1944"/>
        <w:gridCol w:w="1944"/>
        <w:gridCol w:w="1944"/>
      </w:tblGrid>
      <w:tr w:rsidR="00576CA0">
        <w:trPr>
          <w:tblHeader/>
          <w:jc w:val="center"/>
        </w:trPr>
        <w:tc>
          <w:tcPr>
            <w:tcW w:w="3672" w:type="dxa"/>
            <w:tcMar>
              <w:top w:w="60" w:type="dxa"/>
              <w:left w:w="70" w:type="dxa"/>
              <w:bottom w:w="60" w:type="dxa"/>
              <w:right w:w="70" w:type="dxa"/>
            </w:tcMar>
            <w:vAlign w:val="center"/>
          </w:tcPr>
          <w:p w:rsidR="00576CA0" w:rsidRDefault="00253119">
            <w:pPr>
              <w:spacing w:line="240" w:lineRule="auto"/>
              <w:jc w:val="center"/>
            </w:pPr>
            <w:r>
              <w:rPr>
                <w:b/>
                <w:sz w:val="16"/>
              </w:rPr>
              <w:t>Knowledge domain</w:t>
            </w:r>
          </w:p>
        </w:tc>
        <w:tc>
          <w:tcPr>
            <w:tcW w:w="1944" w:type="dxa"/>
            <w:tcMar>
              <w:top w:w="60" w:type="dxa"/>
              <w:left w:w="70" w:type="dxa"/>
              <w:bottom w:w="60" w:type="dxa"/>
              <w:right w:w="70" w:type="dxa"/>
            </w:tcMar>
            <w:vAlign w:val="center"/>
          </w:tcPr>
          <w:p w:rsidR="00576CA0" w:rsidRDefault="00253119">
            <w:pPr>
              <w:spacing w:line="240" w:lineRule="auto"/>
              <w:jc w:val="center"/>
            </w:pPr>
            <w:r>
              <w:rPr>
                <w:b/>
                <w:sz w:val="16"/>
              </w:rPr>
              <w:t>Urban good n (%)</w:t>
            </w:r>
          </w:p>
        </w:tc>
        <w:tc>
          <w:tcPr>
            <w:tcW w:w="1944" w:type="dxa"/>
            <w:tcMar>
              <w:top w:w="60" w:type="dxa"/>
              <w:left w:w="70" w:type="dxa"/>
              <w:bottom w:w="60" w:type="dxa"/>
              <w:right w:w="70" w:type="dxa"/>
            </w:tcMar>
            <w:vAlign w:val="center"/>
          </w:tcPr>
          <w:p w:rsidR="00576CA0" w:rsidRDefault="00253119">
            <w:pPr>
              <w:spacing w:line="240" w:lineRule="auto"/>
              <w:jc w:val="center"/>
            </w:pPr>
            <w:r>
              <w:rPr>
                <w:b/>
                <w:sz w:val="16"/>
              </w:rPr>
              <w:t>Urban poor n (%)</w:t>
            </w:r>
          </w:p>
        </w:tc>
        <w:tc>
          <w:tcPr>
            <w:tcW w:w="1944" w:type="dxa"/>
            <w:tcMar>
              <w:top w:w="60" w:type="dxa"/>
              <w:left w:w="70" w:type="dxa"/>
              <w:bottom w:w="60" w:type="dxa"/>
              <w:right w:w="70" w:type="dxa"/>
            </w:tcMar>
            <w:vAlign w:val="center"/>
          </w:tcPr>
          <w:p w:rsidR="00576CA0" w:rsidRDefault="00253119">
            <w:pPr>
              <w:spacing w:line="240" w:lineRule="auto"/>
              <w:jc w:val="center"/>
            </w:pPr>
            <w:r>
              <w:rPr>
                <w:b/>
                <w:sz w:val="16"/>
              </w:rPr>
              <w:t>Rural good n (%)</w:t>
            </w:r>
          </w:p>
        </w:tc>
        <w:tc>
          <w:tcPr>
            <w:tcW w:w="1944" w:type="dxa"/>
            <w:tcMar>
              <w:top w:w="60" w:type="dxa"/>
              <w:left w:w="70" w:type="dxa"/>
              <w:bottom w:w="60" w:type="dxa"/>
              <w:right w:w="70" w:type="dxa"/>
            </w:tcMar>
            <w:vAlign w:val="center"/>
          </w:tcPr>
          <w:p w:rsidR="00576CA0" w:rsidRDefault="00253119">
            <w:pPr>
              <w:spacing w:line="240" w:lineRule="auto"/>
              <w:jc w:val="center"/>
            </w:pPr>
            <w:r>
              <w:rPr>
                <w:b/>
                <w:sz w:val="16"/>
              </w:rPr>
              <w:t>Rural poor n (%)</w:t>
            </w:r>
          </w:p>
        </w:tc>
      </w:tr>
      <w:tr w:rsidR="00576CA0">
        <w:trPr>
          <w:jc w:val="center"/>
        </w:trPr>
        <w:tc>
          <w:tcPr>
            <w:tcW w:w="3672" w:type="dxa"/>
            <w:tcMar>
              <w:top w:w="60" w:type="dxa"/>
              <w:left w:w="70" w:type="dxa"/>
              <w:bottom w:w="60" w:type="dxa"/>
              <w:right w:w="70" w:type="dxa"/>
            </w:tcMar>
            <w:vAlign w:val="center"/>
          </w:tcPr>
          <w:p w:rsidR="00576CA0" w:rsidRDefault="00253119">
            <w:pPr>
              <w:spacing w:line="240" w:lineRule="auto"/>
            </w:pPr>
            <w:r>
              <w:rPr>
                <w:sz w:val="16"/>
              </w:rPr>
              <w:t xml:space="preserve">Breastfeeding </w:t>
            </w:r>
            <w:r>
              <w:rPr>
                <w:sz w:val="16"/>
              </w:rPr>
              <w:t>initiation within one hour</w:t>
            </w:r>
          </w:p>
        </w:tc>
        <w:tc>
          <w:tcPr>
            <w:tcW w:w="1944" w:type="dxa"/>
            <w:tcMar>
              <w:top w:w="60" w:type="dxa"/>
              <w:left w:w="70" w:type="dxa"/>
              <w:bottom w:w="60" w:type="dxa"/>
              <w:right w:w="70" w:type="dxa"/>
            </w:tcMar>
            <w:vAlign w:val="center"/>
          </w:tcPr>
          <w:p w:rsidR="00576CA0" w:rsidRDefault="00253119">
            <w:pPr>
              <w:spacing w:line="240" w:lineRule="auto"/>
              <w:jc w:val="center"/>
            </w:pPr>
            <w:r>
              <w:rPr>
                <w:sz w:val="16"/>
              </w:rPr>
              <w:t>82 (93.2)</w:t>
            </w:r>
          </w:p>
        </w:tc>
        <w:tc>
          <w:tcPr>
            <w:tcW w:w="1944" w:type="dxa"/>
            <w:tcMar>
              <w:top w:w="60" w:type="dxa"/>
              <w:left w:w="70" w:type="dxa"/>
              <w:bottom w:w="60" w:type="dxa"/>
              <w:right w:w="70" w:type="dxa"/>
            </w:tcMar>
            <w:vAlign w:val="center"/>
          </w:tcPr>
          <w:p w:rsidR="00576CA0" w:rsidRDefault="00253119">
            <w:pPr>
              <w:spacing w:line="240" w:lineRule="auto"/>
              <w:jc w:val="center"/>
            </w:pPr>
            <w:r>
              <w:rPr>
                <w:sz w:val="16"/>
              </w:rPr>
              <w:t>6 (6.8)</w:t>
            </w:r>
          </w:p>
        </w:tc>
        <w:tc>
          <w:tcPr>
            <w:tcW w:w="1944" w:type="dxa"/>
            <w:tcMar>
              <w:top w:w="60" w:type="dxa"/>
              <w:left w:w="70" w:type="dxa"/>
              <w:bottom w:w="60" w:type="dxa"/>
              <w:right w:w="70" w:type="dxa"/>
            </w:tcMar>
            <w:vAlign w:val="center"/>
          </w:tcPr>
          <w:p w:rsidR="00576CA0" w:rsidRDefault="00253119">
            <w:pPr>
              <w:spacing w:line="240" w:lineRule="auto"/>
              <w:jc w:val="center"/>
            </w:pPr>
            <w:r>
              <w:rPr>
                <w:sz w:val="16"/>
              </w:rPr>
              <w:t>78 (88.6)</w:t>
            </w:r>
          </w:p>
        </w:tc>
        <w:tc>
          <w:tcPr>
            <w:tcW w:w="1944" w:type="dxa"/>
            <w:tcMar>
              <w:top w:w="60" w:type="dxa"/>
              <w:left w:w="70" w:type="dxa"/>
              <w:bottom w:w="60" w:type="dxa"/>
              <w:right w:w="70" w:type="dxa"/>
            </w:tcMar>
            <w:vAlign w:val="center"/>
          </w:tcPr>
          <w:p w:rsidR="00576CA0" w:rsidRDefault="00253119">
            <w:pPr>
              <w:spacing w:line="240" w:lineRule="auto"/>
              <w:jc w:val="center"/>
            </w:pPr>
            <w:r>
              <w:rPr>
                <w:sz w:val="16"/>
              </w:rPr>
              <w:t>10 (11.4)</w:t>
            </w:r>
          </w:p>
        </w:tc>
      </w:tr>
      <w:tr w:rsidR="00576CA0">
        <w:trPr>
          <w:jc w:val="center"/>
        </w:trPr>
        <w:tc>
          <w:tcPr>
            <w:tcW w:w="3672" w:type="dxa"/>
            <w:tcMar>
              <w:top w:w="60" w:type="dxa"/>
              <w:left w:w="70" w:type="dxa"/>
              <w:bottom w:w="60" w:type="dxa"/>
              <w:right w:w="70" w:type="dxa"/>
            </w:tcMar>
            <w:vAlign w:val="center"/>
          </w:tcPr>
          <w:p w:rsidR="00576CA0" w:rsidRDefault="00253119">
            <w:pPr>
              <w:spacing w:line="240" w:lineRule="auto"/>
            </w:pPr>
            <w:r>
              <w:rPr>
                <w:sz w:val="16"/>
              </w:rPr>
              <w:t>Exclusive breastfeeding</w:t>
            </w:r>
          </w:p>
        </w:tc>
        <w:tc>
          <w:tcPr>
            <w:tcW w:w="1944" w:type="dxa"/>
            <w:tcMar>
              <w:top w:w="60" w:type="dxa"/>
              <w:left w:w="70" w:type="dxa"/>
              <w:bottom w:w="60" w:type="dxa"/>
              <w:right w:w="70" w:type="dxa"/>
            </w:tcMar>
            <w:vAlign w:val="center"/>
          </w:tcPr>
          <w:p w:rsidR="00576CA0" w:rsidRDefault="00253119">
            <w:pPr>
              <w:spacing w:line="240" w:lineRule="auto"/>
              <w:jc w:val="center"/>
            </w:pPr>
            <w:r>
              <w:rPr>
                <w:sz w:val="16"/>
              </w:rPr>
              <w:t>40 (45.5)</w:t>
            </w:r>
          </w:p>
        </w:tc>
        <w:tc>
          <w:tcPr>
            <w:tcW w:w="1944" w:type="dxa"/>
            <w:tcMar>
              <w:top w:w="60" w:type="dxa"/>
              <w:left w:w="70" w:type="dxa"/>
              <w:bottom w:w="60" w:type="dxa"/>
              <w:right w:w="70" w:type="dxa"/>
            </w:tcMar>
            <w:vAlign w:val="center"/>
          </w:tcPr>
          <w:p w:rsidR="00576CA0" w:rsidRDefault="00253119">
            <w:pPr>
              <w:spacing w:line="240" w:lineRule="auto"/>
              <w:jc w:val="center"/>
            </w:pPr>
            <w:r>
              <w:rPr>
                <w:sz w:val="16"/>
              </w:rPr>
              <w:t>48 (54.5)</w:t>
            </w:r>
          </w:p>
        </w:tc>
        <w:tc>
          <w:tcPr>
            <w:tcW w:w="1944" w:type="dxa"/>
            <w:tcMar>
              <w:top w:w="60" w:type="dxa"/>
              <w:left w:w="70" w:type="dxa"/>
              <w:bottom w:w="60" w:type="dxa"/>
              <w:right w:w="70" w:type="dxa"/>
            </w:tcMar>
            <w:vAlign w:val="center"/>
          </w:tcPr>
          <w:p w:rsidR="00576CA0" w:rsidRDefault="00253119">
            <w:pPr>
              <w:spacing w:line="240" w:lineRule="auto"/>
              <w:jc w:val="center"/>
            </w:pPr>
            <w:r>
              <w:rPr>
                <w:sz w:val="16"/>
              </w:rPr>
              <w:t>34 (38.6)</w:t>
            </w:r>
          </w:p>
        </w:tc>
        <w:tc>
          <w:tcPr>
            <w:tcW w:w="1944" w:type="dxa"/>
            <w:tcMar>
              <w:top w:w="60" w:type="dxa"/>
              <w:left w:w="70" w:type="dxa"/>
              <w:bottom w:w="60" w:type="dxa"/>
              <w:right w:w="70" w:type="dxa"/>
            </w:tcMar>
            <w:vAlign w:val="center"/>
          </w:tcPr>
          <w:p w:rsidR="00576CA0" w:rsidRDefault="00253119">
            <w:pPr>
              <w:spacing w:line="240" w:lineRule="auto"/>
              <w:jc w:val="center"/>
            </w:pPr>
            <w:r>
              <w:rPr>
                <w:sz w:val="16"/>
              </w:rPr>
              <w:t>54 (61.4)</w:t>
            </w:r>
          </w:p>
        </w:tc>
      </w:tr>
      <w:tr w:rsidR="00576CA0">
        <w:trPr>
          <w:jc w:val="center"/>
        </w:trPr>
        <w:tc>
          <w:tcPr>
            <w:tcW w:w="3672" w:type="dxa"/>
            <w:tcMar>
              <w:top w:w="60" w:type="dxa"/>
              <w:left w:w="70" w:type="dxa"/>
              <w:bottom w:w="60" w:type="dxa"/>
              <w:right w:w="70" w:type="dxa"/>
            </w:tcMar>
            <w:vAlign w:val="center"/>
          </w:tcPr>
          <w:p w:rsidR="00576CA0" w:rsidRDefault="00253119">
            <w:pPr>
              <w:spacing w:line="240" w:lineRule="auto"/>
            </w:pPr>
            <w:r>
              <w:rPr>
                <w:sz w:val="16"/>
              </w:rPr>
              <w:t>Colostrum</w:t>
            </w:r>
          </w:p>
        </w:tc>
        <w:tc>
          <w:tcPr>
            <w:tcW w:w="1944" w:type="dxa"/>
            <w:tcMar>
              <w:top w:w="60" w:type="dxa"/>
              <w:left w:w="70" w:type="dxa"/>
              <w:bottom w:w="60" w:type="dxa"/>
              <w:right w:w="70" w:type="dxa"/>
            </w:tcMar>
            <w:vAlign w:val="center"/>
          </w:tcPr>
          <w:p w:rsidR="00576CA0" w:rsidRDefault="00253119">
            <w:pPr>
              <w:spacing w:line="240" w:lineRule="auto"/>
              <w:jc w:val="center"/>
            </w:pPr>
            <w:r>
              <w:rPr>
                <w:sz w:val="16"/>
              </w:rPr>
              <w:t>56 (63.6)</w:t>
            </w:r>
          </w:p>
        </w:tc>
        <w:tc>
          <w:tcPr>
            <w:tcW w:w="1944" w:type="dxa"/>
            <w:tcMar>
              <w:top w:w="60" w:type="dxa"/>
              <w:left w:w="70" w:type="dxa"/>
              <w:bottom w:w="60" w:type="dxa"/>
              <w:right w:w="70" w:type="dxa"/>
            </w:tcMar>
            <w:vAlign w:val="center"/>
          </w:tcPr>
          <w:p w:rsidR="00576CA0" w:rsidRDefault="00253119">
            <w:pPr>
              <w:spacing w:line="240" w:lineRule="auto"/>
              <w:jc w:val="center"/>
            </w:pPr>
            <w:r>
              <w:rPr>
                <w:sz w:val="16"/>
              </w:rPr>
              <w:t>32 (36.4)</w:t>
            </w:r>
          </w:p>
        </w:tc>
        <w:tc>
          <w:tcPr>
            <w:tcW w:w="1944" w:type="dxa"/>
            <w:tcMar>
              <w:top w:w="60" w:type="dxa"/>
              <w:left w:w="70" w:type="dxa"/>
              <w:bottom w:w="60" w:type="dxa"/>
              <w:right w:w="70" w:type="dxa"/>
            </w:tcMar>
            <w:vAlign w:val="center"/>
          </w:tcPr>
          <w:p w:rsidR="00576CA0" w:rsidRDefault="00253119">
            <w:pPr>
              <w:spacing w:line="240" w:lineRule="auto"/>
              <w:jc w:val="center"/>
            </w:pPr>
            <w:r>
              <w:rPr>
                <w:sz w:val="16"/>
              </w:rPr>
              <w:t>20 (22.7)</w:t>
            </w:r>
          </w:p>
        </w:tc>
        <w:tc>
          <w:tcPr>
            <w:tcW w:w="1944" w:type="dxa"/>
            <w:tcMar>
              <w:top w:w="60" w:type="dxa"/>
              <w:left w:w="70" w:type="dxa"/>
              <w:bottom w:w="60" w:type="dxa"/>
              <w:right w:w="70" w:type="dxa"/>
            </w:tcMar>
            <w:vAlign w:val="center"/>
          </w:tcPr>
          <w:p w:rsidR="00576CA0" w:rsidRDefault="00253119">
            <w:pPr>
              <w:spacing w:line="240" w:lineRule="auto"/>
              <w:jc w:val="center"/>
            </w:pPr>
            <w:r>
              <w:rPr>
                <w:sz w:val="16"/>
              </w:rPr>
              <w:t>68 (77.3)</w:t>
            </w:r>
          </w:p>
        </w:tc>
      </w:tr>
    </w:tbl>
    <w:p w:rsidR="00576CA0" w:rsidRDefault="00253119">
      <w:pPr>
        <w:spacing w:after="20" w:line="240" w:lineRule="auto"/>
      </w:pPr>
      <w:r>
        <w:rPr>
          <w:i/>
          <w:sz w:val="17"/>
        </w:rPr>
        <w:t xml:space="preserve">Note. Percentages are calculated within each location (n = 88). Source: </w:t>
      </w:r>
      <w:r>
        <w:rPr>
          <w:i/>
          <w:sz w:val="17"/>
        </w:rPr>
        <w:t>Field survey, 2024.</w:t>
      </w:r>
    </w:p>
    <w:p w:rsidR="00576CA0" w:rsidRDefault="00253119">
      <w:pPr>
        <w:keepNext/>
        <w:spacing w:before="20"/>
      </w:pPr>
      <w:r>
        <w:rPr>
          <w:b/>
        </w:rPr>
        <w:lastRenderedPageBreak/>
        <w:t>4.4 Selected feeding and hygiene practices</w:t>
      </w:r>
    </w:p>
    <w:p w:rsidR="00576CA0" w:rsidRDefault="00253119">
      <w:pPr>
        <w:ind w:firstLine="432"/>
        <w:jc w:val="both"/>
      </w:pPr>
      <w:r>
        <w:t>Self-reported practice was generally favourable, although rural performance was consistently lower. Breastfeeding attentiveness was reported by 96.6% of urban and 93.2% of rural respondents. Th</w:t>
      </w:r>
      <w:r>
        <w:t>e largest location gap concerned appropriate bottle-feeding practice, reported by 90.9% of urban respondents but 75.0% of rural respondents. Handwashing with soap and water was also lower in rural facilities (85.2%) than urban facilities (96.6%). These fin</w:t>
      </w:r>
      <w:r>
        <w:t>dings suggest that repeated facility contact may have diffused basic care messages across both settings, while practices requiring material inputs, water access or more detailed hygiene knowledge remain comparatively unequal.</w:t>
      </w:r>
    </w:p>
    <w:p w:rsidR="00576CA0" w:rsidRDefault="00253119">
      <w:pPr>
        <w:keepNext/>
        <w:spacing w:before="60" w:after="20" w:line="240" w:lineRule="auto"/>
        <w:jc w:val="center"/>
      </w:pPr>
      <w:r>
        <w:rPr>
          <w:b/>
          <w:sz w:val="20"/>
        </w:rPr>
        <w:t xml:space="preserve">Table 4: Selected nutrition </w:t>
      </w:r>
      <w:r>
        <w:rPr>
          <w:b/>
          <w:sz w:val="20"/>
        </w:rPr>
        <w:t>and hygiene practices by location (N = 176)</w:t>
      </w:r>
    </w:p>
    <w:tbl>
      <w:tblPr>
        <w:tblStyle w:val="TableGrid"/>
        <w:tblW w:w="0" w:type="auto"/>
        <w:jc w:val="center"/>
        <w:tblLayout w:type="fixed"/>
        <w:tblLook w:val="04A0" w:firstRow="1" w:lastRow="0" w:firstColumn="1" w:lastColumn="0" w:noHBand="0" w:noVBand="1"/>
      </w:tblPr>
      <w:tblGrid>
        <w:gridCol w:w="4464"/>
        <w:gridCol w:w="2016"/>
        <w:gridCol w:w="2016"/>
        <w:gridCol w:w="2016"/>
      </w:tblGrid>
      <w:tr w:rsidR="00576CA0">
        <w:trPr>
          <w:tblHeader/>
          <w:jc w:val="center"/>
        </w:trPr>
        <w:tc>
          <w:tcPr>
            <w:tcW w:w="4464" w:type="dxa"/>
            <w:tcMar>
              <w:top w:w="60" w:type="dxa"/>
              <w:left w:w="70" w:type="dxa"/>
              <w:bottom w:w="60" w:type="dxa"/>
              <w:right w:w="70" w:type="dxa"/>
            </w:tcMar>
            <w:vAlign w:val="center"/>
          </w:tcPr>
          <w:p w:rsidR="00576CA0" w:rsidRDefault="00253119">
            <w:pPr>
              <w:spacing w:line="240" w:lineRule="auto"/>
              <w:jc w:val="center"/>
            </w:pPr>
            <w:r>
              <w:rPr>
                <w:b/>
                <w:sz w:val="16"/>
              </w:rPr>
              <w:t>Practice indicator</w:t>
            </w:r>
          </w:p>
        </w:tc>
        <w:tc>
          <w:tcPr>
            <w:tcW w:w="2016" w:type="dxa"/>
            <w:tcMar>
              <w:top w:w="60" w:type="dxa"/>
              <w:left w:w="70" w:type="dxa"/>
              <w:bottom w:w="60" w:type="dxa"/>
              <w:right w:w="70" w:type="dxa"/>
            </w:tcMar>
            <w:vAlign w:val="center"/>
          </w:tcPr>
          <w:p w:rsidR="00576CA0" w:rsidRDefault="00253119">
            <w:pPr>
              <w:spacing w:line="240" w:lineRule="auto"/>
              <w:jc w:val="center"/>
            </w:pPr>
            <w:r>
              <w:rPr>
                <w:b/>
                <w:sz w:val="16"/>
              </w:rPr>
              <w:t>Total good n (%)</w:t>
            </w:r>
          </w:p>
        </w:tc>
        <w:tc>
          <w:tcPr>
            <w:tcW w:w="2016" w:type="dxa"/>
            <w:tcMar>
              <w:top w:w="60" w:type="dxa"/>
              <w:left w:w="70" w:type="dxa"/>
              <w:bottom w:w="60" w:type="dxa"/>
              <w:right w:w="70" w:type="dxa"/>
            </w:tcMar>
            <w:vAlign w:val="center"/>
          </w:tcPr>
          <w:p w:rsidR="00576CA0" w:rsidRDefault="00253119">
            <w:pPr>
              <w:spacing w:line="240" w:lineRule="auto"/>
              <w:jc w:val="center"/>
            </w:pPr>
            <w:r>
              <w:rPr>
                <w:b/>
                <w:sz w:val="16"/>
              </w:rPr>
              <w:t>Urban good n (%)</w:t>
            </w:r>
          </w:p>
        </w:tc>
        <w:tc>
          <w:tcPr>
            <w:tcW w:w="2016" w:type="dxa"/>
            <w:tcMar>
              <w:top w:w="60" w:type="dxa"/>
              <w:left w:w="70" w:type="dxa"/>
              <w:bottom w:w="60" w:type="dxa"/>
              <w:right w:w="70" w:type="dxa"/>
            </w:tcMar>
            <w:vAlign w:val="center"/>
          </w:tcPr>
          <w:p w:rsidR="00576CA0" w:rsidRDefault="00253119">
            <w:pPr>
              <w:spacing w:line="240" w:lineRule="auto"/>
              <w:jc w:val="center"/>
            </w:pPr>
            <w:r>
              <w:rPr>
                <w:b/>
                <w:sz w:val="16"/>
              </w:rPr>
              <w:t>Rural good n (%)</w:t>
            </w:r>
          </w:p>
        </w:tc>
      </w:tr>
      <w:tr w:rsidR="00576CA0">
        <w:trPr>
          <w:jc w:val="center"/>
        </w:trPr>
        <w:tc>
          <w:tcPr>
            <w:tcW w:w="4464" w:type="dxa"/>
            <w:tcMar>
              <w:top w:w="60" w:type="dxa"/>
              <w:left w:w="70" w:type="dxa"/>
              <w:bottom w:w="60" w:type="dxa"/>
              <w:right w:w="70" w:type="dxa"/>
            </w:tcMar>
            <w:vAlign w:val="center"/>
          </w:tcPr>
          <w:p w:rsidR="00576CA0" w:rsidRDefault="00253119">
            <w:pPr>
              <w:spacing w:line="240" w:lineRule="auto"/>
            </w:pPr>
            <w:r>
              <w:rPr>
                <w:sz w:val="16"/>
              </w:rPr>
              <w:t>Breastfeeding attentiveness</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167 (94.9)</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85 (96.6)</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82 (93.2)</w:t>
            </w:r>
          </w:p>
        </w:tc>
      </w:tr>
      <w:tr w:rsidR="00576CA0">
        <w:trPr>
          <w:jc w:val="center"/>
        </w:trPr>
        <w:tc>
          <w:tcPr>
            <w:tcW w:w="4464" w:type="dxa"/>
            <w:tcMar>
              <w:top w:w="60" w:type="dxa"/>
              <w:left w:w="70" w:type="dxa"/>
              <w:bottom w:w="60" w:type="dxa"/>
              <w:right w:w="70" w:type="dxa"/>
            </w:tcMar>
            <w:vAlign w:val="center"/>
          </w:tcPr>
          <w:p w:rsidR="00576CA0" w:rsidRDefault="00253119">
            <w:pPr>
              <w:spacing w:line="240" w:lineRule="auto"/>
            </w:pPr>
            <w:r>
              <w:rPr>
                <w:sz w:val="16"/>
              </w:rPr>
              <w:t>Appropriate bottle-feeding practice</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146 (83.0)</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80 (90.9)</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66 (75.0)</w:t>
            </w:r>
          </w:p>
        </w:tc>
      </w:tr>
      <w:tr w:rsidR="00576CA0">
        <w:trPr>
          <w:jc w:val="center"/>
        </w:trPr>
        <w:tc>
          <w:tcPr>
            <w:tcW w:w="4464" w:type="dxa"/>
            <w:tcMar>
              <w:top w:w="60" w:type="dxa"/>
              <w:left w:w="70" w:type="dxa"/>
              <w:bottom w:w="60" w:type="dxa"/>
              <w:right w:w="70" w:type="dxa"/>
            </w:tcMar>
            <w:vAlign w:val="center"/>
          </w:tcPr>
          <w:p w:rsidR="00576CA0" w:rsidRDefault="00253119">
            <w:pPr>
              <w:spacing w:line="240" w:lineRule="auto"/>
            </w:pPr>
            <w:r>
              <w:rPr>
                <w:sz w:val="16"/>
              </w:rPr>
              <w:t xml:space="preserve">Handwashing </w:t>
            </w:r>
            <w:r>
              <w:rPr>
                <w:sz w:val="16"/>
              </w:rPr>
              <w:t>with soap and water</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160 (90.9)</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85 (96.6)</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75 (85.2)</w:t>
            </w:r>
          </w:p>
        </w:tc>
      </w:tr>
    </w:tbl>
    <w:p w:rsidR="00576CA0" w:rsidRDefault="00253119">
      <w:pPr>
        <w:spacing w:after="20" w:line="240" w:lineRule="auto"/>
      </w:pPr>
      <w:r>
        <w:rPr>
          <w:i/>
          <w:sz w:val="17"/>
        </w:rPr>
        <w:t>Note. Urban and rural percentages are calculated within each location. Source: Field survey, 2024.</w:t>
      </w:r>
    </w:p>
    <w:p w:rsidR="00576CA0" w:rsidRDefault="00253119">
      <w:pPr>
        <w:keepNext/>
        <w:spacing w:before="20"/>
      </w:pPr>
      <w:r>
        <w:rPr>
          <w:b/>
        </w:rPr>
        <w:t>4.5 Socio-demographic associations with knowledge and practices</w:t>
      </w:r>
    </w:p>
    <w:p w:rsidR="00576CA0" w:rsidRDefault="00253119">
      <w:pPr>
        <w:ind w:firstLine="432"/>
        <w:jc w:val="both"/>
      </w:pPr>
      <w:r>
        <w:t xml:space="preserve">All selected socio-demographic variables </w:t>
      </w:r>
      <w:r>
        <w:t xml:space="preserve">were significantly associated with nutrition knowledge. Educational attainment produced the largest chi-square statistic, followed by age and marital status. Employment and the number of under-five children were also significant. The null hypothesis of no </w:t>
      </w:r>
      <w:r>
        <w:t>association between socio-demographic characteristics and knowledge was therefore rejected. These results demonstrate that nutrition knowledge is socially stratified and should not be treated as an evenly distributed individual attribute.</w:t>
      </w:r>
    </w:p>
    <w:p w:rsidR="00576CA0" w:rsidRDefault="00253119">
      <w:pPr>
        <w:keepNext/>
        <w:spacing w:before="60" w:after="20" w:line="240" w:lineRule="auto"/>
        <w:jc w:val="center"/>
      </w:pPr>
      <w:r>
        <w:rPr>
          <w:b/>
          <w:sz w:val="20"/>
        </w:rPr>
        <w:t>Table 5: Associat</w:t>
      </w:r>
      <w:r>
        <w:rPr>
          <w:b/>
          <w:sz w:val="20"/>
        </w:rPr>
        <w:t>ions between socio-demographic characteristics and nutrition knowledge</w:t>
      </w:r>
    </w:p>
    <w:tbl>
      <w:tblPr>
        <w:tblStyle w:val="TableGrid"/>
        <w:tblW w:w="0" w:type="auto"/>
        <w:jc w:val="center"/>
        <w:tblLayout w:type="fixed"/>
        <w:tblLook w:val="04A0" w:firstRow="1" w:lastRow="0" w:firstColumn="1" w:lastColumn="0" w:noHBand="0" w:noVBand="1"/>
      </w:tblPr>
      <w:tblGrid>
        <w:gridCol w:w="4464"/>
        <w:gridCol w:w="1296"/>
        <w:gridCol w:w="1008"/>
        <w:gridCol w:w="1440"/>
        <w:gridCol w:w="2016"/>
      </w:tblGrid>
      <w:tr w:rsidR="00576CA0">
        <w:trPr>
          <w:tblHeader/>
          <w:jc w:val="center"/>
        </w:trPr>
        <w:tc>
          <w:tcPr>
            <w:tcW w:w="4464" w:type="dxa"/>
            <w:tcMar>
              <w:top w:w="60" w:type="dxa"/>
              <w:left w:w="70" w:type="dxa"/>
              <w:bottom w:w="60" w:type="dxa"/>
              <w:right w:w="70" w:type="dxa"/>
            </w:tcMar>
            <w:vAlign w:val="center"/>
          </w:tcPr>
          <w:p w:rsidR="00576CA0" w:rsidRDefault="00253119">
            <w:pPr>
              <w:spacing w:line="240" w:lineRule="auto"/>
              <w:jc w:val="center"/>
            </w:pPr>
            <w:r>
              <w:rPr>
                <w:b/>
                <w:sz w:val="16"/>
              </w:rPr>
              <w:t>Variable</w:t>
            </w:r>
          </w:p>
        </w:tc>
        <w:tc>
          <w:tcPr>
            <w:tcW w:w="1296" w:type="dxa"/>
            <w:tcMar>
              <w:top w:w="60" w:type="dxa"/>
              <w:left w:w="70" w:type="dxa"/>
              <w:bottom w:w="60" w:type="dxa"/>
              <w:right w:w="70" w:type="dxa"/>
            </w:tcMar>
            <w:vAlign w:val="center"/>
          </w:tcPr>
          <w:p w:rsidR="00576CA0" w:rsidRDefault="00253119">
            <w:pPr>
              <w:spacing w:line="240" w:lineRule="auto"/>
              <w:jc w:val="center"/>
            </w:pPr>
            <w:r>
              <w:rPr>
                <w:b/>
                <w:sz w:val="16"/>
              </w:rPr>
              <w:t>χ²</w:t>
            </w:r>
          </w:p>
        </w:tc>
        <w:tc>
          <w:tcPr>
            <w:tcW w:w="1008" w:type="dxa"/>
            <w:tcMar>
              <w:top w:w="60" w:type="dxa"/>
              <w:left w:w="70" w:type="dxa"/>
              <w:bottom w:w="60" w:type="dxa"/>
              <w:right w:w="70" w:type="dxa"/>
            </w:tcMar>
            <w:vAlign w:val="center"/>
          </w:tcPr>
          <w:p w:rsidR="00576CA0" w:rsidRDefault="00253119">
            <w:pPr>
              <w:spacing w:line="240" w:lineRule="auto"/>
              <w:jc w:val="center"/>
            </w:pPr>
            <w:r>
              <w:rPr>
                <w:b/>
                <w:sz w:val="16"/>
              </w:rPr>
              <w:t>df</w:t>
            </w:r>
          </w:p>
        </w:tc>
        <w:tc>
          <w:tcPr>
            <w:tcW w:w="1440" w:type="dxa"/>
            <w:tcMar>
              <w:top w:w="60" w:type="dxa"/>
              <w:left w:w="70" w:type="dxa"/>
              <w:bottom w:w="60" w:type="dxa"/>
              <w:right w:w="70" w:type="dxa"/>
            </w:tcMar>
            <w:vAlign w:val="center"/>
          </w:tcPr>
          <w:p w:rsidR="00576CA0" w:rsidRDefault="00253119">
            <w:pPr>
              <w:spacing w:line="240" w:lineRule="auto"/>
              <w:jc w:val="center"/>
            </w:pPr>
            <w:r>
              <w:rPr>
                <w:b/>
                <w:sz w:val="16"/>
              </w:rPr>
              <w:t>p-value</w:t>
            </w:r>
          </w:p>
        </w:tc>
        <w:tc>
          <w:tcPr>
            <w:tcW w:w="2016" w:type="dxa"/>
            <w:tcMar>
              <w:top w:w="60" w:type="dxa"/>
              <w:left w:w="70" w:type="dxa"/>
              <w:bottom w:w="60" w:type="dxa"/>
              <w:right w:w="70" w:type="dxa"/>
            </w:tcMar>
            <w:vAlign w:val="center"/>
          </w:tcPr>
          <w:p w:rsidR="00576CA0" w:rsidRDefault="00253119">
            <w:pPr>
              <w:spacing w:line="240" w:lineRule="auto"/>
              <w:jc w:val="center"/>
            </w:pPr>
            <w:r>
              <w:rPr>
                <w:b/>
                <w:sz w:val="16"/>
              </w:rPr>
              <w:t>Decision</w:t>
            </w:r>
          </w:p>
        </w:tc>
      </w:tr>
      <w:tr w:rsidR="00576CA0">
        <w:trPr>
          <w:jc w:val="center"/>
        </w:trPr>
        <w:tc>
          <w:tcPr>
            <w:tcW w:w="4464" w:type="dxa"/>
            <w:tcMar>
              <w:top w:w="60" w:type="dxa"/>
              <w:left w:w="70" w:type="dxa"/>
              <w:bottom w:w="60" w:type="dxa"/>
              <w:right w:w="70" w:type="dxa"/>
            </w:tcMar>
            <w:vAlign w:val="center"/>
          </w:tcPr>
          <w:p w:rsidR="00576CA0" w:rsidRDefault="00253119">
            <w:pPr>
              <w:spacing w:line="240" w:lineRule="auto"/>
            </w:pPr>
            <w:r>
              <w:rPr>
                <w:sz w:val="16"/>
              </w:rPr>
              <w:t>Caregiver age</w:t>
            </w:r>
          </w:p>
        </w:tc>
        <w:tc>
          <w:tcPr>
            <w:tcW w:w="1296" w:type="dxa"/>
            <w:tcMar>
              <w:top w:w="60" w:type="dxa"/>
              <w:left w:w="70" w:type="dxa"/>
              <w:bottom w:w="60" w:type="dxa"/>
              <w:right w:w="70" w:type="dxa"/>
            </w:tcMar>
            <w:vAlign w:val="center"/>
          </w:tcPr>
          <w:p w:rsidR="00576CA0" w:rsidRDefault="00253119">
            <w:pPr>
              <w:spacing w:line="240" w:lineRule="auto"/>
              <w:jc w:val="center"/>
            </w:pPr>
            <w:r>
              <w:rPr>
                <w:sz w:val="16"/>
              </w:rPr>
              <w:t>82.27</w:t>
            </w:r>
          </w:p>
        </w:tc>
        <w:tc>
          <w:tcPr>
            <w:tcW w:w="1008" w:type="dxa"/>
            <w:tcMar>
              <w:top w:w="60" w:type="dxa"/>
              <w:left w:w="70" w:type="dxa"/>
              <w:bottom w:w="60" w:type="dxa"/>
              <w:right w:w="70" w:type="dxa"/>
            </w:tcMar>
            <w:vAlign w:val="center"/>
          </w:tcPr>
          <w:p w:rsidR="00576CA0" w:rsidRDefault="00253119">
            <w:pPr>
              <w:spacing w:line="240" w:lineRule="auto"/>
              <w:jc w:val="center"/>
            </w:pPr>
            <w:r>
              <w:rPr>
                <w:sz w:val="16"/>
              </w:rPr>
              <w:t>3</w:t>
            </w:r>
          </w:p>
        </w:tc>
        <w:tc>
          <w:tcPr>
            <w:tcW w:w="1440" w:type="dxa"/>
            <w:tcMar>
              <w:top w:w="60" w:type="dxa"/>
              <w:left w:w="70" w:type="dxa"/>
              <w:bottom w:w="60" w:type="dxa"/>
              <w:right w:w="70" w:type="dxa"/>
            </w:tcMar>
            <w:vAlign w:val="center"/>
          </w:tcPr>
          <w:p w:rsidR="00576CA0" w:rsidRDefault="00253119">
            <w:pPr>
              <w:spacing w:line="240" w:lineRule="auto"/>
              <w:jc w:val="center"/>
            </w:pPr>
            <w:r>
              <w:rPr>
                <w:sz w:val="16"/>
              </w:rPr>
              <w:t>&lt; .001</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Significant</w:t>
            </w:r>
          </w:p>
        </w:tc>
      </w:tr>
      <w:tr w:rsidR="00576CA0">
        <w:trPr>
          <w:jc w:val="center"/>
        </w:trPr>
        <w:tc>
          <w:tcPr>
            <w:tcW w:w="4464" w:type="dxa"/>
            <w:tcMar>
              <w:top w:w="60" w:type="dxa"/>
              <w:left w:w="70" w:type="dxa"/>
              <w:bottom w:w="60" w:type="dxa"/>
              <w:right w:w="70" w:type="dxa"/>
            </w:tcMar>
            <w:vAlign w:val="center"/>
          </w:tcPr>
          <w:p w:rsidR="00576CA0" w:rsidRDefault="00253119">
            <w:pPr>
              <w:spacing w:line="240" w:lineRule="auto"/>
            </w:pPr>
            <w:r>
              <w:rPr>
                <w:sz w:val="16"/>
              </w:rPr>
              <w:t>Educational attainment</w:t>
            </w:r>
          </w:p>
        </w:tc>
        <w:tc>
          <w:tcPr>
            <w:tcW w:w="1296" w:type="dxa"/>
            <w:tcMar>
              <w:top w:w="60" w:type="dxa"/>
              <w:left w:w="70" w:type="dxa"/>
              <w:bottom w:w="60" w:type="dxa"/>
              <w:right w:w="70" w:type="dxa"/>
            </w:tcMar>
            <w:vAlign w:val="center"/>
          </w:tcPr>
          <w:p w:rsidR="00576CA0" w:rsidRDefault="00253119">
            <w:pPr>
              <w:spacing w:line="240" w:lineRule="auto"/>
              <w:jc w:val="center"/>
            </w:pPr>
            <w:r>
              <w:rPr>
                <w:sz w:val="16"/>
              </w:rPr>
              <w:t>144.80</w:t>
            </w:r>
          </w:p>
        </w:tc>
        <w:tc>
          <w:tcPr>
            <w:tcW w:w="1008" w:type="dxa"/>
            <w:tcMar>
              <w:top w:w="60" w:type="dxa"/>
              <w:left w:w="70" w:type="dxa"/>
              <w:bottom w:w="60" w:type="dxa"/>
              <w:right w:w="70" w:type="dxa"/>
            </w:tcMar>
            <w:vAlign w:val="center"/>
          </w:tcPr>
          <w:p w:rsidR="00576CA0" w:rsidRDefault="00253119">
            <w:pPr>
              <w:spacing w:line="240" w:lineRule="auto"/>
              <w:jc w:val="center"/>
            </w:pPr>
            <w:r>
              <w:rPr>
                <w:sz w:val="16"/>
              </w:rPr>
              <w:t>2</w:t>
            </w:r>
          </w:p>
        </w:tc>
        <w:tc>
          <w:tcPr>
            <w:tcW w:w="1440" w:type="dxa"/>
            <w:tcMar>
              <w:top w:w="60" w:type="dxa"/>
              <w:left w:w="70" w:type="dxa"/>
              <w:bottom w:w="60" w:type="dxa"/>
              <w:right w:w="70" w:type="dxa"/>
            </w:tcMar>
            <w:vAlign w:val="center"/>
          </w:tcPr>
          <w:p w:rsidR="00576CA0" w:rsidRDefault="00253119">
            <w:pPr>
              <w:spacing w:line="240" w:lineRule="auto"/>
              <w:jc w:val="center"/>
            </w:pPr>
            <w:r>
              <w:rPr>
                <w:sz w:val="16"/>
              </w:rPr>
              <w:t>.001</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Significant</w:t>
            </w:r>
          </w:p>
        </w:tc>
      </w:tr>
      <w:tr w:rsidR="00576CA0">
        <w:trPr>
          <w:jc w:val="center"/>
        </w:trPr>
        <w:tc>
          <w:tcPr>
            <w:tcW w:w="4464" w:type="dxa"/>
            <w:tcMar>
              <w:top w:w="60" w:type="dxa"/>
              <w:left w:w="70" w:type="dxa"/>
              <w:bottom w:w="60" w:type="dxa"/>
              <w:right w:w="70" w:type="dxa"/>
            </w:tcMar>
            <w:vAlign w:val="center"/>
          </w:tcPr>
          <w:p w:rsidR="00576CA0" w:rsidRDefault="00253119">
            <w:pPr>
              <w:spacing w:line="240" w:lineRule="auto"/>
            </w:pPr>
            <w:r>
              <w:rPr>
                <w:sz w:val="16"/>
              </w:rPr>
              <w:t>Employment status</w:t>
            </w:r>
          </w:p>
        </w:tc>
        <w:tc>
          <w:tcPr>
            <w:tcW w:w="1296" w:type="dxa"/>
            <w:tcMar>
              <w:top w:w="60" w:type="dxa"/>
              <w:left w:w="70" w:type="dxa"/>
              <w:bottom w:w="60" w:type="dxa"/>
              <w:right w:w="70" w:type="dxa"/>
            </w:tcMar>
            <w:vAlign w:val="center"/>
          </w:tcPr>
          <w:p w:rsidR="00576CA0" w:rsidRDefault="00253119">
            <w:pPr>
              <w:spacing w:line="240" w:lineRule="auto"/>
              <w:jc w:val="center"/>
            </w:pPr>
            <w:r>
              <w:rPr>
                <w:sz w:val="16"/>
              </w:rPr>
              <w:t>55.57</w:t>
            </w:r>
          </w:p>
        </w:tc>
        <w:tc>
          <w:tcPr>
            <w:tcW w:w="1008" w:type="dxa"/>
            <w:tcMar>
              <w:top w:w="60" w:type="dxa"/>
              <w:left w:w="70" w:type="dxa"/>
              <w:bottom w:w="60" w:type="dxa"/>
              <w:right w:w="70" w:type="dxa"/>
            </w:tcMar>
            <w:vAlign w:val="center"/>
          </w:tcPr>
          <w:p w:rsidR="00576CA0" w:rsidRDefault="00253119">
            <w:pPr>
              <w:spacing w:line="240" w:lineRule="auto"/>
              <w:jc w:val="center"/>
            </w:pPr>
            <w:r>
              <w:rPr>
                <w:sz w:val="16"/>
              </w:rPr>
              <w:t>2</w:t>
            </w:r>
          </w:p>
        </w:tc>
        <w:tc>
          <w:tcPr>
            <w:tcW w:w="1440" w:type="dxa"/>
            <w:tcMar>
              <w:top w:w="60" w:type="dxa"/>
              <w:left w:w="70" w:type="dxa"/>
              <w:bottom w:w="60" w:type="dxa"/>
              <w:right w:w="70" w:type="dxa"/>
            </w:tcMar>
            <w:vAlign w:val="center"/>
          </w:tcPr>
          <w:p w:rsidR="00576CA0" w:rsidRDefault="00253119">
            <w:pPr>
              <w:spacing w:line="240" w:lineRule="auto"/>
              <w:jc w:val="center"/>
            </w:pPr>
            <w:r>
              <w:rPr>
                <w:sz w:val="16"/>
              </w:rPr>
              <w:t>&lt; .001</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Significant</w:t>
            </w:r>
          </w:p>
        </w:tc>
      </w:tr>
      <w:tr w:rsidR="00576CA0">
        <w:trPr>
          <w:jc w:val="center"/>
        </w:trPr>
        <w:tc>
          <w:tcPr>
            <w:tcW w:w="4464" w:type="dxa"/>
            <w:tcMar>
              <w:top w:w="60" w:type="dxa"/>
              <w:left w:w="70" w:type="dxa"/>
              <w:bottom w:w="60" w:type="dxa"/>
              <w:right w:w="70" w:type="dxa"/>
            </w:tcMar>
            <w:vAlign w:val="center"/>
          </w:tcPr>
          <w:p w:rsidR="00576CA0" w:rsidRDefault="00253119">
            <w:pPr>
              <w:spacing w:line="240" w:lineRule="auto"/>
            </w:pPr>
            <w:r>
              <w:rPr>
                <w:sz w:val="16"/>
              </w:rPr>
              <w:t>Marital status</w:t>
            </w:r>
          </w:p>
        </w:tc>
        <w:tc>
          <w:tcPr>
            <w:tcW w:w="1296" w:type="dxa"/>
            <w:tcMar>
              <w:top w:w="60" w:type="dxa"/>
              <w:left w:w="70" w:type="dxa"/>
              <w:bottom w:w="60" w:type="dxa"/>
              <w:right w:w="70" w:type="dxa"/>
            </w:tcMar>
            <w:vAlign w:val="center"/>
          </w:tcPr>
          <w:p w:rsidR="00576CA0" w:rsidRDefault="00253119">
            <w:pPr>
              <w:spacing w:line="240" w:lineRule="auto"/>
              <w:jc w:val="center"/>
            </w:pPr>
            <w:r>
              <w:rPr>
                <w:sz w:val="16"/>
              </w:rPr>
              <w:t>68.38</w:t>
            </w:r>
          </w:p>
        </w:tc>
        <w:tc>
          <w:tcPr>
            <w:tcW w:w="1008" w:type="dxa"/>
            <w:tcMar>
              <w:top w:w="60" w:type="dxa"/>
              <w:left w:w="70" w:type="dxa"/>
              <w:bottom w:w="60" w:type="dxa"/>
              <w:right w:w="70" w:type="dxa"/>
            </w:tcMar>
            <w:vAlign w:val="center"/>
          </w:tcPr>
          <w:p w:rsidR="00576CA0" w:rsidRDefault="00253119">
            <w:pPr>
              <w:spacing w:line="240" w:lineRule="auto"/>
              <w:jc w:val="center"/>
            </w:pPr>
            <w:r>
              <w:rPr>
                <w:sz w:val="16"/>
              </w:rPr>
              <w:t>3</w:t>
            </w:r>
          </w:p>
        </w:tc>
        <w:tc>
          <w:tcPr>
            <w:tcW w:w="1440" w:type="dxa"/>
            <w:tcMar>
              <w:top w:w="60" w:type="dxa"/>
              <w:left w:w="70" w:type="dxa"/>
              <w:bottom w:w="60" w:type="dxa"/>
              <w:right w:w="70" w:type="dxa"/>
            </w:tcMar>
            <w:vAlign w:val="center"/>
          </w:tcPr>
          <w:p w:rsidR="00576CA0" w:rsidRDefault="00253119">
            <w:pPr>
              <w:spacing w:line="240" w:lineRule="auto"/>
              <w:jc w:val="center"/>
            </w:pPr>
            <w:r>
              <w:rPr>
                <w:sz w:val="16"/>
              </w:rPr>
              <w:t>&lt; .001</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Significant</w:t>
            </w:r>
          </w:p>
        </w:tc>
      </w:tr>
      <w:tr w:rsidR="00576CA0">
        <w:trPr>
          <w:jc w:val="center"/>
        </w:trPr>
        <w:tc>
          <w:tcPr>
            <w:tcW w:w="4464" w:type="dxa"/>
            <w:tcMar>
              <w:top w:w="60" w:type="dxa"/>
              <w:left w:w="70" w:type="dxa"/>
              <w:bottom w:w="60" w:type="dxa"/>
              <w:right w:w="70" w:type="dxa"/>
            </w:tcMar>
            <w:vAlign w:val="center"/>
          </w:tcPr>
          <w:p w:rsidR="00576CA0" w:rsidRDefault="00253119">
            <w:pPr>
              <w:spacing w:line="240" w:lineRule="auto"/>
            </w:pPr>
            <w:r>
              <w:rPr>
                <w:sz w:val="16"/>
              </w:rPr>
              <w:t>Number of under-five children</w:t>
            </w:r>
          </w:p>
        </w:tc>
        <w:tc>
          <w:tcPr>
            <w:tcW w:w="1296" w:type="dxa"/>
            <w:tcMar>
              <w:top w:w="60" w:type="dxa"/>
              <w:left w:w="70" w:type="dxa"/>
              <w:bottom w:w="60" w:type="dxa"/>
              <w:right w:w="70" w:type="dxa"/>
            </w:tcMar>
            <w:vAlign w:val="center"/>
          </w:tcPr>
          <w:p w:rsidR="00576CA0" w:rsidRDefault="00253119">
            <w:pPr>
              <w:spacing w:line="240" w:lineRule="auto"/>
              <w:jc w:val="center"/>
            </w:pPr>
            <w:r>
              <w:rPr>
                <w:sz w:val="16"/>
              </w:rPr>
              <w:t>38.70</w:t>
            </w:r>
          </w:p>
        </w:tc>
        <w:tc>
          <w:tcPr>
            <w:tcW w:w="1008" w:type="dxa"/>
            <w:tcMar>
              <w:top w:w="60" w:type="dxa"/>
              <w:left w:w="70" w:type="dxa"/>
              <w:bottom w:w="60" w:type="dxa"/>
              <w:right w:w="70" w:type="dxa"/>
            </w:tcMar>
            <w:vAlign w:val="center"/>
          </w:tcPr>
          <w:p w:rsidR="00576CA0" w:rsidRDefault="00253119">
            <w:pPr>
              <w:spacing w:line="240" w:lineRule="auto"/>
              <w:jc w:val="center"/>
            </w:pPr>
            <w:r>
              <w:rPr>
                <w:sz w:val="16"/>
              </w:rPr>
              <w:t>3</w:t>
            </w:r>
          </w:p>
        </w:tc>
        <w:tc>
          <w:tcPr>
            <w:tcW w:w="1440" w:type="dxa"/>
            <w:tcMar>
              <w:top w:w="60" w:type="dxa"/>
              <w:left w:w="70" w:type="dxa"/>
              <w:bottom w:w="60" w:type="dxa"/>
              <w:right w:w="70" w:type="dxa"/>
            </w:tcMar>
            <w:vAlign w:val="center"/>
          </w:tcPr>
          <w:p w:rsidR="00576CA0" w:rsidRDefault="00253119">
            <w:pPr>
              <w:spacing w:line="240" w:lineRule="auto"/>
              <w:jc w:val="center"/>
            </w:pPr>
            <w:r>
              <w:rPr>
                <w:sz w:val="16"/>
              </w:rPr>
              <w:t>.003</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Significant</w:t>
            </w:r>
          </w:p>
        </w:tc>
      </w:tr>
    </w:tbl>
    <w:p w:rsidR="00576CA0" w:rsidRDefault="00253119">
      <w:pPr>
        <w:spacing w:after="20" w:line="240" w:lineRule="auto"/>
      </w:pPr>
      <w:r>
        <w:rPr>
          <w:i/>
          <w:sz w:val="17"/>
        </w:rPr>
        <w:t>Note. Significance criterion: p &lt; .05. Source: Field survey, 2024.</w:t>
      </w:r>
    </w:p>
    <w:p w:rsidR="00576CA0" w:rsidRDefault="00253119">
      <w:pPr>
        <w:ind w:firstLine="432"/>
        <w:jc w:val="both"/>
      </w:pPr>
      <w:r>
        <w:t xml:space="preserve">A similar pattern emerged for nutrition practices. Age, education, employment, marital status and </w:t>
      </w:r>
      <w:r>
        <w:t>household income were each significantly associated with reported practice. Household income generated the largest test statistic, marginally exceeding education, which indicates that practical nutrition behaviour depends heavily on material capability. Th</w:t>
      </w:r>
      <w:r>
        <w:t>e second null hypothesis was consequently rejected.</w:t>
      </w:r>
    </w:p>
    <w:p w:rsidR="00576CA0" w:rsidRDefault="00253119">
      <w:pPr>
        <w:keepNext/>
        <w:spacing w:before="60" w:after="20" w:line="240" w:lineRule="auto"/>
        <w:jc w:val="center"/>
      </w:pPr>
      <w:r>
        <w:rPr>
          <w:b/>
          <w:sz w:val="20"/>
        </w:rPr>
        <w:t>Table 6: Associations between socio-demographic characteristics and nutrition practices</w:t>
      </w:r>
    </w:p>
    <w:tbl>
      <w:tblPr>
        <w:tblStyle w:val="TableGrid"/>
        <w:tblW w:w="0" w:type="auto"/>
        <w:jc w:val="center"/>
        <w:tblLayout w:type="fixed"/>
        <w:tblLook w:val="04A0" w:firstRow="1" w:lastRow="0" w:firstColumn="1" w:lastColumn="0" w:noHBand="0" w:noVBand="1"/>
      </w:tblPr>
      <w:tblGrid>
        <w:gridCol w:w="4464"/>
        <w:gridCol w:w="1296"/>
        <w:gridCol w:w="1008"/>
        <w:gridCol w:w="1440"/>
        <w:gridCol w:w="2016"/>
      </w:tblGrid>
      <w:tr w:rsidR="00576CA0">
        <w:trPr>
          <w:tblHeader/>
          <w:jc w:val="center"/>
        </w:trPr>
        <w:tc>
          <w:tcPr>
            <w:tcW w:w="4464" w:type="dxa"/>
            <w:tcMar>
              <w:top w:w="60" w:type="dxa"/>
              <w:left w:w="70" w:type="dxa"/>
              <w:bottom w:w="60" w:type="dxa"/>
              <w:right w:w="70" w:type="dxa"/>
            </w:tcMar>
            <w:vAlign w:val="center"/>
          </w:tcPr>
          <w:p w:rsidR="00576CA0" w:rsidRDefault="00253119">
            <w:pPr>
              <w:spacing w:line="240" w:lineRule="auto"/>
              <w:jc w:val="center"/>
            </w:pPr>
            <w:r>
              <w:rPr>
                <w:b/>
                <w:sz w:val="16"/>
              </w:rPr>
              <w:t>Variable</w:t>
            </w:r>
          </w:p>
        </w:tc>
        <w:tc>
          <w:tcPr>
            <w:tcW w:w="1296" w:type="dxa"/>
            <w:tcMar>
              <w:top w:w="60" w:type="dxa"/>
              <w:left w:w="70" w:type="dxa"/>
              <w:bottom w:w="60" w:type="dxa"/>
              <w:right w:w="70" w:type="dxa"/>
            </w:tcMar>
            <w:vAlign w:val="center"/>
          </w:tcPr>
          <w:p w:rsidR="00576CA0" w:rsidRDefault="00253119">
            <w:pPr>
              <w:spacing w:line="240" w:lineRule="auto"/>
              <w:jc w:val="center"/>
            </w:pPr>
            <w:r>
              <w:rPr>
                <w:b/>
                <w:sz w:val="16"/>
              </w:rPr>
              <w:t>χ²</w:t>
            </w:r>
          </w:p>
        </w:tc>
        <w:tc>
          <w:tcPr>
            <w:tcW w:w="1008" w:type="dxa"/>
            <w:tcMar>
              <w:top w:w="60" w:type="dxa"/>
              <w:left w:w="70" w:type="dxa"/>
              <w:bottom w:w="60" w:type="dxa"/>
              <w:right w:w="70" w:type="dxa"/>
            </w:tcMar>
            <w:vAlign w:val="center"/>
          </w:tcPr>
          <w:p w:rsidR="00576CA0" w:rsidRDefault="00253119">
            <w:pPr>
              <w:spacing w:line="240" w:lineRule="auto"/>
              <w:jc w:val="center"/>
            </w:pPr>
            <w:r>
              <w:rPr>
                <w:b/>
                <w:sz w:val="16"/>
              </w:rPr>
              <w:t>df</w:t>
            </w:r>
          </w:p>
        </w:tc>
        <w:tc>
          <w:tcPr>
            <w:tcW w:w="1440" w:type="dxa"/>
            <w:tcMar>
              <w:top w:w="60" w:type="dxa"/>
              <w:left w:w="70" w:type="dxa"/>
              <w:bottom w:w="60" w:type="dxa"/>
              <w:right w:w="70" w:type="dxa"/>
            </w:tcMar>
            <w:vAlign w:val="center"/>
          </w:tcPr>
          <w:p w:rsidR="00576CA0" w:rsidRDefault="00253119">
            <w:pPr>
              <w:spacing w:line="240" w:lineRule="auto"/>
              <w:jc w:val="center"/>
            </w:pPr>
            <w:r>
              <w:rPr>
                <w:b/>
                <w:sz w:val="16"/>
              </w:rPr>
              <w:t>p-value</w:t>
            </w:r>
          </w:p>
        </w:tc>
        <w:tc>
          <w:tcPr>
            <w:tcW w:w="2016" w:type="dxa"/>
            <w:tcMar>
              <w:top w:w="60" w:type="dxa"/>
              <w:left w:w="70" w:type="dxa"/>
              <w:bottom w:w="60" w:type="dxa"/>
              <w:right w:w="70" w:type="dxa"/>
            </w:tcMar>
            <w:vAlign w:val="center"/>
          </w:tcPr>
          <w:p w:rsidR="00576CA0" w:rsidRDefault="00253119">
            <w:pPr>
              <w:spacing w:line="240" w:lineRule="auto"/>
              <w:jc w:val="center"/>
            </w:pPr>
            <w:r>
              <w:rPr>
                <w:b/>
                <w:sz w:val="16"/>
              </w:rPr>
              <w:t>Decision</w:t>
            </w:r>
          </w:p>
        </w:tc>
      </w:tr>
      <w:tr w:rsidR="00576CA0">
        <w:trPr>
          <w:jc w:val="center"/>
        </w:trPr>
        <w:tc>
          <w:tcPr>
            <w:tcW w:w="4464" w:type="dxa"/>
            <w:tcMar>
              <w:top w:w="60" w:type="dxa"/>
              <w:left w:w="70" w:type="dxa"/>
              <w:bottom w:w="60" w:type="dxa"/>
              <w:right w:w="70" w:type="dxa"/>
            </w:tcMar>
            <w:vAlign w:val="center"/>
          </w:tcPr>
          <w:p w:rsidR="00576CA0" w:rsidRDefault="00253119">
            <w:pPr>
              <w:spacing w:line="240" w:lineRule="auto"/>
            </w:pPr>
            <w:r>
              <w:rPr>
                <w:sz w:val="16"/>
              </w:rPr>
              <w:t>Caregiver age</w:t>
            </w:r>
          </w:p>
        </w:tc>
        <w:tc>
          <w:tcPr>
            <w:tcW w:w="1296" w:type="dxa"/>
            <w:tcMar>
              <w:top w:w="60" w:type="dxa"/>
              <w:left w:w="70" w:type="dxa"/>
              <w:bottom w:w="60" w:type="dxa"/>
              <w:right w:w="70" w:type="dxa"/>
            </w:tcMar>
            <w:vAlign w:val="center"/>
          </w:tcPr>
          <w:p w:rsidR="00576CA0" w:rsidRDefault="00253119">
            <w:pPr>
              <w:spacing w:line="240" w:lineRule="auto"/>
              <w:jc w:val="center"/>
            </w:pPr>
            <w:r>
              <w:rPr>
                <w:sz w:val="16"/>
              </w:rPr>
              <w:t>74.07</w:t>
            </w:r>
          </w:p>
        </w:tc>
        <w:tc>
          <w:tcPr>
            <w:tcW w:w="1008" w:type="dxa"/>
            <w:tcMar>
              <w:top w:w="60" w:type="dxa"/>
              <w:left w:w="70" w:type="dxa"/>
              <w:bottom w:w="60" w:type="dxa"/>
              <w:right w:w="70" w:type="dxa"/>
            </w:tcMar>
            <w:vAlign w:val="center"/>
          </w:tcPr>
          <w:p w:rsidR="00576CA0" w:rsidRDefault="00253119">
            <w:pPr>
              <w:spacing w:line="240" w:lineRule="auto"/>
              <w:jc w:val="center"/>
            </w:pPr>
            <w:r>
              <w:rPr>
                <w:sz w:val="16"/>
              </w:rPr>
              <w:t>3</w:t>
            </w:r>
          </w:p>
        </w:tc>
        <w:tc>
          <w:tcPr>
            <w:tcW w:w="1440" w:type="dxa"/>
            <w:tcMar>
              <w:top w:w="60" w:type="dxa"/>
              <w:left w:w="70" w:type="dxa"/>
              <w:bottom w:w="60" w:type="dxa"/>
              <w:right w:w="70" w:type="dxa"/>
            </w:tcMar>
            <w:vAlign w:val="center"/>
          </w:tcPr>
          <w:p w:rsidR="00576CA0" w:rsidRDefault="00253119">
            <w:pPr>
              <w:spacing w:line="240" w:lineRule="auto"/>
              <w:jc w:val="center"/>
            </w:pPr>
            <w:r>
              <w:rPr>
                <w:sz w:val="16"/>
              </w:rPr>
              <w:t>&lt; .001</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Significant</w:t>
            </w:r>
          </w:p>
        </w:tc>
      </w:tr>
      <w:tr w:rsidR="00576CA0">
        <w:trPr>
          <w:jc w:val="center"/>
        </w:trPr>
        <w:tc>
          <w:tcPr>
            <w:tcW w:w="4464" w:type="dxa"/>
            <w:tcMar>
              <w:top w:w="60" w:type="dxa"/>
              <w:left w:w="70" w:type="dxa"/>
              <w:bottom w:w="60" w:type="dxa"/>
              <w:right w:w="70" w:type="dxa"/>
            </w:tcMar>
            <w:vAlign w:val="center"/>
          </w:tcPr>
          <w:p w:rsidR="00576CA0" w:rsidRDefault="00253119">
            <w:pPr>
              <w:spacing w:line="240" w:lineRule="auto"/>
            </w:pPr>
            <w:r>
              <w:rPr>
                <w:sz w:val="16"/>
              </w:rPr>
              <w:t>Educational attainment</w:t>
            </w:r>
          </w:p>
        </w:tc>
        <w:tc>
          <w:tcPr>
            <w:tcW w:w="1296" w:type="dxa"/>
            <w:tcMar>
              <w:top w:w="60" w:type="dxa"/>
              <w:left w:w="70" w:type="dxa"/>
              <w:bottom w:w="60" w:type="dxa"/>
              <w:right w:w="70" w:type="dxa"/>
            </w:tcMar>
            <w:vAlign w:val="center"/>
          </w:tcPr>
          <w:p w:rsidR="00576CA0" w:rsidRDefault="00253119">
            <w:pPr>
              <w:spacing w:line="240" w:lineRule="auto"/>
              <w:jc w:val="center"/>
            </w:pPr>
            <w:r>
              <w:rPr>
                <w:sz w:val="16"/>
              </w:rPr>
              <w:t>120.80</w:t>
            </w:r>
          </w:p>
        </w:tc>
        <w:tc>
          <w:tcPr>
            <w:tcW w:w="1008" w:type="dxa"/>
            <w:tcMar>
              <w:top w:w="60" w:type="dxa"/>
              <w:left w:w="70" w:type="dxa"/>
              <w:bottom w:w="60" w:type="dxa"/>
              <w:right w:w="70" w:type="dxa"/>
            </w:tcMar>
            <w:vAlign w:val="center"/>
          </w:tcPr>
          <w:p w:rsidR="00576CA0" w:rsidRDefault="00253119">
            <w:pPr>
              <w:spacing w:line="240" w:lineRule="auto"/>
              <w:jc w:val="center"/>
            </w:pPr>
            <w:r>
              <w:rPr>
                <w:sz w:val="16"/>
              </w:rPr>
              <w:t>2</w:t>
            </w:r>
          </w:p>
        </w:tc>
        <w:tc>
          <w:tcPr>
            <w:tcW w:w="1440" w:type="dxa"/>
            <w:tcMar>
              <w:top w:w="60" w:type="dxa"/>
              <w:left w:w="70" w:type="dxa"/>
              <w:bottom w:w="60" w:type="dxa"/>
              <w:right w:w="70" w:type="dxa"/>
            </w:tcMar>
            <w:vAlign w:val="center"/>
          </w:tcPr>
          <w:p w:rsidR="00576CA0" w:rsidRDefault="00253119">
            <w:pPr>
              <w:spacing w:line="240" w:lineRule="auto"/>
              <w:jc w:val="center"/>
            </w:pPr>
            <w:r>
              <w:rPr>
                <w:sz w:val="16"/>
              </w:rPr>
              <w:t>&lt; .001</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Significant</w:t>
            </w:r>
          </w:p>
        </w:tc>
      </w:tr>
      <w:tr w:rsidR="00576CA0">
        <w:trPr>
          <w:jc w:val="center"/>
        </w:trPr>
        <w:tc>
          <w:tcPr>
            <w:tcW w:w="4464" w:type="dxa"/>
            <w:tcMar>
              <w:top w:w="60" w:type="dxa"/>
              <w:left w:w="70" w:type="dxa"/>
              <w:bottom w:w="60" w:type="dxa"/>
              <w:right w:w="70" w:type="dxa"/>
            </w:tcMar>
            <w:vAlign w:val="center"/>
          </w:tcPr>
          <w:p w:rsidR="00576CA0" w:rsidRDefault="00253119">
            <w:pPr>
              <w:spacing w:line="240" w:lineRule="auto"/>
            </w:pPr>
            <w:r>
              <w:rPr>
                <w:sz w:val="16"/>
              </w:rPr>
              <w:t>Employment status</w:t>
            </w:r>
          </w:p>
        </w:tc>
        <w:tc>
          <w:tcPr>
            <w:tcW w:w="1296" w:type="dxa"/>
            <w:tcMar>
              <w:top w:w="60" w:type="dxa"/>
              <w:left w:w="70" w:type="dxa"/>
              <w:bottom w:w="60" w:type="dxa"/>
              <w:right w:w="70" w:type="dxa"/>
            </w:tcMar>
            <w:vAlign w:val="center"/>
          </w:tcPr>
          <w:p w:rsidR="00576CA0" w:rsidRDefault="00253119">
            <w:pPr>
              <w:spacing w:line="240" w:lineRule="auto"/>
              <w:jc w:val="center"/>
            </w:pPr>
            <w:r>
              <w:rPr>
                <w:sz w:val="16"/>
              </w:rPr>
              <w:t>48.50</w:t>
            </w:r>
          </w:p>
        </w:tc>
        <w:tc>
          <w:tcPr>
            <w:tcW w:w="1008" w:type="dxa"/>
            <w:tcMar>
              <w:top w:w="60" w:type="dxa"/>
              <w:left w:w="70" w:type="dxa"/>
              <w:bottom w:w="60" w:type="dxa"/>
              <w:right w:w="70" w:type="dxa"/>
            </w:tcMar>
            <w:vAlign w:val="center"/>
          </w:tcPr>
          <w:p w:rsidR="00576CA0" w:rsidRDefault="00253119">
            <w:pPr>
              <w:spacing w:line="240" w:lineRule="auto"/>
              <w:jc w:val="center"/>
            </w:pPr>
            <w:r>
              <w:rPr>
                <w:sz w:val="16"/>
              </w:rPr>
              <w:t>2</w:t>
            </w:r>
          </w:p>
        </w:tc>
        <w:tc>
          <w:tcPr>
            <w:tcW w:w="1440" w:type="dxa"/>
            <w:tcMar>
              <w:top w:w="60" w:type="dxa"/>
              <w:left w:w="70" w:type="dxa"/>
              <w:bottom w:w="60" w:type="dxa"/>
              <w:right w:w="70" w:type="dxa"/>
            </w:tcMar>
            <w:vAlign w:val="center"/>
          </w:tcPr>
          <w:p w:rsidR="00576CA0" w:rsidRDefault="00253119">
            <w:pPr>
              <w:spacing w:line="240" w:lineRule="auto"/>
              <w:jc w:val="center"/>
            </w:pPr>
            <w:r>
              <w:rPr>
                <w:sz w:val="16"/>
              </w:rPr>
              <w:t>&lt; .001</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Significant</w:t>
            </w:r>
          </w:p>
        </w:tc>
      </w:tr>
      <w:tr w:rsidR="00576CA0">
        <w:trPr>
          <w:jc w:val="center"/>
        </w:trPr>
        <w:tc>
          <w:tcPr>
            <w:tcW w:w="4464" w:type="dxa"/>
            <w:tcMar>
              <w:top w:w="60" w:type="dxa"/>
              <w:left w:w="70" w:type="dxa"/>
              <w:bottom w:w="60" w:type="dxa"/>
              <w:right w:w="70" w:type="dxa"/>
            </w:tcMar>
            <w:vAlign w:val="center"/>
          </w:tcPr>
          <w:p w:rsidR="00576CA0" w:rsidRDefault="00253119">
            <w:pPr>
              <w:spacing w:line="240" w:lineRule="auto"/>
            </w:pPr>
            <w:r>
              <w:rPr>
                <w:sz w:val="16"/>
              </w:rPr>
              <w:t>Marital status</w:t>
            </w:r>
          </w:p>
        </w:tc>
        <w:tc>
          <w:tcPr>
            <w:tcW w:w="1296" w:type="dxa"/>
            <w:tcMar>
              <w:top w:w="60" w:type="dxa"/>
              <w:left w:w="70" w:type="dxa"/>
              <w:bottom w:w="60" w:type="dxa"/>
              <w:right w:w="70" w:type="dxa"/>
            </w:tcMar>
            <w:vAlign w:val="center"/>
          </w:tcPr>
          <w:p w:rsidR="00576CA0" w:rsidRDefault="00253119">
            <w:pPr>
              <w:spacing w:line="240" w:lineRule="auto"/>
              <w:jc w:val="center"/>
            </w:pPr>
            <w:r>
              <w:rPr>
                <w:sz w:val="16"/>
              </w:rPr>
              <w:t>81.46</w:t>
            </w:r>
          </w:p>
        </w:tc>
        <w:tc>
          <w:tcPr>
            <w:tcW w:w="1008" w:type="dxa"/>
            <w:tcMar>
              <w:top w:w="60" w:type="dxa"/>
              <w:left w:w="70" w:type="dxa"/>
              <w:bottom w:w="60" w:type="dxa"/>
              <w:right w:w="70" w:type="dxa"/>
            </w:tcMar>
            <w:vAlign w:val="center"/>
          </w:tcPr>
          <w:p w:rsidR="00576CA0" w:rsidRDefault="00253119">
            <w:pPr>
              <w:spacing w:line="240" w:lineRule="auto"/>
              <w:jc w:val="center"/>
            </w:pPr>
            <w:r>
              <w:rPr>
                <w:sz w:val="16"/>
              </w:rPr>
              <w:t>3</w:t>
            </w:r>
          </w:p>
        </w:tc>
        <w:tc>
          <w:tcPr>
            <w:tcW w:w="1440" w:type="dxa"/>
            <w:tcMar>
              <w:top w:w="60" w:type="dxa"/>
              <w:left w:w="70" w:type="dxa"/>
              <w:bottom w:w="60" w:type="dxa"/>
              <w:right w:w="70" w:type="dxa"/>
            </w:tcMar>
            <w:vAlign w:val="center"/>
          </w:tcPr>
          <w:p w:rsidR="00576CA0" w:rsidRDefault="00253119">
            <w:pPr>
              <w:spacing w:line="240" w:lineRule="auto"/>
              <w:jc w:val="center"/>
            </w:pPr>
            <w:r>
              <w:rPr>
                <w:sz w:val="16"/>
              </w:rPr>
              <w:t>&lt; .001</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Significant</w:t>
            </w:r>
          </w:p>
        </w:tc>
      </w:tr>
      <w:tr w:rsidR="00576CA0">
        <w:trPr>
          <w:jc w:val="center"/>
        </w:trPr>
        <w:tc>
          <w:tcPr>
            <w:tcW w:w="4464" w:type="dxa"/>
            <w:tcMar>
              <w:top w:w="60" w:type="dxa"/>
              <w:left w:w="70" w:type="dxa"/>
              <w:bottom w:w="60" w:type="dxa"/>
              <w:right w:w="70" w:type="dxa"/>
            </w:tcMar>
            <w:vAlign w:val="center"/>
          </w:tcPr>
          <w:p w:rsidR="00576CA0" w:rsidRDefault="00253119">
            <w:pPr>
              <w:spacing w:line="240" w:lineRule="auto"/>
            </w:pPr>
            <w:r>
              <w:rPr>
                <w:sz w:val="16"/>
              </w:rPr>
              <w:t>Household income</w:t>
            </w:r>
          </w:p>
        </w:tc>
        <w:tc>
          <w:tcPr>
            <w:tcW w:w="1296" w:type="dxa"/>
            <w:tcMar>
              <w:top w:w="60" w:type="dxa"/>
              <w:left w:w="70" w:type="dxa"/>
              <w:bottom w:w="60" w:type="dxa"/>
              <w:right w:w="70" w:type="dxa"/>
            </w:tcMar>
            <w:vAlign w:val="center"/>
          </w:tcPr>
          <w:p w:rsidR="00576CA0" w:rsidRDefault="00253119">
            <w:pPr>
              <w:spacing w:line="240" w:lineRule="auto"/>
              <w:jc w:val="center"/>
            </w:pPr>
            <w:r>
              <w:rPr>
                <w:sz w:val="16"/>
              </w:rPr>
              <w:t>125.90</w:t>
            </w:r>
          </w:p>
        </w:tc>
        <w:tc>
          <w:tcPr>
            <w:tcW w:w="1008" w:type="dxa"/>
            <w:tcMar>
              <w:top w:w="60" w:type="dxa"/>
              <w:left w:w="70" w:type="dxa"/>
              <w:bottom w:w="60" w:type="dxa"/>
              <w:right w:w="70" w:type="dxa"/>
            </w:tcMar>
            <w:vAlign w:val="center"/>
          </w:tcPr>
          <w:p w:rsidR="00576CA0" w:rsidRDefault="00253119">
            <w:pPr>
              <w:spacing w:line="240" w:lineRule="auto"/>
              <w:jc w:val="center"/>
            </w:pPr>
            <w:r>
              <w:rPr>
                <w:sz w:val="16"/>
              </w:rPr>
              <w:t>2</w:t>
            </w:r>
          </w:p>
        </w:tc>
        <w:tc>
          <w:tcPr>
            <w:tcW w:w="1440" w:type="dxa"/>
            <w:tcMar>
              <w:top w:w="60" w:type="dxa"/>
              <w:left w:w="70" w:type="dxa"/>
              <w:bottom w:w="60" w:type="dxa"/>
              <w:right w:w="70" w:type="dxa"/>
            </w:tcMar>
            <w:vAlign w:val="center"/>
          </w:tcPr>
          <w:p w:rsidR="00576CA0" w:rsidRDefault="00253119">
            <w:pPr>
              <w:spacing w:line="240" w:lineRule="auto"/>
              <w:jc w:val="center"/>
            </w:pPr>
            <w:r>
              <w:rPr>
                <w:sz w:val="16"/>
              </w:rPr>
              <w:t>&lt; .001</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Significant</w:t>
            </w:r>
          </w:p>
        </w:tc>
      </w:tr>
    </w:tbl>
    <w:p w:rsidR="00576CA0" w:rsidRDefault="00253119">
      <w:pPr>
        <w:spacing w:after="20" w:line="240" w:lineRule="auto"/>
      </w:pPr>
      <w:r>
        <w:rPr>
          <w:i/>
          <w:sz w:val="17"/>
        </w:rPr>
        <w:t>Note. Significance criterion: p &lt; .05. Source: Field survey, 2024.</w:t>
      </w:r>
    </w:p>
    <w:p w:rsidR="00576CA0" w:rsidRDefault="00253119">
      <w:pPr>
        <w:keepNext/>
        <w:spacing w:before="20"/>
      </w:pPr>
      <w:r>
        <w:rPr>
          <w:b/>
        </w:rPr>
        <w:lastRenderedPageBreak/>
        <w:t xml:space="preserve">4.6 Nutritional status of under-five </w:t>
      </w:r>
      <w:r>
        <w:rPr>
          <w:b/>
        </w:rPr>
        <w:t>children</w:t>
      </w:r>
    </w:p>
    <w:p w:rsidR="00576CA0" w:rsidRDefault="00253119">
      <w:pPr>
        <w:ind w:firstLine="432"/>
        <w:jc w:val="both"/>
      </w:pPr>
      <w:r>
        <w:t>Weight-for-age assessment showed that 110 children (62.5%) were underweight. The burden was higher in rural facilities, where 65.9% were underweight, compared with 59.1% in urban facilities. Height-for-age results indicated that 21.0% were stunted</w:t>
      </w:r>
      <w:r>
        <w:t xml:space="preserve"> and a further 10.2% were severely stunted. Severe stunting exhibited the clearest rural concentration: 17.0% of rural children were severely stunted compared with 3.4% of urban children. The magnitude of underweight and chronic growth failure identifies a</w:t>
      </w:r>
      <w:r>
        <w:t xml:space="preserve"> serious local public-health problem and substantiates the need for intensified growth monitoring, case referral and household-level preventive support.</w:t>
      </w:r>
    </w:p>
    <w:p w:rsidR="00576CA0" w:rsidRDefault="00253119">
      <w:pPr>
        <w:keepNext/>
        <w:spacing w:before="60" w:after="20" w:line="240" w:lineRule="auto"/>
        <w:jc w:val="center"/>
      </w:pPr>
      <w:r>
        <w:rPr>
          <w:b/>
          <w:sz w:val="20"/>
        </w:rPr>
        <w:t>Table 7: Anthropometric status of under-five children (N = 176)</w:t>
      </w:r>
    </w:p>
    <w:tbl>
      <w:tblPr>
        <w:tblStyle w:val="TableGrid"/>
        <w:tblW w:w="0" w:type="auto"/>
        <w:jc w:val="center"/>
        <w:tblLayout w:type="fixed"/>
        <w:tblLook w:val="04A0" w:firstRow="1" w:lastRow="0" w:firstColumn="1" w:lastColumn="0" w:noHBand="0" w:noVBand="1"/>
      </w:tblPr>
      <w:tblGrid>
        <w:gridCol w:w="4032"/>
        <w:gridCol w:w="2016"/>
        <w:gridCol w:w="2016"/>
        <w:gridCol w:w="2016"/>
      </w:tblGrid>
      <w:tr w:rsidR="00576CA0">
        <w:trPr>
          <w:tblHeader/>
          <w:jc w:val="center"/>
        </w:trPr>
        <w:tc>
          <w:tcPr>
            <w:tcW w:w="4032" w:type="dxa"/>
            <w:tcMar>
              <w:top w:w="60" w:type="dxa"/>
              <w:left w:w="70" w:type="dxa"/>
              <w:bottom w:w="60" w:type="dxa"/>
              <w:right w:w="70" w:type="dxa"/>
            </w:tcMar>
            <w:vAlign w:val="center"/>
          </w:tcPr>
          <w:p w:rsidR="00576CA0" w:rsidRDefault="00253119">
            <w:pPr>
              <w:spacing w:line="240" w:lineRule="auto"/>
              <w:jc w:val="center"/>
            </w:pPr>
            <w:r>
              <w:rPr>
                <w:b/>
                <w:sz w:val="16"/>
              </w:rPr>
              <w:t>Nutritional status</w:t>
            </w:r>
          </w:p>
        </w:tc>
        <w:tc>
          <w:tcPr>
            <w:tcW w:w="2016" w:type="dxa"/>
            <w:tcMar>
              <w:top w:w="60" w:type="dxa"/>
              <w:left w:w="70" w:type="dxa"/>
              <w:bottom w:w="60" w:type="dxa"/>
              <w:right w:w="70" w:type="dxa"/>
            </w:tcMar>
            <w:vAlign w:val="center"/>
          </w:tcPr>
          <w:p w:rsidR="00576CA0" w:rsidRDefault="00253119">
            <w:pPr>
              <w:spacing w:line="240" w:lineRule="auto"/>
              <w:jc w:val="center"/>
            </w:pPr>
            <w:r>
              <w:rPr>
                <w:b/>
                <w:sz w:val="16"/>
              </w:rPr>
              <w:t>Total n (%)</w:t>
            </w:r>
          </w:p>
        </w:tc>
        <w:tc>
          <w:tcPr>
            <w:tcW w:w="2016" w:type="dxa"/>
            <w:tcMar>
              <w:top w:w="60" w:type="dxa"/>
              <w:left w:w="70" w:type="dxa"/>
              <w:bottom w:w="60" w:type="dxa"/>
              <w:right w:w="70" w:type="dxa"/>
            </w:tcMar>
            <w:vAlign w:val="center"/>
          </w:tcPr>
          <w:p w:rsidR="00576CA0" w:rsidRDefault="00253119">
            <w:pPr>
              <w:spacing w:line="240" w:lineRule="auto"/>
              <w:jc w:val="center"/>
            </w:pPr>
            <w:r>
              <w:rPr>
                <w:b/>
                <w:sz w:val="16"/>
              </w:rPr>
              <w:t xml:space="preserve">Urban n </w:t>
            </w:r>
            <w:r>
              <w:rPr>
                <w:b/>
                <w:sz w:val="16"/>
              </w:rPr>
              <w:t>(%)</w:t>
            </w:r>
          </w:p>
        </w:tc>
        <w:tc>
          <w:tcPr>
            <w:tcW w:w="2016" w:type="dxa"/>
            <w:tcMar>
              <w:top w:w="60" w:type="dxa"/>
              <w:left w:w="70" w:type="dxa"/>
              <w:bottom w:w="60" w:type="dxa"/>
              <w:right w:w="70" w:type="dxa"/>
            </w:tcMar>
            <w:vAlign w:val="center"/>
          </w:tcPr>
          <w:p w:rsidR="00576CA0" w:rsidRDefault="00253119">
            <w:pPr>
              <w:spacing w:line="240" w:lineRule="auto"/>
              <w:jc w:val="center"/>
            </w:pPr>
            <w:r>
              <w:rPr>
                <w:b/>
                <w:sz w:val="16"/>
              </w:rPr>
              <w:t>Rural n (%)</w:t>
            </w:r>
          </w:p>
        </w:tc>
      </w:tr>
      <w:tr w:rsidR="00576CA0">
        <w:trPr>
          <w:jc w:val="center"/>
        </w:trPr>
        <w:tc>
          <w:tcPr>
            <w:tcW w:w="4032" w:type="dxa"/>
            <w:tcMar>
              <w:top w:w="60" w:type="dxa"/>
              <w:left w:w="70" w:type="dxa"/>
              <w:bottom w:w="60" w:type="dxa"/>
              <w:right w:w="70" w:type="dxa"/>
            </w:tcMar>
            <w:vAlign w:val="center"/>
          </w:tcPr>
          <w:p w:rsidR="00576CA0" w:rsidRDefault="00253119">
            <w:pPr>
              <w:spacing w:line="240" w:lineRule="auto"/>
            </w:pPr>
            <w:r>
              <w:rPr>
                <w:b/>
                <w:sz w:val="16"/>
              </w:rPr>
              <w:t>Weight-for-age</w:t>
            </w:r>
          </w:p>
        </w:tc>
        <w:tc>
          <w:tcPr>
            <w:tcW w:w="2016" w:type="dxa"/>
            <w:tcMar>
              <w:top w:w="60" w:type="dxa"/>
              <w:left w:w="70" w:type="dxa"/>
              <w:bottom w:w="60" w:type="dxa"/>
              <w:right w:w="70" w:type="dxa"/>
            </w:tcMar>
            <w:vAlign w:val="center"/>
          </w:tcPr>
          <w:p w:rsidR="00576CA0" w:rsidRDefault="00576CA0">
            <w:pPr>
              <w:spacing w:line="240" w:lineRule="auto"/>
              <w:jc w:val="center"/>
            </w:pPr>
          </w:p>
        </w:tc>
        <w:tc>
          <w:tcPr>
            <w:tcW w:w="2016" w:type="dxa"/>
            <w:tcMar>
              <w:top w:w="60" w:type="dxa"/>
              <w:left w:w="70" w:type="dxa"/>
              <w:bottom w:w="60" w:type="dxa"/>
              <w:right w:w="70" w:type="dxa"/>
            </w:tcMar>
            <w:vAlign w:val="center"/>
          </w:tcPr>
          <w:p w:rsidR="00576CA0" w:rsidRDefault="00576CA0">
            <w:pPr>
              <w:spacing w:line="240" w:lineRule="auto"/>
              <w:jc w:val="center"/>
            </w:pPr>
          </w:p>
        </w:tc>
        <w:tc>
          <w:tcPr>
            <w:tcW w:w="2016" w:type="dxa"/>
            <w:tcMar>
              <w:top w:w="60" w:type="dxa"/>
              <w:left w:w="70" w:type="dxa"/>
              <w:bottom w:w="60" w:type="dxa"/>
              <w:right w:w="70" w:type="dxa"/>
            </w:tcMar>
            <w:vAlign w:val="center"/>
          </w:tcPr>
          <w:p w:rsidR="00576CA0" w:rsidRDefault="00576CA0">
            <w:pPr>
              <w:spacing w:line="240" w:lineRule="auto"/>
              <w:jc w:val="center"/>
            </w:pPr>
          </w:p>
        </w:tc>
      </w:tr>
      <w:tr w:rsidR="00576CA0">
        <w:trPr>
          <w:jc w:val="center"/>
        </w:trPr>
        <w:tc>
          <w:tcPr>
            <w:tcW w:w="4032" w:type="dxa"/>
            <w:tcMar>
              <w:top w:w="60" w:type="dxa"/>
              <w:left w:w="70" w:type="dxa"/>
              <w:bottom w:w="60" w:type="dxa"/>
              <w:right w:w="70" w:type="dxa"/>
            </w:tcMar>
            <w:vAlign w:val="center"/>
          </w:tcPr>
          <w:p w:rsidR="00576CA0" w:rsidRDefault="00253119">
            <w:pPr>
              <w:spacing w:line="240" w:lineRule="auto"/>
            </w:pPr>
            <w:r>
              <w:rPr>
                <w:sz w:val="16"/>
              </w:rPr>
              <w:t>Normal weight</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66 (37.5)</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36 (40.9)</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30 (34.1)</w:t>
            </w:r>
          </w:p>
        </w:tc>
      </w:tr>
      <w:tr w:rsidR="00576CA0">
        <w:trPr>
          <w:jc w:val="center"/>
        </w:trPr>
        <w:tc>
          <w:tcPr>
            <w:tcW w:w="4032" w:type="dxa"/>
            <w:tcMar>
              <w:top w:w="60" w:type="dxa"/>
              <w:left w:w="70" w:type="dxa"/>
              <w:bottom w:w="60" w:type="dxa"/>
              <w:right w:w="70" w:type="dxa"/>
            </w:tcMar>
            <w:vAlign w:val="center"/>
          </w:tcPr>
          <w:p w:rsidR="00576CA0" w:rsidRDefault="00253119">
            <w:pPr>
              <w:spacing w:line="240" w:lineRule="auto"/>
            </w:pPr>
            <w:r>
              <w:rPr>
                <w:sz w:val="16"/>
              </w:rPr>
              <w:t>Underweight</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110 (62.5)</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52 (59.1)</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58 (65.9)</w:t>
            </w:r>
          </w:p>
        </w:tc>
      </w:tr>
      <w:tr w:rsidR="00576CA0">
        <w:trPr>
          <w:jc w:val="center"/>
        </w:trPr>
        <w:tc>
          <w:tcPr>
            <w:tcW w:w="4032" w:type="dxa"/>
            <w:tcMar>
              <w:top w:w="60" w:type="dxa"/>
              <w:left w:w="70" w:type="dxa"/>
              <w:bottom w:w="60" w:type="dxa"/>
              <w:right w:w="70" w:type="dxa"/>
            </w:tcMar>
            <w:vAlign w:val="center"/>
          </w:tcPr>
          <w:p w:rsidR="00576CA0" w:rsidRDefault="00253119">
            <w:pPr>
              <w:spacing w:line="240" w:lineRule="auto"/>
            </w:pPr>
            <w:r>
              <w:rPr>
                <w:b/>
                <w:sz w:val="16"/>
              </w:rPr>
              <w:t>Height-for-age</w:t>
            </w:r>
          </w:p>
        </w:tc>
        <w:tc>
          <w:tcPr>
            <w:tcW w:w="2016" w:type="dxa"/>
            <w:tcMar>
              <w:top w:w="60" w:type="dxa"/>
              <w:left w:w="70" w:type="dxa"/>
              <w:bottom w:w="60" w:type="dxa"/>
              <w:right w:w="70" w:type="dxa"/>
            </w:tcMar>
            <w:vAlign w:val="center"/>
          </w:tcPr>
          <w:p w:rsidR="00576CA0" w:rsidRDefault="00576CA0">
            <w:pPr>
              <w:spacing w:line="240" w:lineRule="auto"/>
              <w:jc w:val="center"/>
            </w:pPr>
          </w:p>
        </w:tc>
        <w:tc>
          <w:tcPr>
            <w:tcW w:w="2016" w:type="dxa"/>
            <w:tcMar>
              <w:top w:w="60" w:type="dxa"/>
              <w:left w:w="70" w:type="dxa"/>
              <w:bottom w:w="60" w:type="dxa"/>
              <w:right w:w="70" w:type="dxa"/>
            </w:tcMar>
            <w:vAlign w:val="center"/>
          </w:tcPr>
          <w:p w:rsidR="00576CA0" w:rsidRDefault="00576CA0">
            <w:pPr>
              <w:spacing w:line="240" w:lineRule="auto"/>
              <w:jc w:val="center"/>
            </w:pPr>
          </w:p>
        </w:tc>
        <w:tc>
          <w:tcPr>
            <w:tcW w:w="2016" w:type="dxa"/>
            <w:tcMar>
              <w:top w:w="60" w:type="dxa"/>
              <w:left w:w="70" w:type="dxa"/>
              <w:bottom w:w="60" w:type="dxa"/>
              <w:right w:w="70" w:type="dxa"/>
            </w:tcMar>
            <w:vAlign w:val="center"/>
          </w:tcPr>
          <w:p w:rsidR="00576CA0" w:rsidRDefault="00576CA0">
            <w:pPr>
              <w:spacing w:line="240" w:lineRule="auto"/>
              <w:jc w:val="center"/>
            </w:pPr>
          </w:p>
        </w:tc>
      </w:tr>
      <w:tr w:rsidR="00576CA0">
        <w:trPr>
          <w:jc w:val="center"/>
        </w:trPr>
        <w:tc>
          <w:tcPr>
            <w:tcW w:w="4032" w:type="dxa"/>
            <w:tcMar>
              <w:top w:w="60" w:type="dxa"/>
              <w:left w:w="70" w:type="dxa"/>
              <w:bottom w:w="60" w:type="dxa"/>
              <w:right w:w="70" w:type="dxa"/>
            </w:tcMar>
            <w:vAlign w:val="center"/>
          </w:tcPr>
          <w:p w:rsidR="00576CA0" w:rsidRDefault="00253119">
            <w:pPr>
              <w:spacing w:line="240" w:lineRule="auto"/>
            </w:pPr>
            <w:r>
              <w:rPr>
                <w:sz w:val="16"/>
              </w:rPr>
              <w:t>Normal height</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121 (68.8)</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65 (73.9)</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56 (63.6)</w:t>
            </w:r>
          </w:p>
        </w:tc>
      </w:tr>
      <w:tr w:rsidR="00576CA0">
        <w:trPr>
          <w:jc w:val="center"/>
        </w:trPr>
        <w:tc>
          <w:tcPr>
            <w:tcW w:w="4032" w:type="dxa"/>
            <w:tcMar>
              <w:top w:w="60" w:type="dxa"/>
              <w:left w:w="70" w:type="dxa"/>
              <w:bottom w:w="60" w:type="dxa"/>
              <w:right w:w="70" w:type="dxa"/>
            </w:tcMar>
            <w:vAlign w:val="center"/>
          </w:tcPr>
          <w:p w:rsidR="00576CA0" w:rsidRDefault="00253119">
            <w:pPr>
              <w:spacing w:line="240" w:lineRule="auto"/>
            </w:pPr>
            <w:r>
              <w:rPr>
                <w:sz w:val="16"/>
              </w:rPr>
              <w:t>Stunted</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37 (21.0)</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20 (22.7)</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17 (19.3)</w:t>
            </w:r>
          </w:p>
        </w:tc>
      </w:tr>
      <w:tr w:rsidR="00576CA0">
        <w:trPr>
          <w:jc w:val="center"/>
        </w:trPr>
        <w:tc>
          <w:tcPr>
            <w:tcW w:w="4032" w:type="dxa"/>
            <w:tcMar>
              <w:top w:w="60" w:type="dxa"/>
              <w:left w:w="70" w:type="dxa"/>
              <w:bottom w:w="60" w:type="dxa"/>
              <w:right w:w="70" w:type="dxa"/>
            </w:tcMar>
            <w:vAlign w:val="center"/>
          </w:tcPr>
          <w:p w:rsidR="00576CA0" w:rsidRDefault="00253119">
            <w:pPr>
              <w:spacing w:line="240" w:lineRule="auto"/>
            </w:pPr>
            <w:r>
              <w:rPr>
                <w:sz w:val="16"/>
              </w:rPr>
              <w:t>Severely stunted</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18 (10.2)</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3 (3.4)</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15 (17.0)</w:t>
            </w:r>
          </w:p>
        </w:tc>
      </w:tr>
    </w:tbl>
    <w:p w:rsidR="00576CA0" w:rsidRDefault="00253119">
      <w:pPr>
        <w:spacing w:after="20" w:line="240" w:lineRule="auto"/>
      </w:pPr>
      <w:r>
        <w:rPr>
          <w:i/>
          <w:sz w:val="17"/>
        </w:rPr>
        <w:t>Note. Urban and rural percentages are calculated within each location. Source: Field survey, 2024.</w:t>
      </w:r>
    </w:p>
    <w:p w:rsidR="00576CA0" w:rsidRDefault="00253119">
      <w:pPr>
        <w:keepNext/>
        <w:spacing w:before="20"/>
      </w:pPr>
      <w:r>
        <w:rPr>
          <w:b/>
        </w:rPr>
        <w:t>4.7 Factors associated with child nutritional status</w:t>
      </w:r>
    </w:p>
    <w:p w:rsidR="00576CA0" w:rsidRDefault="00253119">
      <w:pPr>
        <w:ind w:firstLine="432"/>
        <w:jc w:val="both"/>
      </w:pPr>
      <w:r>
        <w:t>Caregiver age, educational attainment and household income were significantly associa</w:t>
      </w:r>
      <w:r>
        <w:t>ted with child nutritional status. Education produced the largest chi-square value, followed by income and age. The third null hypothesis was therefore rejected. These relationships indicate that child anthropometric outcomes are socially patterned and ref</w:t>
      </w:r>
      <w:r>
        <w:t>lect accumulated differences in knowledge, resources, care practices and service access.</w:t>
      </w:r>
    </w:p>
    <w:p w:rsidR="00576CA0" w:rsidRDefault="00253119">
      <w:pPr>
        <w:keepNext/>
        <w:spacing w:before="60" w:after="20" w:line="240" w:lineRule="auto"/>
        <w:jc w:val="center"/>
      </w:pPr>
      <w:r>
        <w:rPr>
          <w:b/>
          <w:sz w:val="20"/>
        </w:rPr>
        <w:t>Table 8: Selected socio-demographic associations with child nutritional status</w:t>
      </w:r>
    </w:p>
    <w:tbl>
      <w:tblPr>
        <w:tblStyle w:val="TableGrid"/>
        <w:tblW w:w="0" w:type="auto"/>
        <w:jc w:val="center"/>
        <w:tblLayout w:type="fixed"/>
        <w:tblLook w:val="04A0" w:firstRow="1" w:lastRow="0" w:firstColumn="1" w:lastColumn="0" w:noHBand="0" w:noVBand="1"/>
      </w:tblPr>
      <w:tblGrid>
        <w:gridCol w:w="4464"/>
        <w:gridCol w:w="1296"/>
        <w:gridCol w:w="1008"/>
        <w:gridCol w:w="1440"/>
        <w:gridCol w:w="2016"/>
      </w:tblGrid>
      <w:tr w:rsidR="00576CA0">
        <w:trPr>
          <w:tblHeader/>
          <w:jc w:val="center"/>
        </w:trPr>
        <w:tc>
          <w:tcPr>
            <w:tcW w:w="4464" w:type="dxa"/>
            <w:tcMar>
              <w:top w:w="60" w:type="dxa"/>
              <w:left w:w="70" w:type="dxa"/>
              <w:bottom w:w="60" w:type="dxa"/>
              <w:right w:w="70" w:type="dxa"/>
            </w:tcMar>
            <w:vAlign w:val="center"/>
          </w:tcPr>
          <w:p w:rsidR="00576CA0" w:rsidRDefault="00253119">
            <w:pPr>
              <w:spacing w:line="240" w:lineRule="auto"/>
              <w:jc w:val="center"/>
            </w:pPr>
            <w:r>
              <w:rPr>
                <w:b/>
                <w:sz w:val="16"/>
              </w:rPr>
              <w:t>Variable</w:t>
            </w:r>
          </w:p>
        </w:tc>
        <w:tc>
          <w:tcPr>
            <w:tcW w:w="1296" w:type="dxa"/>
            <w:tcMar>
              <w:top w:w="60" w:type="dxa"/>
              <w:left w:w="70" w:type="dxa"/>
              <w:bottom w:w="60" w:type="dxa"/>
              <w:right w:w="70" w:type="dxa"/>
            </w:tcMar>
            <w:vAlign w:val="center"/>
          </w:tcPr>
          <w:p w:rsidR="00576CA0" w:rsidRDefault="00253119">
            <w:pPr>
              <w:spacing w:line="240" w:lineRule="auto"/>
              <w:jc w:val="center"/>
            </w:pPr>
            <w:r>
              <w:rPr>
                <w:b/>
                <w:sz w:val="16"/>
              </w:rPr>
              <w:t>χ²</w:t>
            </w:r>
          </w:p>
        </w:tc>
        <w:tc>
          <w:tcPr>
            <w:tcW w:w="1008" w:type="dxa"/>
            <w:tcMar>
              <w:top w:w="60" w:type="dxa"/>
              <w:left w:w="70" w:type="dxa"/>
              <w:bottom w:w="60" w:type="dxa"/>
              <w:right w:w="70" w:type="dxa"/>
            </w:tcMar>
            <w:vAlign w:val="center"/>
          </w:tcPr>
          <w:p w:rsidR="00576CA0" w:rsidRDefault="00253119">
            <w:pPr>
              <w:spacing w:line="240" w:lineRule="auto"/>
              <w:jc w:val="center"/>
            </w:pPr>
            <w:r>
              <w:rPr>
                <w:b/>
                <w:sz w:val="16"/>
              </w:rPr>
              <w:t>df</w:t>
            </w:r>
          </w:p>
        </w:tc>
        <w:tc>
          <w:tcPr>
            <w:tcW w:w="1440" w:type="dxa"/>
            <w:tcMar>
              <w:top w:w="60" w:type="dxa"/>
              <w:left w:w="70" w:type="dxa"/>
              <w:bottom w:w="60" w:type="dxa"/>
              <w:right w:w="70" w:type="dxa"/>
            </w:tcMar>
            <w:vAlign w:val="center"/>
          </w:tcPr>
          <w:p w:rsidR="00576CA0" w:rsidRDefault="00253119">
            <w:pPr>
              <w:spacing w:line="240" w:lineRule="auto"/>
              <w:jc w:val="center"/>
            </w:pPr>
            <w:r>
              <w:rPr>
                <w:b/>
                <w:sz w:val="16"/>
              </w:rPr>
              <w:t>p-value</w:t>
            </w:r>
          </w:p>
        </w:tc>
        <w:tc>
          <w:tcPr>
            <w:tcW w:w="2016" w:type="dxa"/>
            <w:tcMar>
              <w:top w:w="60" w:type="dxa"/>
              <w:left w:w="70" w:type="dxa"/>
              <w:bottom w:w="60" w:type="dxa"/>
              <w:right w:w="70" w:type="dxa"/>
            </w:tcMar>
            <w:vAlign w:val="center"/>
          </w:tcPr>
          <w:p w:rsidR="00576CA0" w:rsidRDefault="00253119">
            <w:pPr>
              <w:spacing w:line="240" w:lineRule="auto"/>
              <w:jc w:val="center"/>
            </w:pPr>
            <w:r>
              <w:rPr>
                <w:b/>
                <w:sz w:val="16"/>
              </w:rPr>
              <w:t>Decision</w:t>
            </w:r>
          </w:p>
        </w:tc>
      </w:tr>
      <w:tr w:rsidR="00576CA0">
        <w:trPr>
          <w:jc w:val="center"/>
        </w:trPr>
        <w:tc>
          <w:tcPr>
            <w:tcW w:w="4464" w:type="dxa"/>
            <w:tcMar>
              <w:top w:w="60" w:type="dxa"/>
              <w:left w:w="70" w:type="dxa"/>
              <w:bottom w:w="60" w:type="dxa"/>
              <w:right w:w="70" w:type="dxa"/>
            </w:tcMar>
            <w:vAlign w:val="center"/>
          </w:tcPr>
          <w:p w:rsidR="00576CA0" w:rsidRDefault="00253119">
            <w:pPr>
              <w:spacing w:line="240" w:lineRule="auto"/>
            </w:pPr>
            <w:r>
              <w:rPr>
                <w:sz w:val="16"/>
              </w:rPr>
              <w:t>Caregiver age</w:t>
            </w:r>
          </w:p>
        </w:tc>
        <w:tc>
          <w:tcPr>
            <w:tcW w:w="1296" w:type="dxa"/>
            <w:tcMar>
              <w:top w:w="60" w:type="dxa"/>
              <w:left w:w="70" w:type="dxa"/>
              <w:bottom w:w="60" w:type="dxa"/>
              <w:right w:w="70" w:type="dxa"/>
            </w:tcMar>
            <w:vAlign w:val="center"/>
          </w:tcPr>
          <w:p w:rsidR="00576CA0" w:rsidRDefault="00253119">
            <w:pPr>
              <w:spacing w:line="240" w:lineRule="auto"/>
              <w:jc w:val="center"/>
            </w:pPr>
            <w:r>
              <w:rPr>
                <w:sz w:val="16"/>
              </w:rPr>
              <w:t>106.40</w:t>
            </w:r>
          </w:p>
        </w:tc>
        <w:tc>
          <w:tcPr>
            <w:tcW w:w="1008" w:type="dxa"/>
            <w:tcMar>
              <w:top w:w="60" w:type="dxa"/>
              <w:left w:w="70" w:type="dxa"/>
              <w:bottom w:w="60" w:type="dxa"/>
              <w:right w:w="70" w:type="dxa"/>
            </w:tcMar>
            <w:vAlign w:val="center"/>
          </w:tcPr>
          <w:p w:rsidR="00576CA0" w:rsidRDefault="00253119">
            <w:pPr>
              <w:spacing w:line="240" w:lineRule="auto"/>
              <w:jc w:val="center"/>
            </w:pPr>
            <w:r>
              <w:rPr>
                <w:sz w:val="16"/>
              </w:rPr>
              <w:t>3</w:t>
            </w:r>
          </w:p>
        </w:tc>
        <w:tc>
          <w:tcPr>
            <w:tcW w:w="1440" w:type="dxa"/>
            <w:tcMar>
              <w:top w:w="60" w:type="dxa"/>
              <w:left w:w="70" w:type="dxa"/>
              <w:bottom w:w="60" w:type="dxa"/>
              <w:right w:w="70" w:type="dxa"/>
            </w:tcMar>
            <w:vAlign w:val="center"/>
          </w:tcPr>
          <w:p w:rsidR="00576CA0" w:rsidRDefault="00253119">
            <w:pPr>
              <w:spacing w:line="240" w:lineRule="auto"/>
              <w:jc w:val="center"/>
            </w:pPr>
            <w:r>
              <w:rPr>
                <w:sz w:val="16"/>
              </w:rPr>
              <w:t>&lt; .001</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Significant</w:t>
            </w:r>
          </w:p>
        </w:tc>
      </w:tr>
      <w:tr w:rsidR="00576CA0">
        <w:trPr>
          <w:jc w:val="center"/>
        </w:trPr>
        <w:tc>
          <w:tcPr>
            <w:tcW w:w="4464" w:type="dxa"/>
            <w:tcMar>
              <w:top w:w="60" w:type="dxa"/>
              <w:left w:w="70" w:type="dxa"/>
              <w:bottom w:w="60" w:type="dxa"/>
              <w:right w:w="70" w:type="dxa"/>
            </w:tcMar>
            <w:vAlign w:val="center"/>
          </w:tcPr>
          <w:p w:rsidR="00576CA0" w:rsidRDefault="00253119">
            <w:pPr>
              <w:spacing w:line="240" w:lineRule="auto"/>
            </w:pPr>
            <w:r>
              <w:rPr>
                <w:sz w:val="16"/>
              </w:rPr>
              <w:t xml:space="preserve">Educational </w:t>
            </w:r>
            <w:r>
              <w:rPr>
                <w:sz w:val="16"/>
              </w:rPr>
              <w:t>attainment</w:t>
            </w:r>
          </w:p>
        </w:tc>
        <w:tc>
          <w:tcPr>
            <w:tcW w:w="1296" w:type="dxa"/>
            <w:tcMar>
              <w:top w:w="60" w:type="dxa"/>
              <w:left w:w="70" w:type="dxa"/>
              <w:bottom w:w="60" w:type="dxa"/>
              <w:right w:w="70" w:type="dxa"/>
            </w:tcMar>
            <w:vAlign w:val="center"/>
          </w:tcPr>
          <w:p w:rsidR="00576CA0" w:rsidRDefault="00253119">
            <w:pPr>
              <w:spacing w:line="240" w:lineRule="auto"/>
              <w:jc w:val="center"/>
            </w:pPr>
            <w:r>
              <w:rPr>
                <w:sz w:val="16"/>
              </w:rPr>
              <w:t>130.40</w:t>
            </w:r>
          </w:p>
        </w:tc>
        <w:tc>
          <w:tcPr>
            <w:tcW w:w="1008" w:type="dxa"/>
            <w:tcMar>
              <w:top w:w="60" w:type="dxa"/>
              <w:left w:w="70" w:type="dxa"/>
              <w:bottom w:w="60" w:type="dxa"/>
              <w:right w:w="70" w:type="dxa"/>
            </w:tcMar>
            <w:vAlign w:val="center"/>
          </w:tcPr>
          <w:p w:rsidR="00576CA0" w:rsidRDefault="00253119">
            <w:pPr>
              <w:spacing w:line="240" w:lineRule="auto"/>
              <w:jc w:val="center"/>
            </w:pPr>
            <w:r>
              <w:rPr>
                <w:sz w:val="16"/>
              </w:rPr>
              <w:t>2</w:t>
            </w:r>
          </w:p>
        </w:tc>
        <w:tc>
          <w:tcPr>
            <w:tcW w:w="1440" w:type="dxa"/>
            <w:tcMar>
              <w:top w:w="60" w:type="dxa"/>
              <w:left w:w="70" w:type="dxa"/>
              <w:bottom w:w="60" w:type="dxa"/>
              <w:right w:w="70" w:type="dxa"/>
            </w:tcMar>
            <w:vAlign w:val="center"/>
          </w:tcPr>
          <w:p w:rsidR="00576CA0" w:rsidRDefault="00253119">
            <w:pPr>
              <w:spacing w:line="240" w:lineRule="auto"/>
              <w:jc w:val="center"/>
            </w:pPr>
            <w:r>
              <w:rPr>
                <w:sz w:val="16"/>
              </w:rPr>
              <w:t>&lt; .001</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Significant</w:t>
            </w:r>
          </w:p>
        </w:tc>
      </w:tr>
      <w:tr w:rsidR="00576CA0">
        <w:trPr>
          <w:jc w:val="center"/>
        </w:trPr>
        <w:tc>
          <w:tcPr>
            <w:tcW w:w="4464" w:type="dxa"/>
            <w:tcMar>
              <w:top w:w="60" w:type="dxa"/>
              <w:left w:w="70" w:type="dxa"/>
              <w:bottom w:w="60" w:type="dxa"/>
              <w:right w:w="70" w:type="dxa"/>
            </w:tcMar>
            <w:vAlign w:val="center"/>
          </w:tcPr>
          <w:p w:rsidR="00576CA0" w:rsidRDefault="00253119">
            <w:pPr>
              <w:spacing w:line="240" w:lineRule="auto"/>
            </w:pPr>
            <w:r>
              <w:rPr>
                <w:sz w:val="16"/>
              </w:rPr>
              <w:t>Household income</w:t>
            </w:r>
          </w:p>
        </w:tc>
        <w:tc>
          <w:tcPr>
            <w:tcW w:w="1296" w:type="dxa"/>
            <w:tcMar>
              <w:top w:w="60" w:type="dxa"/>
              <w:left w:w="70" w:type="dxa"/>
              <w:bottom w:w="60" w:type="dxa"/>
              <w:right w:w="70" w:type="dxa"/>
            </w:tcMar>
            <w:vAlign w:val="center"/>
          </w:tcPr>
          <w:p w:rsidR="00576CA0" w:rsidRDefault="00253119">
            <w:pPr>
              <w:spacing w:line="240" w:lineRule="auto"/>
              <w:jc w:val="center"/>
            </w:pPr>
            <w:r>
              <w:rPr>
                <w:sz w:val="16"/>
              </w:rPr>
              <w:t>119.10</w:t>
            </w:r>
          </w:p>
        </w:tc>
        <w:tc>
          <w:tcPr>
            <w:tcW w:w="1008" w:type="dxa"/>
            <w:tcMar>
              <w:top w:w="60" w:type="dxa"/>
              <w:left w:w="70" w:type="dxa"/>
              <w:bottom w:w="60" w:type="dxa"/>
              <w:right w:w="70" w:type="dxa"/>
            </w:tcMar>
            <w:vAlign w:val="center"/>
          </w:tcPr>
          <w:p w:rsidR="00576CA0" w:rsidRDefault="00253119">
            <w:pPr>
              <w:spacing w:line="240" w:lineRule="auto"/>
              <w:jc w:val="center"/>
            </w:pPr>
            <w:r>
              <w:rPr>
                <w:sz w:val="16"/>
              </w:rPr>
              <w:t>2</w:t>
            </w:r>
          </w:p>
        </w:tc>
        <w:tc>
          <w:tcPr>
            <w:tcW w:w="1440" w:type="dxa"/>
            <w:tcMar>
              <w:top w:w="60" w:type="dxa"/>
              <w:left w:w="70" w:type="dxa"/>
              <w:bottom w:w="60" w:type="dxa"/>
              <w:right w:w="70" w:type="dxa"/>
            </w:tcMar>
            <w:vAlign w:val="center"/>
          </w:tcPr>
          <w:p w:rsidR="00576CA0" w:rsidRDefault="00253119">
            <w:pPr>
              <w:spacing w:line="240" w:lineRule="auto"/>
              <w:jc w:val="center"/>
            </w:pPr>
            <w:r>
              <w:rPr>
                <w:sz w:val="16"/>
              </w:rPr>
              <w:t>&lt; .001</w:t>
            </w:r>
          </w:p>
        </w:tc>
        <w:tc>
          <w:tcPr>
            <w:tcW w:w="2016" w:type="dxa"/>
            <w:tcMar>
              <w:top w:w="60" w:type="dxa"/>
              <w:left w:w="70" w:type="dxa"/>
              <w:bottom w:w="60" w:type="dxa"/>
              <w:right w:w="70" w:type="dxa"/>
            </w:tcMar>
            <w:vAlign w:val="center"/>
          </w:tcPr>
          <w:p w:rsidR="00576CA0" w:rsidRDefault="00253119">
            <w:pPr>
              <w:spacing w:line="240" w:lineRule="auto"/>
              <w:jc w:val="center"/>
            </w:pPr>
            <w:r>
              <w:rPr>
                <w:sz w:val="16"/>
              </w:rPr>
              <w:t>Significant</w:t>
            </w:r>
          </w:p>
        </w:tc>
      </w:tr>
    </w:tbl>
    <w:p w:rsidR="00576CA0" w:rsidRDefault="00253119">
      <w:pPr>
        <w:spacing w:after="20" w:line="240" w:lineRule="auto"/>
      </w:pPr>
      <w:r>
        <w:rPr>
          <w:i/>
          <w:sz w:val="17"/>
        </w:rPr>
        <w:t>Note. Significance criterion: p &lt; .05. Source: Field survey, 2024.</w:t>
      </w:r>
    </w:p>
    <w:p w:rsidR="00576CA0" w:rsidRDefault="00253119">
      <w:pPr>
        <w:keepNext/>
        <w:spacing w:before="60"/>
      </w:pPr>
      <w:r>
        <w:rPr>
          <w:b/>
        </w:rPr>
        <w:t>5. Discussion</w:t>
      </w:r>
    </w:p>
    <w:p w:rsidR="00576CA0" w:rsidRDefault="00253119">
      <w:pPr>
        <w:ind w:firstLine="432"/>
        <w:jc w:val="both"/>
      </w:pPr>
      <w:r>
        <w:t xml:space="preserve">The study reveals a consequential disjunction between selective nutrition awareness and </w:t>
      </w:r>
      <w:r>
        <w:t>comprehensive feeding competence. Awareness of breastfeeding initiation was high, yet understanding of exclusive breastfeeding, colostrum and balanced diet remained inadequate. This pattern suggests that public-health communication has successfully popular</w:t>
      </w:r>
      <w:r>
        <w:t>ised a single, easily articulated message—breastfeed early—without achieving comparable penetration of more technically demanding recommendations. A mother may know when breastfeeding should commence but still lack clarity concerning exclusivity, the immun</w:t>
      </w:r>
      <w:r>
        <w:t>ological value of colostrum, dietary diversity or safe complementary feeding. Similar Nigerian evidence demonstrates that discrete knowledge domains respond differently to counselling and social norms (Schnefke et al., 2023; Flax et al., 2025).</w:t>
      </w:r>
    </w:p>
    <w:p w:rsidR="00576CA0" w:rsidRDefault="00253119">
      <w:pPr>
        <w:ind w:firstLine="432"/>
        <w:jc w:val="both"/>
      </w:pPr>
      <w:r>
        <w:lastRenderedPageBreak/>
        <w:t>The extreme</w:t>
      </w:r>
      <w:r>
        <w:t>ly narrow conceptualisation of a balanced diet is especially important. Nearly seven in ten respondents equated dietary balance with protein foods, while almost none selected the full combination of food groups. This does not imply that protein foods are u</w:t>
      </w:r>
      <w:r>
        <w:t>nimportant; rather, it reveals limited comprehension of diversity, proportionality and micronutrient adequacy. UNICEF's child-food-poverty analysis emphasises that children consuming only one or two food groups are frequently dependent on starchy staples a</w:t>
      </w:r>
      <w:r>
        <w:t>nd rarely receive eggs, animal-source foods, pulses or vitamin-A-rich produce (UNICEF, 2024). In such contexts, nutrition education must move beyond abstract food classes to demonstrate affordable combinations based on locally available cereals, legumes, v</w:t>
      </w:r>
      <w:r>
        <w:t>egetables, groundnuts, eggs, fish and fortified foods.</w:t>
      </w:r>
    </w:p>
    <w:p w:rsidR="00576CA0" w:rsidRDefault="00253119">
      <w:pPr>
        <w:ind w:firstLine="432"/>
        <w:jc w:val="both"/>
      </w:pPr>
      <w:r>
        <w:t>The rural–urban contrast in colostrum knowledge is one of the most pronounced findings. More than three-fifths of urban respondents demonstrated adequate knowledge, compared with fewer than one-quarter</w:t>
      </w:r>
      <w:r>
        <w:t xml:space="preserve"> of rural respondents. This disparity may reflect unequal educational attainment, intensity of antenatal counselling, continuity of skilled birth attendance and exposure to mass or digital media. It may also indicate the persistence of culturally embedded </w:t>
      </w:r>
      <w:r>
        <w:t>beliefs concerning the cleanliness, thickness or suitability of first milk. Schnefke et al. (2023) showed that fathers and grandmothers influence breastfeeding norms in Nigeria; therefore, counselling directed solely at mothers may be insufficient where se</w:t>
      </w:r>
      <w:r>
        <w:t>nior relatives exercise authority over postpartum practices.</w:t>
      </w:r>
    </w:p>
    <w:p w:rsidR="00576CA0" w:rsidRDefault="00253119">
      <w:pPr>
        <w:ind w:firstLine="432"/>
        <w:jc w:val="both"/>
      </w:pPr>
      <w:r>
        <w:t>Reported hygiene and feeding practices were generally favourable, but the rural disadvantage in bottle feeding and handwashing deserves attention. Bottle feeding is intrinsically demanding in set</w:t>
      </w:r>
      <w:r>
        <w:t xml:space="preserve">tings with irregular water supply, poor sanitation or limited fuel for sterilisation. WHO recommendations discourage bottles and teats because they are difficult to keep hygienic and can amplify infection risk (WHO, 2023b). Atoloye et al. (2024) similarly </w:t>
      </w:r>
      <w:r>
        <w:t>demonstrated that food-safety control, caregiver characteristics and household composition intersect with child nutritional outcomes in Nigeria. The present findings therefore support practical demonstrations of cup feeding, hand hygiene, safe water storag</w:t>
      </w:r>
      <w:r>
        <w:t>e and food preparation, accompanied by infrastructural interventions where water and sanitation are deficient.</w:t>
      </w:r>
    </w:p>
    <w:p w:rsidR="00576CA0" w:rsidRDefault="00253119">
      <w:pPr>
        <w:ind w:firstLine="432"/>
        <w:jc w:val="both"/>
      </w:pPr>
      <w:r>
        <w:t xml:space="preserve">The significant associations between education and both knowledge and practice accord with national evidence that maternal schooling is </w:t>
      </w:r>
      <w:r>
        <w:t>protective against multiple forms of child malnutrition (Lawal et al., 2024). Education can improve comprehension, self-efficacy and engagement with health services; however, the association should not be interpreted as proof that formal schooling alone pr</w:t>
      </w:r>
      <w:r>
        <w:t>oduces good nutrition. Ogunniyi and Okoye (2025) observed high maternal feeding knowledge alongside severe food insecurity and inadequate dietary diversity. The present study reaches a compatible conclusion: knowledge operates within a field of economic an</w:t>
      </w:r>
      <w:r>
        <w:t>d social constraint, and its practical expression depends on household resources.</w:t>
      </w:r>
    </w:p>
    <w:p w:rsidR="00576CA0" w:rsidRDefault="00253119">
      <w:pPr>
        <w:ind w:firstLine="432"/>
        <w:jc w:val="both"/>
      </w:pPr>
      <w:r>
        <w:t>Household income produced the strongest association with nutrition practices, confirming that caregivers require more than information to implement recommended diets. In peri</w:t>
      </w:r>
      <w:r>
        <w:t xml:space="preserve">ods of food </w:t>
      </w:r>
      <w:r>
        <w:lastRenderedPageBreak/>
        <w:t>inflation, families may substitute less expensive, less diverse foods; reduce meal frequency; reserve animal-source foods for adults; or depend on monotonous staples. UNICEF (2024) appropriately distinguishes income poverty from child food pove</w:t>
      </w:r>
      <w:r>
        <w:t>rty, but the two frequently reinforce one another. Nutrition counselling should therefore be linked to social protection, women's livelihood support, community food production, micronutrient supplementation and referral for treatment of acute malnutrition.</w:t>
      </w:r>
    </w:p>
    <w:p w:rsidR="00576CA0" w:rsidRDefault="00253119">
      <w:pPr>
        <w:ind w:firstLine="432"/>
        <w:jc w:val="both"/>
      </w:pPr>
      <w:r>
        <w:t>The anthropometric findings are alarming. Almost two-thirds of children were underweight and nearly one-third were stunted or severely stunted. These proportions exceed recent national estimates and suggest either an unusually vulnerable facility-attendin</w:t>
      </w:r>
      <w:r>
        <w:t>g population or a substantial local burden. Because the study was facility based, caregivers may have presented with children already experiencing illness or growth concerns, and the results should not be interpreted as population prevalence. Nevertheless,</w:t>
      </w:r>
      <w:r>
        <w:t xml:space="preserve"> the concentration of severe stunting among rural children is consistent with Nigerian studies documenting geographic and socio-economic inequalities in under-five nutrition (John et al., 2024; Obasohan et al., 2024).</w:t>
      </w:r>
    </w:p>
    <w:p w:rsidR="00576CA0" w:rsidRDefault="00253119">
      <w:pPr>
        <w:ind w:firstLine="432"/>
        <w:jc w:val="both"/>
      </w:pPr>
      <w:r>
        <w:t xml:space="preserve">The findings substantiate the </w:t>
      </w:r>
      <w:r>
        <w:t>integrated theoretical framework. Caregivers' recognition of susceptibility and severity was incomplete, while perceived benefits were evident in the high acceptance of early breastfeeding. Yet barriers—including limited education, income, service access a</w:t>
      </w:r>
      <w:r>
        <w:t xml:space="preserve">nd household support—conditioned the likelihood of action. This confirms that behavioural interventions should strengthen knowledge and self-efficacy while simultaneously reducing structural obstacles. Effective programmes in Gombe should combine repeated </w:t>
      </w:r>
      <w:r>
        <w:t>counselling, supportive supervision, community engagement, affordable diet demonstrations, growth monitoring, food-security interventions and referral pathways for children with anthropometric deficits.</w:t>
      </w:r>
    </w:p>
    <w:p w:rsidR="00576CA0" w:rsidRDefault="00253119">
      <w:pPr>
        <w:ind w:firstLine="432"/>
        <w:jc w:val="both"/>
      </w:pPr>
      <w:r>
        <w:t>Several limitations warrant consideration. The cross-</w:t>
      </w:r>
      <w:r>
        <w:t xml:space="preserve">sectional design precludes causal inference, and self-reported practices are vulnerable to recall and social-desirability bias. Facility-based recruitment limits generalisability to caregivers who do not use health services, who may be more disadvantaged. </w:t>
      </w:r>
      <w:r>
        <w:t>The usable response rate of 70.4% introduces potential non-response bias. In addition, the source dataset reported selected chi-square associations without multivariable adjustment; confounding and interaction effects could therefore not be evaluated. Futu</w:t>
      </w:r>
      <w:r>
        <w:t>re research should employ community-based probability sampling, standard WHO IYCF indicators, calibrated anthropometric equipment and multivariable modelling.</w:t>
      </w:r>
    </w:p>
    <w:p w:rsidR="00576CA0" w:rsidRDefault="00253119">
      <w:pPr>
        <w:keepNext/>
        <w:spacing w:before="60"/>
      </w:pPr>
      <w:r>
        <w:rPr>
          <w:b/>
        </w:rPr>
        <w:t>6. Conclusion and recommendations</w:t>
      </w:r>
    </w:p>
    <w:p w:rsidR="00576CA0" w:rsidRDefault="00253119">
      <w:pPr>
        <w:keepNext/>
        <w:spacing w:before="20"/>
      </w:pPr>
      <w:r>
        <w:rPr>
          <w:b/>
        </w:rPr>
        <w:t>6.1 Conclusion</w:t>
      </w:r>
    </w:p>
    <w:p w:rsidR="00576CA0" w:rsidRDefault="00253119">
      <w:pPr>
        <w:ind w:firstLine="432"/>
        <w:jc w:val="both"/>
      </w:pPr>
      <w:r>
        <w:t>Maternal and caregiver nutrition knowledge in Go</w:t>
      </w:r>
      <w:r>
        <w:t>mbe LGA is uneven rather than uniformly deficient. Respondents demonstrated strong awareness of early breastfeeding initiation but limited understanding of exclusive breastfeeding, colostrum and dietary balance. Urban caregivers generally possessed stronge</w:t>
      </w:r>
      <w:r>
        <w:t xml:space="preserve">r knowledge and reported better hygiene and feeding practices than rural caregivers. </w:t>
      </w:r>
      <w:r>
        <w:lastRenderedPageBreak/>
        <w:t>At the same time, the high occurrence of underweight and stunting—especially severe stunting in rural facilities—indicates that current preventive and curative responses a</w:t>
      </w:r>
      <w:r>
        <w:t>re inadequate.</w:t>
      </w:r>
    </w:p>
    <w:p w:rsidR="00576CA0" w:rsidRDefault="00253119">
      <w:pPr>
        <w:ind w:firstLine="432"/>
        <w:jc w:val="both"/>
      </w:pPr>
      <w:r>
        <w:t>The significant associations involving education, employment, marital status, income and caregiver age establish that child nutrition is simultaneously behavioural, economic and institutional. Nutrition education remains indispensable, but p</w:t>
      </w:r>
      <w:r>
        <w:t>rogrammes that merely instruct caregivers without improving food access, service reach, social support and household agency are unlikely to generate durable change. The evidence therefore supports an integrated primary-health-care response that combines li</w:t>
      </w:r>
      <w:r>
        <w:t>teracy, enabling resources, community participation and systematic child-growth surveillance.</w:t>
      </w:r>
    </w:p>
    <w:p w:rsidR="00576CA0" w:rsidRDefault="00253119">
      <w:pPr>
        <w:keepNext/>
        <w:spacing w:before="20"/>
      </w:pPr>
      <w:r>
        <w:rPr>
          <w:b/>
        </w:rPr>
        <w:t>6.2 Recommendations</w:t>
      </w:r>
    </w:p>
    <w:p w:rsidR="00576CA0" w:rsidRDefault="00253119">
      <w:pPr>
        <w:jc w:val="both"/>
      </w:pPr>
      <w:r>
        <w:rPr>
          <w:b/>
        </w:rPr>
        <w:t xml:space="preserve">1. Institutionalise differentiated nutrition literacy. </w:t>
      </w:r>
      <w:r>
        <w:t>Primary health-care facilities should deliver repeated, competency-based counselling on</w:t>
      </w:r>
      <w:r>
        <w:t xml:space="preserve"> exclusive breastfeeding, colostrum, complementary feeding, dietary diversity, responsive feeding and recognition of growth faltering. Counselling should employ locally available foods, practical demonstrations and pictorial materials suitable for caregive</w:t>
      </w:r>
      <w:r>
        <w:t>rs with limited literacy.</w:t>
      </w:r>
    </w:p>
    <w:p w:rsidR="00576CA0" w:rsidRDefault="00253119">
      <w:pPr>
        <w:jc w:val="both"/>
      </w:pPr>
      <w:r>
        <w:rPr>
          <w:b/>
        </w:rPr>
        <w:t xml:space="preserve">2. Intensify rural outreach and continuity of care. </w:t>
      </w:r>
      <w:r>
        <w:t>Mobile clinics, community health extension workers, mother-support groups and home visits should be used to reach remote settlements. Rural caregivers require repeated contact ra</w:t>
      </w:r>
      <w:r>
        <w:t>ther than one-off health talks, with referral mechanisms for children identified as underweight or stunted.</w:t>
      </w:r>
    </w:p>
    <w:p w:rsidR="00576CA0" w:rsidRDefault="00253119">
      <w:pPr>
        <w:jc w:val="both"/>
      </w:pPr>
      <w:r>
        <w:rPr>
          <w:b/>
        </w:rPr>
        <w:t xml:space="preserve">3. Engage influential household actors. </w:t>
      </w:r>
      <w:r>
        <w:t>Fathers, grandmothers, traditional birth attendants, religious leaders and community leaders should be incor</w:t>
      </w:r>
      <w:r>
        <w:t>porated into social and behaviour-change interventions. This will address household authority, food allocation and cultural beliefs that mothers may be unable to change independently.</w:t>
      </w:r>
    </w:p>
    <w:p w:rsidR="00576CA0" w:rsidRDefault="00253119">
      <w:pPr>
        <w:jc w:val="both"/>
      </w:pPr>
      <w:r>
        <w:rPr>
          <w:b/>
        </w:rPr>
        <w:t xml:space="preserve">4. Link counselling to food-security and livelihood interventions. </w:t>
      </w:r>
      <w:r>
        <w:t>Nutri</w:t>
      </w:r>
      <w:r>
        <w:t xml:space="preserve">tion programmes should collaborate with social-protection, agriculture and women's economic-empowerment initiatives. Vulnerable households may require cash or food support, homestead production assistance, micronutrient supplementation and improved access </w:t>
      </w:r>
      <w:r>
        <w:t>to affordable nutrient-dense foods.</w:t>
      </w:r>
    </w:p>
    <w:p w:rsidR="00576CA0" w:rsidRDefault="00253119">
      <w:pPr>
        <w:jc w:val="both"/>
      </w:pPr>
      <w:r>
        <w:rPr>
          <w:b/>
        </w:rPr>
        <w:t xml:space="preserve">5. Strengthen growth monitoring and data quality. </w:t>
      </w:r>
      <w:r>
        <w:t>Facilities should conduct routine weight, length or height assessment with calibrated equipment, plot growth trajectories, counsel caregivers on individual results and en</w:t>
      </w:r>
      <w:r>
        <w:t>sure timely referral for severe acute malnutrition and other growth disorders. Local nutrition dashboards should disaggregate outcomes by settlement and facility.</w:t>
      </w:r>
    </w:p>
    <w:p w:rsidR="00576CA0" w:rsidRDefault="00253119">
      <w:pPr>
        <w:jc w:val="both"/>
      </w:pPr>
      <w:r>
        <w:rPr>
          <w:b/>
        </w:rPr>
        <w:t xml:space="preserve">6. Improve water, sanitation and food-safety support. </w:t>
      </w:r>
      <w:r>
        <w:t>Caregivers should receive practical ins</w:t>
      </w:r>
      <w:r>
        <w:t>truction on handwashing, safe water storage, cup feeding and hygienic preparation of complementary foods. Where safe water is unreliable, health education must be accompanied by infrastructure and household water-treatment support.</w:t>
      </w:r>
    </w:p>
    <w:p w:rsidR="00576CA0" w:rsidRDefault="00253119">
      <w:pPr>
        <w:jc w:val="both"/>
      </w:pPr>
      <w:r>
        <w:rPr>
          <w:b/>
        </w:rPr>
        <w:lastRenderedPageBreak/>
        <w:t>7. Undertake stronger fo</w:t>
      </w:r>
      <w:r>
        <w:rPr>
          <w:b/>
        </w:rPr>
        <w:t xml:space="preserve">llow-up research. </w:t>
      </w:r>
      <w:r>
        <w:t>Future studies should use community-based sampling, validated WHO/UNICEF feeding indicators, multivariable regression and longitudinal designs. Such research should distinguish children aged 0–5 months from those aged 6–23 and 24–59 month</w:t>
      </w:r>
      <w:r>
        <w:t>s because feeding recommendations and nutritional risks differ substantially across these developmental periods.</w:t>
      </w:r>
    </w:p>
    <w:p w:rsidR="00576CA0" w:rsidRDefault="00253119">
      <w:pPr>
        <w:keepNext/>
        <w:spacing w:before="60"/>
      </w:pPr>
      <w:r>
        <w:rPr>
          <w:b/>
        </w:rPr>
        <w:t>References</w:t>
      </w:r>
    </w:p>
    <w:p w:rsidR="00576CA0" w:rsidRDefault="00253119">
      <w:pPr>
        <w:spacing w:after="40" w:line="240" w:lineRule="auto"/>
        <w:ind w:left="403" w:hanging="403"/>
        <w:jc w:val="both"/>
      </w:pPr>
      <w:r>
        <w:t>Akseer, N., Tasic, H., Adeyemi, O., &amp; Heidkamp, R. (2023). Concordance and determinants of mothers’ and children’s diets in Nigeria:</w:t>
      </w:r>
      <w:r>
        <w:t xml:space="preserve"> An in-depth study of the 2018 Demographic and Health Survey. BMJ Open, 13(7), e070876.</w:t>
      </w:r>
    </w:p>
    <w:p w:rsidR="00576CA0" w:rsidRDefault="00253119">
      <w:pPr>
        <w:spacing w:after="40" w:line="240" w:lineRule="auto"/>
        <w:ind w:left="403" w:hanging="403"/>
        <w:jc w:val="both"/>
      </w:pPr>
      <w:r>
        <w:t>Atoloye, A. T., Samuel, F., Aluko, O. O., Torimiro, N., Bamgbade, B., Areola, A. A., Otegbayo, B., Leger, D., &amp; Bersamin, A. (2024). Factors associated with caregivers’</w:t>
      </w:r>
      <w:r>
        <w:t xml:space="preserve"> food safety knowledge, behaviour, perception of food safety control, and the nutrition status of under-5 children in Nigeria. BMC Public Health, 24, 2813. https://doi.org/10.1186/s12889-024-20183-8</w:t>
      </w:r>
    </w:p>
    <w:p w:rsidR="00576CA0" w:rsidRDefault="00253119">
      <w:pPr>
        <w:spacing w:after="40" w:line="240" w:lineRule="auto"/>
        <w:ind w:left="403" w:hanging="403"/>
        <w:jc w:val="both"/>
      </w:pPr>
      <w:r>
        <w:t>Bakare, A. A., Uchendu, O. C., Omotayo, O. E., &amp; King, C.</w:t>
      </w:r>
      <w:r>
        <w:t xml:space="preserve"> (2023). Feeding practices and nutritional status of under-five children in a peri-urban setting in Ibadan, Southwest Nigeria: A comparative cross-sectional study. Annals of Ibadan Postgraduate Medicine, 21(1), 50–62.</w:t>
      </w:r>
    </w:p>
    <w:p w:rsidR="00576CA0" w:rsidRDefault="00253119">
      <w:pPr>
        <w:spacing w:after="40" w:line="240" w:lineRule="auto"/>
        <w:ind w:left="403" w:hanging="403"/>
        <w:jc w:val="both"/>
      </w:pPr>
      <w:r>
        <w:t xml:space="preserve">Flax, V. L., Fagbemi, M., Ngongo, C., </w:t>
      </w:r>
      <w:r>
        <w:t>Edwards, S., Dharod, J. M., &amp; Ogbodo, V. (2025). Factors associated with infant and young child feeding practices in Kaduna and Lagos States, Nigeria. PLOS Global Public Health, 5(6), e0004753. https://doi.org/10.1371/journal.pgph.0004753</w:t>
      </w:r>
    </w:p>
    <w:p w:rsidR="00576CA0" w:rsidRDefault="00253119">
      <w:pPr>
        <w:spacing w:after="40" w:line="240" w:lineRule="auto"/>
        <w:ind w:left="403" w:hanging="403"/>
        <w:jc w:val="both"/>
      </w:pPr>
      <w:r>
        <w:t>John, C., Poh, B.</w:t>
      </w:r>
      <w:r>
        <w:t xml:space="preserve"> K., Jalaludin, M. Y., Michael, G., Adedeji, I., Oyenusi, E. E., Akor, B., Charles, N. C., Buthmanaban, V., &amp; Muhardi, L. (2024). Exploring disparities in malnutrition among under-five children in Nigeria and potential solutions: A scoping review. Frontier</w:t>
      </w:r>
      <w:r>
        <w:t>s in Nutrition, 10, 1279130. https://doi.org/10.3389/fnut.2023.1279130</w:t>
      </w:r>
    </w:p>
    <w:p w:rsidR="00576CA0" w:rsidRDefault="00253119">
      <w:pPr>
        <w:spacing w:after="40" w:line="240" w:lineRule="auto"/>
        <w:ind w:left="403" w:hanging="403"/>
        <w:jc w:val="both"/>
      </w:pPr>
      <w:r>
        <w:t xml:space="preserve">Lawal, S. A., Okunlola, D. A., Adegboye, O. A., &amp; Adedeji, I. A. (2024). Mother’s education and nutritional status as correlates of child stunting, wasting, underweight, and overweight </w:t>
      </w:r>
      <w:r>
        <w:t>in Nigeria: Evidence from the 2018 Demographic and Health Survey. Nutrition and Health, 30(4), 821–834. https://doi.org/10.1177/02601060221146320</w:t>
      </w:r>
    </w:p>
    <w:p w:rsidR="00576CA0" w:rsidRDefault="00253119">
      <w:pPr>
        <w:spacing w:after="40" w:line="240" w:lineRule="auto"/>
        <w:ind w:left="403" w:hanging="403"/>
        <w:jc w:val="both"/>
      </w:pPr>
      <w:r>
        <w:t>National Bureau of Statistics &amp; United Nations Children’s Fund. (2022). Multiple Indicator Cluster Survey 2021</w:t>
      </w:r>
      <w:r>
        <w:t>, survey findings report. National Bureau of Statistics and UNICEF.</w:t>
      </w:r>
    </w:p>
    <w:p w:rsidR="00576CA0" w:rsidRDefault="00253119">
      <w:pPr>
        <w:spacing w:after="40" w:line="240" w:lineRule="auto"/>
        <w:ind w:left="403" w:hanging="403"/>
        <w:jc w:val="both"/>
      </w:pPr>
      <w:r>
        <w:t>National Population Commission (NPC) [Nigeria] &amp; ICF. (2025). Nigeria Demographic and Health Survey 2024. NPC and ICF.</w:t>
      </w:r>
    </w:p>
    <w:p w:rsidR="00576CA0" w:rsidRDefault="00253119">
      <w:pPr>
        <w:spacing w:after="40" w:line="240" w:lineRule="auto"/>
        <w:ind w:left="403" w:hanging="403"/>
        <w:jc w:val="both"/>
      </w:pPr>
      <w:r>
        <w:t>Obasohan, P. E., Walters, S. J., Jacques, R., &amp; Khatab, K. (2024). So</w:t>
      </w:r>
      <w:r>
        <w:t>cio-economic, demographic, and contextual predictors of malnutrition among children aged 6–59 months in Nigeria. BMC Nutrition, 10, 1. https://doi.org/10.1186/s40795-023-00813-x</w:t>
      </w:r>
    </w:p>
    <w:p w:rsidR="00576CA0" w:rsidRDefault="00253119">
      <w:pPr>
        <w:spacing w:after="40" w:line="240" w:lineRule="auto"/>
        <w:ind w:left="403" w:hanging="403"/>
        <w:jc w:val="both"/>
      </w:pPr>
      <w:r>
        <w:t xml:space="preserve">Ogunniyi, A. E., &amp; Okoye, C. U. (2025). Nutrition knowledge, dietary </w:t>
      </w:r>
      <w:r>
        <w:t>diversity, and household food security among mothers of under-five children in Abakaliki, Ebonyi State, Nigeria. Discover Public Health, 22, 883. https://doi.org/10.1186/s12982-025-01310-1</w:t>
      </w:r>
    </w:p>
    <w:p w:rsidR="00576CA0" w:rsidRDefault="00253119">
      <w:pPr>
        <w:spacing w:after="40" w:line="240" w:lineRule="auto"/>
        <w:ind w:left="403" w:hanging="403"/>
        <w:jc w:val="both"/>
      </w:pPr>
      <w:r>
        <w:t>Schnefke, C. H., Flax, V. L., Ubanmhen, F., Alayon, S., Bose, S., D</w:t>
      </w:r>
      <w:r>
        <w:t>aniel, O., Grimes, K. E. L., Allotey, D., Seiger, E. R., &amp; Arije, O. (2023). Attitudes, beliefs and social norms regarding infant and young child feeding among Nigerian mothers, fathers and grandmothers across time. Maternal &amp; Child Nutrition, 19(4), e1352</w:t>
      </w:r>
      <w:r>
        <w:t>4. https://doi.org/10.1111/mcn.13524</w:t>
      </w:r>
    </w:p>
    <w:p w:rsidR="00576CA0" w:rsidRDefault="00253119">
      <w:pPr>
        <w:spacing w:after="40" w:line="240" w:lineRule="auto"/>
        <w:ind w:left="403" w:hanging="403"/>
        <w:jc w:val="both"/>
      </w:pPr>
      <w:r>
        <w:t>United Nations Children’s Fund. (2020). UNICEF conceptual framework on the determinants of maternal and child nutrition. UNICEF.</w:t>
      </w:r>
    </w:p>
    <w:p w:rsidR="00576CA0" w:rsidRDefault="00253119">
      <w:pPr>
        <w:spacing w:after="40" w:line="240" w:lineRule="auto"/>
        <w:ind w:left="403" w:hanging="403"/>
        <w:jc w:val="both"/>
      </w:pPr>
      <w:r>
        <w:t>United Nations Children’s Fund. (2024). Child food poverty: Nutrition deprivation in early</w:t>
      </w:r>
      <w:r>
        <w:t xml:space="preserve"> childhood. UNICEF.</w:t>
      </w:r>
    </w:p>
    <w:p w:rsidR="00576CA0" w:rsidRDefault="00253119">
      <w:pPr>
        <w:spacing w:after="40" w:line="240" w:lineRule="auto"/>
        <w:ind w:left="403" w:hanging="403"/>
        <w:jc w:val="both"/>
      </w:pPr>
      <w:r>
        <w:t>United Nations Children’s Fund. (2026a). Nigeria: Humanitarian action for children 2026. UNICEF.</w:t>
      </w:r>
    </w:p>
    <w:p w:rsidR="00576CA0" w:rsidRDefault="00253119">
      <w:pPr>
        <w:spacing w:after="40" w:line="240" w:lineRule="auto"/>
        <w:ind w:left="403" w:hanging="403"/>
        <w:jc w:val="both"/>
      </w:pPr>
      <w:r>
        <w:t>United Nations Children’s Fund. (2026b, March 16). Planting orange, harvesting health. UNICEF Nigeria.</w:t>
      </w:r>
    </w:p>
    <w:p w:rsidR="00576CA0" w:rsidRDefault="00253119">
      <w:pPr>
        <w:spacing w:after="40" w:line="240" w:lineRule="auto"/>
        <w:ind w:left="403" w:hanging="403"/>
        <w:jc w:val="both"/>
      </w:pPr>
      <w:r>
        <w:lastRenderedPageBreak/>
        <w:t>United Nations Children’s Fund, Worl</w:t>
      </w:r>
      <w:r>
        <w:t>d Health Organization, &amp; World Bank Group. (2025). Levels and trends in child malnutrition: UNICEF/WHO/World Bank Group joint child malnutrition estimates—Key findings of the 2025 edition. UNICEF, WHO, and World Bank Group.</w:t>
      </w:r>
    </w:p>
    <w:p w:rsidR="00576CA0" w:rsidRDefault="00253119">
      <w:pPr>
        <w:spacing w:after="40" w:line="240" w:lineRule="auto"/>
        <w:ind w:left="403" w:hanging="403"/>
        <w:jc w:val="both"/>
      </w:pPr>
      <w:r>
        <w:t>World Health Organization. (2023</w:t>
      </w:r>
      <w:r>
        <w:t>a). Malnutrition. WHO.</w:t>
      </w:r>
    </w:p>
    <w:p w:rsidR="00576CA0" w:rsidRDefault="00253119">
      <w:pPr>
        <w:spacing w:after="40" w:line="240" w:lineRule="auto"/>
        <w:ind w:left="403" w:hanging="403"/>
        <w:jc w:val="both"/>
      </w:pPr>
      <w:r>
        <w:t>World Health Organization. (2023b). WHO guideline for complementary feeding of infants and young children 6–23 months of age. WHO.</w:t>
      </w:r>
    </w:p>
    <w:p w:rsidR="00576CA0" w:rsidRDefault="00253119">
      <w:pPr>
        <w:spacing w:after="40" w:line="240" w:lineRule="auto"/>
        <w:ind w:left="403" w:hanging="403"/>
        <w:jc w:val="both"/>
      </w:pPr>
      <w:r>
        <w:t>World Health Organization &amp; United Nations Children’s Fund. (2021). Indicators for assessing infant an</w:t>
      </w:r>
      <w:r>
        <w:t>d young child feeding practices: Definitions and measurement methods. WHO and UNICEF.</w:t>
      </w:r>
    </w:p>
    <w:p w:rsidR="00576CA0" w:rsidRDefault="00253119">
      <w:pPr>
        <w:spacing w:after="40" w:line="240" w:lineRule="auto"/>
        <w:ind w:left="403" w:hanging="403"/>
        <w:jc w:val="both"/>
      </w:pPr>
      <w:r>
        <w:t>Yamane, T. (1967). Statistics: An introductory analysis (2nd ed.). Harper &amp; Row.</w:t>
      </w:r>
    </w:p>
    <w:sectPr w:rsidR="00576CA0" w:rsidSect="00034616">
      <w:headerReference w:type="default" r:id="rId9"/>
      <w:footerReference w:type="default" r:id="rId10"/>
      <w:pgSz w:w="11906" w:h="16838"/>
      <w:pgMar w:top="936" w:right="1037" w:bottom="893" w:left="1037" w:header="360" w:footer="40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119" w:rsidRDefault="00253119">
      <w:pPr>
        <w:spacing w:line="240" w:lineRule="auto"/>
      </w:pPr>
      <w:r>
        <w:separator/>
      </w:r>
    </w:p>
  </w:endnote>
  <w:endnote w:type="continuationSeparator" w:id="0">
    <w:p w:rsidR="00253119" w:rsidRDefault="002531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CA0" w:rsidRDefault="00253119">
    <w:pPr>
      <w:pStyle w:val="Footer"/>
      <w:jc w:val="center"/>
    </w:pPr>
    <w:r>
      <w:rPr>
        <w:sz w:val="20"/>
      </w:rPr>
      <w:fldChar w:fldCharType="begin"/>
    </w:r>
    <w:r>
      <w:rPr>
        <w:sz w:val="20"/>
      </w:rPr>
      <w:instrText>PAGE</w:instrText>
    </w:r>
    <w:r w:rsidR="003E6CA5">
      <w:rPr>
        <w:sz w:val="20"/>
      </w:rPr>
      <w:fldChar w:fldCharType="separate"/>
    </w:r>
    <w:r w:rsidR="003E6CA5">
      <w:rPr>
        <w:noProof/>
        <w:sz w:val="20"/>
      </w:rPr>
      <w:t>1</w:t>
    </w:r>
    <w:r>
      <w:rP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119" w:rsidRDefault="00253119">
      <w:pPr>
        <w:spacing w:line="240" w:lineRule="auto"/>
      </w:pPr>
      <w:r>
        <w:separator/>
      </w:r>
    </w:p>
  </w:footnote>
  <w:footnote w:type="continuationSeparator" w:id="0">
    <w:p w:rsidR="00253119" w:rsidRDefault="0025311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CA0" w:rsidRDefault="00576C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53119"/>
    <w:rsid w:val="0029639D"/>
    <w:rsid w:val="00326F90"/>
    <w:rsid w:val="003E6CA5"/>
    <w:rsid w:val="00576CA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60" w:lineRule="auto"/>
    </w:pPr>
    <w:rPr>
      <w:rFonts w:ascii="Times New Roman" w:eastAsia="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b/>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60" w:lineRule="auto"/>
    </w:pPr>
    <w:rPr>
      <w:rFonts w:ascii="Times New Roman" w:eastAsia="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b/>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71E1C-9EFD-411D-9044-6B72B128F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6701</Words>
  <Characters>38202</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Maternal and Caregiver Nutrition Knowledge, Feeding Practices and Under-Five Nutritional Status in Gombe LGA</vt:lpstr>
    </vt:vector>
  </TitlesOfParts>
  <Company/>
  <LinksUpToDate>false</LinksUpToDate>
  <CharactersWithSpaces>44814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Maternal and Caregiver Nutrition Knowledge, Feeding Practices and Under-Five Nutritional Status in Gombe LGA</dc:title>
  <dc:subject>FKJOLIS-formatted scholarly manuscript</dc:subject>
  <dc:creator>Dosumu Paul</dc:creator>
  <cp:keywords>nutrition; caregivers; under-five children; Gombe; rural urban</cp:keywords>
  <dc:description>generated by python-docx</dc:description>
  <cp:lastModifiedBy>Dosumu Paul</cp:lastModifiedBy>
  <cp:revision>2</cp:revision>
  <dcterms:created xsi:type="dcterms:W3CDTF">2026-08-02T23:31:00Z</dcterms:created>
  <dcterms:modified xsi:type="dcterms:W3CDTF">2026-08-02T23:31:00Z</dcterms:modified>
</cp:coreProperties>
</file>