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EEAB33A6">
      <w:pPr>
        <w:pStyle w:val="style0"/>
        <w:spacing w:lineRule="auto" w:line="360"/>
        <w:jc w:val="center"/>
        <w:rPr>
          <w:rFonts w:ascii="Times New Roman" w:cs="Times New Roman" w:hAnsi="Times New Roman"/>
          <w:b/>
          <w:sz w:val="24"/>
        </w:rPr>
      </w:pPr>
      <w:r>
        <w:rPr>
          <w:rFonts w:ascii="Times New Roman" w:cs="Times New Roman" w:hAnsi="Times New Roman"/>
          <w:b/>
          <w:sz w:val="24"/>
        </w:rPr>
        <w:t>LIBRARY SERVICE ENVIRONMENT AND PERSONNEL COMPETENCE AS PREDICTORS OF POSTGRADUATES' CONTINUOUS INTENTION TO USE LIBRARY RESOURCES IN PUBLIC UNIVERSITIES IN LAGOS AND OGUN STATES, NIGERIA</w:t>
      </w:r>
    </w:p>
    <w:p w14:paraId="5132E79D">
      <w:pPr>
        <w:pStyle w:val="style0"/>
        <w:spacing w:lineRule="auto" w:line="360"/>
        <w:jc w:val="center"/>
        <w:rPr>
          <w:rFonts w:ascii="Times New Roman" w:cs="Times New Roman" w:hAnsi="Times New Roman"/>
          <w:b/>
          <w:sz w:val="24"/>
        </w:rPr>
      </w:pPr>
    </w:p>
    <w:p w14:paraId="C3C159A3">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Mayowa Olorunfemiloye DADA.</w:t>
      </w:r>
    </w:p>
    <w:p w14:paraId="5434B7CB">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Lagos State University of Education. Library</w:t>
      </w:r>
    </w:p>
    <w:p w14:paraId="94C37811">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 xml:space="preserve">Oto- Ijanikin Lagos State University </w:t>
      </w:r>
    </w:p>
    <w:p w14:paraId="87D6167E">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 xml:space="preserve">07057016370, </w:t>
      </w:r>
    </w:p>
    <w:p w14:paraId="AD4A460B">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dadami@lasued.edu.ng.</w:t>
      </w:r>
    </w:p>
    <w:p w14:paraId="53724F82">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https://orcid.org/0009-0003-3077-7486</w:t>
      </w:r>
    </w:p>
    <w:p w14:paraId="B98DC948">
      <w:pPr>
        <w:pStyle w:val="style0"/>
        <w:spacing w:lineRule="auto" w:line="240"/>
        <w:jc w:val="center"/>
        <w:rPr>
          <w:rFonts w:ascii="Times New Roman" w:cs="Times New Roman" w:hAnsi="Times New Roman"/>
          <w:b/>
          <w:sz w:val="24"/>
          <w:lang w:val="en-US"/>
        </w:rPr>
      </w:pPr>
    </w:p>
    <w:p w14:paraId="6080B1B6">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 xml:space="preserve">Adefoyin Roseline ALADEMERIN </w:t>
      </w:r>
    </w:p>
    <w:p w14:paraId="0622B5CF">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Federal College of Education, Iwo Osun State.</w:t>
      </w:r>
    </w:p>
    <w:p w14:paraId="07221E0A">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08067982525</w:t>
      </w:r>
    </w:p>
    <w:p w14:paraId="4F6773AE">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Foyina4@gmail.com</w:t>
      </w:r>
    </w:p>
    <w:p w14:paraId="2E3AEBB4">
      <w:pPr>
        <w:pStyle w:val="style0"/>
        <w:spacing w:lineRule="auto" w:line="240"/>
        <w:jc w:val="center"/>
        <w:rPr>
          <w:rFonts w:ascii="Times New Roman" w:cs="Times New Roman" w:hAnsi="Times New Roman"/>
          <w:b/>
          <w:sz w:val="24"/>
          <w:lang w:val="en-US"/>
        </w:rPr>
      </w:pPr>
    </w:p>
    <w:p w14:paraId="3F408437">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Olamide Abigail ODUJOKO</w:t>
      </w:r>
    </w:p>
    <w:p w14:paraId="7DB63AFE">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Lagos State University of Education, Library</w:t>
      </w:r>
    </w:p>
    <w:p w14:paraId="A4F18E49">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Oto-Ijanikin, Lagos State, Nigeria</w:t>
      </w:r>
    </w:p>
    <w:p w14:paraId="ED5A4B9A">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07060586773</w:t>
      </w:r>
    </w:p>
    <w:p w14:paraId="91F579B0">
      <w:pPr>
        <w:pStyle w:val="style0"/>
        <w:spacing w:lineRule="auto" w:line="240"/>
        <w:jc w:val="center"/>
        <w:rPr>
          <w:rFonts w:ascii="Times New Roman" w:cs="Times New Roman" w:hAnsi="Times New Roman"/>
          <w:b/>
          <w:sz w:val="24"/>
          <w:lang w:val="en-US"/>
        </w:rPr>
      </w:pPr>
      <w:r>
        <w:rPr>
          <w:rFonts w:ascii="Times New Roman" w:cs="Times New Roman" w:hAnsi="Times New Roman"/>
          <w:b/>
          <w:sz w:val="24"/>
          <w:lang w:val="en-US"/>
        </w:rPr>
        <w:t>odujokooa@lasued.edu.ng</w:t>
      </w:r>
    </w:p>
    <w:p w14:paraId="6DB980BB">
      <w:pPr>
        <w:pStyle w:val="style0"/>
        <w:spacing w:lineRule="auto" w:line="240"/>
        <w:jc w:val="center"/>
        <w:rPr>
          <w:rFonts w:ascii="Times New Roman" w:cs="Times New Roman" w:hAnsi="Times New Roman"/>
          <w:b/>
          <w:sz w:val="24"/>
          <w:lang w:val="en-US"/>
        </w:rPr>
      </w:pPr>
    </w:p>
    <w:p w14:paraId="634B5002">
      <w:pPr>
        <w:pStyle w:val="style0"/>
        <w:spacing w:lineRule="auto" w:line="240"/>
        <w:jc w:val="center"/>
        <w:rPr>
          <w:rFonts w:ascii="Times New Roman" w:cs="Times New Roman" w:hAnsi="Times New Roman"/>
          <w:b/>
          <w:sz w:val="24"/>
        </w:rPr>
      </w:pPr>
    </w:p>
    <w:p w14:paraId="AC4585F0">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Abstract</w:t>
      </w:r>
    </w:p>
    <w:p w14:paraId="51039884">
      <w:pPr>
        <w:pStyle w:val="style0"/>
        <w:spacing w:lineRule="auto" w:line="276"/>
        <w:jc w:val="both"/>
        <w:rPr>
          <w:rFonts w:ascii="Times New Roman" w:cs="Times New Roman" w:hAnsi="Times New Roman"/>
          <w:i/>
          <w:sz w:val="24"/>
        </w:rPr>
      </w:pPr>
      <w:r>
        <w:rPr>
          <w:rFonts w:ascii="Times New Roman" w:cs="Times New Roman" w:hAnsi="Times New Roman"/>
          <w:i/>
          <w:sz w:val="24"/>
        </w:rPr>
        <w:t xml:space="preserve">Continuous intention to use library resources has become a major concern in Nigerian universities because many postgraduate students exhibit declining and inconsistent patterns of library utilisation despite significant investments in library service environments and professional personnel development. This study examined library service environment and personnel competence as predictors of postgraduates' continuous intention to use library resources in public universities in Lagos and Ogun States, Nigeria. The study was guided by three research questions and three corresponding null hypotheses. A quantitative explanatory survey design was adopted. The population comprised postgraduate students in public universities in Lagos and Ogun States, while a sample size of 420 respondents was selected using multistage, proportionate stratified, and simple random sampling techniques. Data were collected using a self-designed instrument titled </w:t>
      </w:r>
      <w:r>
        <w:rPr>
          <w:rFonts w:ascii="Times New Roman" w:cs="Times New Roman" w:hAnsi="Times New Roman"/>
          <w:i/>
          <w:iCs/>
          <w:sz w:val="24"/>
        </w:rPr>
        <w:t>Library Service Environment, Personnel Competence and Postgraduates' Continuous Intention to Use Library Resources Questionnaire (LSEPCPCIULRQ)</w:t>
      </w:r>
      <w:r>
        <w:rPr>
          <w:rFonts w:ascii="Times New Roman" w:cs="Times New Roman" w:hAnsi="Times New Roman"/>
          <w:i/>
          <w:sz w:val="24"/>
        </w:rPr>
        <w:t>. The instrument was subjected to face and content validation by experts, while a pilot study yielded a Cronbach's Alpha reliability coefficient of 0.79. Data were analysed using descriptive statistics, simple linear regression, and multiple regression analyses. Findings revealed that library service environment significantly influenced postgraduates' continuous intention to use library resources (R² = .454, F = 347.23, p &lt; .05); personnel competence also significantly influenced continuous intention to use library resources (R² = .507, F = 429.61, p &lt; .05); while library service environment and personnel competence jointly exerted a significant influence on continuous intention to use library resources (R² = .642, F = 373.84, p &lt; .05). The study concluded that conducive library environments and professionally competent personnel are indispensable for sustaining postgraduate utilisation of library resources. Consequently, universities should invest in modern library infrastructures and continuously strengthen the professional competencies of library personnel to improve postgraduate research engagement and sustained library patronage.</w:t>
      </w:r>
    </w:p>
    <w:p w14:paraId="FB46C56F">
      <w:pPr>
        <w:pStyle w:val="style0"/>
        <w:spacing w:lineRule="auto" w:line="360"/>
        <w:jc w:val="both"/>
        <w:rPr>
          <w:rFonts w:ascii="Times New Roman" w:cs="Times New Roman" w:hAnsi="Times New Roman"/>
          <w:sz w:val="24"/>
        </w:rPr>
      </w:pPr>
      <w:r>
        <w:rPr>
          <w:rFonts w:ascii="Times New Roman" w:cs="Times New Roman" w:hAnsi="Times New Roman"/>
          <w:b/>
          <w:bCs/>
          <w:sz w:val="24"/>
        </w:rPr>
        <w:t>Keywords:</w:t>
      </w:r>
      <w:r>
        <w:rPr>
          <w:rFonts w:ascii="Times New Roman" w:cs="Times New Roman" w:hAnsi="Times New Roman"/>
          <w:sz w:val="24"/>
        </w:rPr>
        <w:t xml:space="preserve"> Library Service Environment; Personnel Competence; Continuous Intention to Use; Library R</w:t>
      </w:r>
      <w:r>
        <w:rPr>
          <w:rFonts w:ascii="Times New Roman" w:cs="Times New Roman" w:hAnsi="Times New Roman"/>
          <w:sz w:val="24"/>
        </w:rPr>
        <w:t>esources; Postgraduate Students</w:t>
      </w:r>
    </w:p>
    <w:p w14:paraId="3F3D1E54">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Introduction</w:t>
      </w:r>
    </w:p>
    <w:p w14:paraId="10185E5B">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The contemporary university system is increasingly evaluated by its capacity to generate knowledge, stimulate research productivity, and produce graduates capable of contributing meaningfully to society's intellectual and developmental needs. At the </w:t>
      </w:r>
      <w:r>
        <w:rPr>
          <w:rFonts w:ascii="Times New Roman" w:cs="Times New Roman" w:hAnsi="Times New Roman"/>
          <w:sz w:val="24"/>
        </w:rPr>
        <w:t>centre</w:t>
      </w:r>
      <w:r>
        <w:rPr>
          <w:rFonts w:ascii="Times New Roman" w:cs="Times New Roman" w:hAnsi="Times New Roman"/>
          <w:sz w:val="24"/>
        </w:rPr>
        <w:t xml:space="preserve"> of this mandate is </w:t>
      </w:r>
      <w:r>
        <w:rPr>
          <w:rFonts w:ascii="Times New Roman" w:cs="Times New Roman" w:hAnsi="Times New Roman"/>
          <w:sz w:val="24"/>
        </w:rPr>
        <w:t xml:space="preserve">the university library, which has traditionally been regarded as the academic nerve </w:t>
      </w:r>
      <w:r>
        <w:rPr>
          <w:rFonts w:ascii="Times New Roman" w:cs="Times New Roman" w:hAnsi="Times New Roman"/>
          <w:sz w:val="24"/>
        </w:rPr>
        <w:t>centre</w:t>
      </w:r>
      <w:r>
        <w:rPr>
          <w:rFonts w:ascii="Times New Roman" w:cs="Times New Roman" w:hAnsi="Times New Roman"/>
          <w:sz w:val="24"/>
        </w:rPr>
        <w:t xml:space="preserve"> and the intellectual heartbeat of higher education institutions. However, the value of a library is not measured solely by the quantity of its collections or the sophistication of its technological infrastructure but by the extent to which users consistently engage with its resources and services over time. A library that houses vast collections but experiences declining or inconsistent patronage resembles a reservoir filled with water but disconnected from the communities it was intended to serve. The resources exist, yet their potential remains </w:t>
      </w:r>
      <w:r>
        <w:rPr>
          <w:rFonts w:ascii="Times New Roman" w:cs="Times New Roman" w:hAnsi="Times New Roman"/>
          <w:sz w:val="24"/>
        </w:rPr>
        <w:t>unrealised</w:t>
      </w:r>
      <w:r>
        <w:rPr>
          <w:rFonts w:ascii="Times New Roman" w:cs="Times New Roman" w:hAnsi="Times New Roman"/>
          <w:sz w:val="24"/>
        </w:rPr>
        <w:t>.</w:t>
      </w:r>
    </w:p>
    <w:p w14:paraId="7FA8B58D">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In recent years, concerns have emerged regarding the sustained utilisation of library resources among postgraduate students in universities across developing countries, particularly in sub-Saharan Africa. Although universities have invested significantly in digital databases, institutional repositories, electronic journals, internet facilities, and information communication technologies, empirical evidence suggests that many postgraduate students do not consistently </w:t>
      </w:r>
      <w:r>
        <w:rPr>
          <w:rFonts w:ascii="Times New Roman" w:cs="Times New Roman" w:hAnsi="Times New Roman"/>
          <w:sz w:val="24"/>
        </w:rPr>
        <w:t>utilise</w:t>
      </w:r>
      <w:r>
        <w:rPr>
          <w:rFonts w:ascii="Times New Roman" w:cs="Times New Roman" w:hAnsi="Times New Roman"/>
          <w:sz w:val="24"/>
        </w:rPr>
        <w:t xml:space="preserve"> these resources throughout their academic programmes (</w:t>
      </w:r>
      <w:r>
        <w:rPr>
          <w:rFonts w:ascii="Times New Roman" w:cs="Times New Roman" w:hAnsi="Times New Roman"/>
          <w:sz w:val="24"/>
        </w:rPr>
        <w:t>Aina</w:t>
      </w:r>
      <w:r>
        <w:rPr>
          <w:rFonts w:ascii="Times New Roman" w:cs="Times New Roman" w:hAnsi="Times New Roman"/>
          <w:sz w:val="24"/>
        </w:rPr>
        <w:t xml:space="preserve"> et al., 2021; </w:t>
      </w:r>
      <w:r>
        <w:rPr>
          <w:rFonts w:ascii="Times New Roman" w:cs="Times New Roman" w:hAnsi="Times New Roman"/>
          <w:sz w:val="24"/>
        </w:rPr>
        <w:t>Olatokun</w:t>
      </w:r>
      <w:r>
        <w:rPr>
          <w:rFonts w:ascii="Times New Roman" w:cs="Times New Roman" w:hAnsi="Times New Roman"/>
          <w:sz w:val="24"/>
        </w:rPr>
        <w:t xml:space="preserve"> &amp; </w:t>
      </w:r>
      <w:r>
        <w:rPr>
          <w:rFonts w:ascii="Times New Roman" w:cs="Times New Roman" w:hAnsi="Times New Roman"/>
          <w:sz w:val="24"/>
        </w:rPr>
        <w:t>Aina</w:t>
      </w:r>
      <w:r>
        <w:rPr>
          <w:rFonts w:ascii="Times New Roman" w:cs="Times New Roman" w:hAnsi="Times New Roman"/>
          <w:sz w:val="24"/>
        </w:rPr>
        <w:t>, 2023). This situation is worrisome because postgraduate education fundamentally depends on continuous interaction with scholarly information resources for thesis writing, literature review, theoretical analysis, data interpretation, publication, and knowledge production. Where postgraduate students demonstrate declining or intermittent use of library resources, the quality of research outputs, information literacy competencies, and evidence-based learning may be adversely affected (</w:t>
      </w:r>
      <w:r>
        <w:rPr>
          <w:rFonts w:ascii="Times New Roman" w:cs="Times New Roman" w:hAnsi="Times New Roman"/>
          <w:sz w:val="24"/>
        </w:rPr>
        <w:t>Arinola</w:t>
      </w:r>
      <w:r>
        <w:rPr>
          <w:rFonts w:ascii="Times New Roman" w:cs="Times New Roman" w:hAnsi="Times New Roman"/>
          <w:sz w:val="24"/>
        </w:rPr>
        <w:t xml:space="preserve"> et al., 2025).</w:t>
      </w:r>
    </w:p>
    <w:p w14:paraId="7D91D95D">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The issue of postgraduates' continuous intention to use library resources has therefore become an important concern in library and information science. Continuous intention to use library resources refers to a user's enduring willingness and behavioural commitment to repeatedly access and </w:t>
      </w:r>
      <w:r>
        <w:rPr>
          <w:rFonts w:ascii="Times New Roman" w:cs="Times New Roman" w:hAnsi="Times New Roman"/>
          <w:sz w:val="24"/>
        </w:rPr>
        <w:t>utilise</w:t>
      </w:r>
      <w:r>
        <w:rPr>
          <w:rFonts w:ascii="Times New Roman" w:cs="Times New Roman" w:hAnsi="Times New Roman"/>
          <w:sz w:val="24"/>
        </w:rPr>
        <w:t xml:space="preserve"> library collections, facilities, and services because of perceived usefulness, satisfaction, and relevance to academic needs (</w:t>
      </w:r>
      <w:r>
        <w:rPr>
          <w:rFonts w:ascii="Times New Roman" w:cs="Times New Roman" w:hAnsi="Times New Roman"/>
          <w:sz w:val="24"/>
        </w:rPr>
        <w:t>Bhattacherjee</w:t>
      </w:r>
      <w:r>
        <w:rPr>
          <w:rFonts w:ascii="Times New Roman" w:cs="Times New Roman" w:hAnsi="Times New Roman"/>
          <w:sz w:val="24"/>
        </w:rPr>
        <w:t xml:space="preserve">, 2001; </w:t>
      </w:r>
      <w:r>
        <w:rPr>
          <w:rFonts w:ascii="Times New Roman" w:cs="Times New Roman" w:hAnsi="Times New Roman"/>
          <w:sz w:val="24"/>
        </w:rPr>
        <w:t>Nugroho</w:t>
      </w:r>
      <w:r>
        <w:rPr>
          <w:rFonts w:ascii="Times New Roman" w:cs="Times New Roman" w:hAnsi="Times New Roman"/>
          <w:sz w:val="24"/>
        </w:rPr>
        <w:t xml:space="preserve"> et al., 2022). In the context of postgraduate studies, continuous intention extends beyond a single episode of borrowing books or downloading journal articles. Rather, it encompasses a sustained predisposition to regard library resources as indispensable tools for scholarly inquiry and research productivity.</w:t>
      </w:r>
    </w:p>
    <w:p w14:paraId="B1BBEF29">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The importance of this construct cannot be </w:t>
      </w:r>
      <w:r>
        <w:rPr>
          <w:rFonts w:ascii="Times New Roman" w:cs="Times New Roman" w:hAnsi="Times New Roman"/>
          <w:sz w:val="24"/>
        </w:rPr>
        <w:t>overemphasised</w:t>
      </w:r>
      <w:r>
        <w:rPr>
          <w:rFonts w:ascii="Times New Roman" w:cs="Times New Roman" w:hAnsi="Times New Roman"/>
          <w:sz w:val="24"/>
        </w:rPr>
        <w:t xml:space="preserve"> because continuous use represents the bridge between resource availability and educational outcomes. Information resources can only contribute to knowledge generation when they are repeatedly and meaningfully </w:t>
      </w:r>
      <w:r>
        <w:rPr>
          <w:rFonts w:ascii="Times New Roman" w:cs="Times New Roman" w:hAnsi="Times New Roman"/>
          <w:sz w:val="24"/>
        </w:rPr>
        <w:t>utilised</w:t>
      </w:r>
      <w:r>
        <w:rPr>
          <w:rFonts w:ascii="Times New Roman" w:cs="Times New Roman" w:hAnsi="Times New Roman"/>
          <w:sz w:val="24"/>
        </w:rPr>
        <w:t xml:space="preserve">. Just as a </w:t>
      </w:r>
      <w:r>
        <w:rPr>
          <w:rFonts w:ascii="Times New Roman" w:cs="Times New Roman" w:hAnsi="Times New Roman"/>
          <w:sz w:val="24"/>
        </w:rPr>
        <w:t>fertile farmland produces abundant harvests only when farmers continually cultivate it, university libraries contribute to academic excellence only when users consistently engage with their resources. Studies have shown that continuous utilisation of library resources significantly predicts academic performance, research competence, information literacy skills, and postgraduate completion rates (</w:t>
      </w:r>
      <w:r>
        <w:rPr>
          <w:rFonts w:ascii="Times New Roman" w:cs="Times New Roman" w:hAnsi="Times New Roman"/>
          <w:sz w:val="24"/>
        </w:rPr>
        <w:t>Masele</w:t>
      </w:r>
      <w:r>
        <w:rPr>
          <w:rFonts w:ascii="Times New Roman" w:cs="Times New Roman" w:hAnsi="Times New Roman"/>
          <w:sz w:val="24"/>
        </w:rPr>
        <w:t xml:space="preserve"> &amp; </w:t>
      </w:r>
      <w:r>
        <w:rPr>
          <w:rFonts w:ascii="Times New Roman" w:cs="Times New Roman" w:hAnsi="Times New Roman"/>
          <w:sz w:val="24"/>
        </w:rPr>
        <w:t>Rwehikiza</w:t>
      </w:r>
      <w:r>
        <w:rPr>
          <w:rFonts w:ascii="Times New Roman" w:cs="Times New Roman" w:hAnsi="Times New Roman"/>
          <w:sz w:val="24"/>
        </w:rPr>
        <w:t xml:space="preserve">, 2021; </w:t>
      </w:r>
      <w:r>
        <w:rPr>
          <w:rFonts w:ascii="Times New Roman" w:cs="Times New Roman" w:hAnsi="Times New Roman"/>
          <w:sz w:val="24"/>
        </w:rPr>
        <w:t>Yeboah</w:t>
      </w:r>
      <w:r>
        <w:rPr>
          <w:rFonts w:ascii="Times New Roman" w:cs="Times New Roman" w:hAnsi="Times New Roman"/>
          <w:sz w:val="24"/>
        </w:rPr>
        <w:t xml:space="preserve"> et al., 2026). Consequently, understanding the factors that encourage sustained use of library resources has become imperative within higher education research.</w:t>
      </w:r>
    </w:p>
    <w:p w14:paraId="B5F24BCB">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The concept of continuance behaviour is theoretically grounded in the Expectation-Confirmation Theory (ECT) developed by </w:t>
      </w:r>
      <w:r>
        <w:rPr>
          <w:rFonts w:ascii="Times New Roman" w:cs="Times New Roman" w:hAnsi="Times New Roman"/>
          <w:sz w:val="24"/>
        </w:rPr>
        <w:t>Bhattacherjee</w:t>
      </w:r>
      <w:r>
        <w:rPr>
          <w:rFonts w:ascii="Times New Roman" w:cs="Times New Roman" w:hAnsi="Times New Roman"/>
          <w:sz w:val="24"/>
        </w:rPr>
        <w:t xml:space="preserve"> (2001). The theory posits that users' intentions to continue using an information system depend on the degree to which their expectations are confirmed and whether they perceive the system as useful and satisfactory. Although the theory originated within information systems research, it has been extensively applied to explain continuous usage behaviours in digital libraries and electronic information systems (</w:t>
      </w:r>
      <w:r>
        <w:rPr>
          <w:rFonts w:ascii="Times New Roman" w:cs="Times New Roman" w:hAnsi="Times New Roman"/>
          <w:sz w:val="24"/>
        </w:rPr>
        <w:t>Nugroho</w:t>
      </w:r>
      <w:r>
        <w:rPr>
          <w:rFonts w:ascii="Times New Roman" w:cs="Times New Roman" w:hAnsi="Times New Roman"/>
          <w:sz w:val="24"/>
        </w:rPr>
        <w:t xml:space="preserve"> et al., 2022; Tai et al., 2026). According to the theory, postgraduate students who derive positive experiences from library resources are more likely to maintain continuous engagement with those resources. Conversely, unmet expectations and dissatisfaction may result in discontinuance behaviour.</w:t>
      </w:r>
    </w:p>
    <w:p w14:paraId="CC03367D">
      <w:pPr>
        <w:pStyle w:val="style0"/>
        <w:spacing w:lineRule="auto" w:line="360"/>
        <w:jc w:val="both"/>
        <w:rPr>
          <w:rFonts w:ascii="Times New Roman" w:cs="Times New Roman" w:hAnsi="Times New Roman"/>
          <w:sz w:val="24"/>
        </w:rPr>
      </w:pPr>
      <w:r>
        <w:rPr>
          <w:rFonts w:ascii="Times New Roman" w:cs="Times New Roman" w:hAnsi="Times New Roman"/>
          <w:sz w:val="24"/>
        </w:rPr>
        <w:t>Within the context of this study, one factor that may explain postgraduates' continuous intention to use library resources is the library service environment. The library service environment refers to the physical, technological, organisational, and social conditions under which library services are delivered and experienced by users. It encompasses the adequacy of physical facilities, availability of digital technologies, environmental comfort, internet connectivity, accessibility of information resources, study spaces, lighting conditions, noise control mechanisms, and the overall ambience that supports learning and research activities (</w:t>
      </w:r>
      <w:r>
        <w:rPr>
          <w:rFonts w:ascii="Times New Roman" w:cs="Times New Roman" w:hAnsi="Times New Roman"/>
          <w:sz w:val="24"/>
        </w:rPr>
        <w:t>Ifijeh</w:t>
      </w:r>
      <w:r>
        <w:rPr>
          <w:rFonts w:ascii="Times New Roman" w:cs="Times New Roman" w:hAnsi="Times New Roman"/>
          <w:sz w:val="24"/>
        </w:rPr>
        <w:t xml:space="preserve"> &amp; Yusuf, 2020; </w:t>
      </w:r>
      <w:r>
        <w:rPr>
          <w:rFonts w:ascii="Times New Roman" w:cs="Times New Roman" w:hAnsi="Times New Roman"/>
          <w:sz w:val="24"/>
        </w:rPr>
        <w:t>Yeboah</w:t>
      </w:r>
      <w:r>
        <w:rPr>
          <w:rFonts w:ascii="Times New Roman" w:cs="Times New Roman" w:hAnsi="Times New Roman"/>
          <w:sz w:val="24"/>
        </w:rPr>
        <w:t xml:space="preserve"> et al., 2026).</w:t>
      </w:r>
    </w:p>
    <w:p w14:paraId="C81E2335">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The library service environment may be likened to the ecosystem within which intellectual activities occur. Just as a plant flourishes in fertile soil enriched by favourable climatic conditions, postgraduate students are more likely to engage continuously with library resources when the service environment facilitates concentration, accessibility, and positive learning experiences. A poorly ventilated library, inadequate internet connectivity, obsolete technologies, and overcrowded study spaces may discourage repeated use, irrespective of the quality of information </w:t>
      </w:r>
      <w:r>
        <w:rPr>
          <w:rFonts w:ascii="Times New Roman" w:cs="Times New Roman" w:hAnsi="Times New Roman"/>
          <w:sz w:val="24"/>
        </w:rPr>
        <w:t>resources available. Conversely, a conducive and technologically responsive service environment may stimulate curiosity, encourage knowledge exploration, and promote sustained utilisation behaviours.</w:t>
      </w:r>
    </w:p>
    <w:p w14:paraId="58671377">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The relevance of the library service environment is further explained by the Servicescape Theory developed by </w:t>
      </w:r>
      <w:r>
        <w:rPr>
          <w:rFonts w:ascii="Times New Roman" w:cs="Times New Roman" w:hAnsi="Times New Roman"/>
          <w:sz w:val="24"/>
        </w:rPr>
        <w:t>Bitner</w:t>
      </w:r>
      <w:r>
        <w:rPr>
          <w:rFonts w:ascii="Times New Roman" w:cs="Times New Roman" w:hAnsi="Times New Roman"/>
          <w:sz w:val="24"/>
        </w:rPr>
        <w:t xml:space="preserve"> (1992). The theory proposes that the physical and social surroundings within which services are delivered influence users' cognitive, emotional, and behavioural responses. Although originally conceptualised within marketing literature, the theory has gained substantial application in educational and information service contexts because users' perceptions of service environments significantly shape their satisfaction and future behavioural intentions (</w:t>
      </w:r>
      <w:r>
        <w:rPr>
          <w:rFonts w:ascii="Times New Roman" w:cs="Times New Roman" w:hAnsi="Times New Roman"/>
          <w:sz w:val="24"/>
        </w:rPr>
        <w:t>Ladhari</w:t>
      </w:r>
      <w:r>
        <w:rPr>
          <w:rFonts w:ascii="Times New Roman" w:cs="Times New Roman" w:hAnsi="Times New Roman"/>
          <w:sz w:val="24"/>
        </w:rPr>
        <w:t xml:space="preserve"> et al., 2020; Chandra &amp; </w:t>
      </w:r>
      <w:r>
        <w:rPr>
          <w:rFonts w:ascii="Times New Roman" w:cs="Times New Roman" w:hAnsi="Times New Roman"/>
          <w:sz w:val="24"/>
        </w:rPr>
        <w:t>Juliani</w:t>
      </w:r>
      <w:r>
        <w:rPr>
          <w:rFonts w:ascii="Times New Roman" w:cs="Times New Roman" w:hAnsi="Times New Roman"/>
          <w:sz w:val="24"/>
        </w:rPr>
        <w:t>, 2022). In academic libraries, the theory suggests that environmental factors such as technological infrastructure, comfort, accessibility, aesthetics, and functional design may significantly influence postgraduates' decisions to continue using library resources.</w:t>
      </w:r>
    </w:p>
    <w:p w14:paraId="C0EDB940">
      <w:pPr>
        <w:pStyle w:val="style0"/>
        <w:spacing w:lineRule="auto" w:line="360"/>
        <w:jc w:val="both"/>
        <w:rPr>
          <w:rFonts w:ascii="Times New Roman" w:cs="Times New Roman" w:hAnsi="Times New Roman"/>
          <w:sz w:val="24"/>
        </w:rPr>
      </w:pPr>
      <w:r>
        <w:rPr>
          <w:rFonts w:ascii="Times New Roman" w:cs="Times New Roman" w:hAnsi="Times New Roman"/>
          <w:sz w:val="24"/>
        </w:rPr>
        <w:t>Another construct that has attracted increasing scholarly attention in library utilisation research is personnel competence. Personnel competence refers to the knowledge, professional expertise, technical skills, communication abilities, problem-solving capabilities, and service delivery capacities possessed by library staff in facilitating access to information resources and supporting users' academic activities (</w:t>
      </w:r>
      <w:r>
        <w:rPr>
          <w:rFonts w:ascii="Times New Roman" w:cs="Times New Roman" w:hAnsi="Times New Roman"/>
          <w:sz w:val="24"/>
        </w:rPr>
        <w:t>Mavodza</w:t>
      </w:r>
      <w:r>
        <w:rPr>
          <w:rFonts w:ascii="Times New Roman" w:cs="Times New Roman" w:hAnsi="Times New Roman"/>
          <w:sz w:val="24"/>
        </w:rPr>
        <w:t xml:space="preserve">, 2021; </w:t>
      </w:r>
      <w:r>
        <w:rPr>
          <w:rFonts w:ascii="Times New Roman" w:cs="Times New Roman" w:hAnsi="Times New Roman"/>
          <w:sz w:val="24"/>
        </w:rPr>
        <w:t>Ogunmodede</w:t>
      </w:r>
      <w:r>
        <w:rPr>
          <w:rFonts w:ascii="Times New Roman" w:cs="Times New Roman" w:hAnsi="Times New Roman"/>
          <w:sz w:val="24"/>
        </w:rPr>
        <w:t xml:space="preserve"> et al., 2023). Within university libraries, competence extends beyond routine administrative functions to include reference services, database navigation support, information literacy instruction, research consultation, digital resource management, and user education.</w:t>
      </w:r>
    </w:p>
    <w:p w14:paraId="EF321231">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Library personnel perform functions analogous to those of navigators guiding </w:t>
      </w:r>
      <w:r>
        <w:rPr>
          <w:rFonts w:ascii="Times New Roman" w:cs="Times New Roman" w:hAnsi="Times New Roman"/>
          <w:sz w:val="24"/>
        </w:rPr>
        <w:t>travellers</w:t>
      </w:r>
      <w:r>
        <w:rPr>
          <w:rFonts w:ascii="Times New Roman" w:cs="Times New Roman" w:hAnsi="Times New Roman"/>
          <w:sz w:val="24"/>
        </w:rPr>
        <w:t xml:space="preserve"> through an unfamiliar terrain. The contemporary information environment is characterised by information abundance, multidisciplinary databases, complex search interfaces, and rapidly changing technologies. Without competent guidance, postgraduate students may struggle to identify relevant information sources, evaluate information credibility, or effectively </w:t>
      </w:r>
      <w:r>
        <w:rPr>
          <w:rFonts w:ascii="Times New Roman" w:cs="Times New Roman" w:hAnsi="Times New Roman"/>
          <w:sz w:val="24"/>
        </w:rPr>
        <w:t>utilise</w:t>
      </w:r>
      <w:r>
        <w:rPr>
          <w:rFonts w:ascii="Times New Roman" w:cs="Times New Roman" w:hAnsi="Times New Roman"/>
          <w:sz w:val="24"/>
        </w:rPr>
        <w:t xml:space="preserve"> available resources. Competent library personnel therefore serve as knowledge intermediaries who simplify access to information and transform information complexity into meaningful learning experiences (</w:t>
      </w:r>
      <w:r>
        <w:rPr>
          <w:rFonts w:ascii="Times New Roman" w:cs="Times New Roman" w:hAnsi="Times New Roman"/>
          <w:sz w:val="24"/>
        </w:rPr>
        <w:t>Aina</w:t>
      </w:r>
      <w:r>
        <w:rPr>
          <w:rFonts w:ascii="Times New Roman" w:cs="Times New Roman" w:hAnsi="Times New Roman"/>
          <w:sz w:val="24"/>
        </w:rPr>
        <w:t xml:space="preserve"> et al., 2021).</w:t>
      </w:r>
    </w:p>
    <w:p w14:paraId="4F5A59CA">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Empirical studies have demonstrated that staff responsiveness, professional competence, communication skills, and service quality significantly influence users' perceptions of library </w:t>
      </w:r>
      <w:r>
        <w:rPr>
          <w:rFonts w:ascii="Times New Roman" w:cs="Times New Roman" w:hAnsi="Times New Roman"/>
          <w:sz w:val="24"/>
        </w:rPr>
        <w:t>effectiveness and satisfaction levels (</w:t>
      </w:r>
      <w:r>
        <w:rPr>
          <w:rFonts w:ascii="Times New Roman" w:cs="Times New Roman" w:hAnsi="Times New Roman"/>
          <w:sz w:val="24"/>
        </w:rPr>
        <w:t>Masele</w:t>
      </w:r>
      <w:r>
        <w:rPr>
          <w:rFonts w:ascii="Times New Roman" w:cs="Times New Roman" w:hAnsi="Times New Roman"/>
          <w:sz w:val="24"/>
        </w:rPr>
        <w:t xml:space="preserve"> &amp; </w:t>
      </w:r>
      <w:r>
        <w:rPr>
          <w:rFonts w:ascii="Times New Roman" w:cs="Times New Roman" w:hAnsi="Times New Roman"/>
          <w:sz w:val="24"/>
        </w:rPr>
        <w:t>Rwehikiza</w:t>
      </w:r>
      <w:r>
        <w:rPr>
          <w:rFonts w:ascii="Times New Roman" w:cs="Times New Roman" w:hAnsi="Times New Roman"/>
          <w:sz w:val="24"/>
        </w:rPr>
        <w:t xml:space="preserve">, 2021; </w:t>
      </w:r>
      <w:r>
        <w:rPr>
          <w:rFonts w:ascii="Times New Roman" w:cs="Times New Roman" w:hAnsi="Times New Roman"/>
          <w:sz w:val="24"/>
        </w:rPr>
        <w:t>Arinola</w:t>
      </w:r>
      <w:r>
        <w:rPr>
          <w:rFonts w:ascii="Times New Roman" w:cs="Times New Roman" w:hAnsi="Times New Roman"/>
          <w:sz w:val="24"/>
        </w:rPr>
        <w:t xml:space="preserve"> et al., 2025). Competent personnel often provide personalised assistance that enhances users' confidence and encourages repeated utilisation of library resources. In contrast, inadequate professional competencies may create barriers to information access and discourage continuous engagement with library services.</w:t>
      </w:r>
    </w:p>
    <w:p w14:paraId="C744396B">
      <w:pPr>
        <w:pStyle w:val="style0"/>
        <w:spacing w:lineRule="auto" w:line="360"/>
        <w:jc w:val="both"/>
        <w:rPr>
          <w:rFonts w:ascii="Times New Roman" w:cs="Times New Roman" w:hAnsi="Times New Roman"/>
          <w:sz w:val="24"/>
        </w:rPr>
      </w:pPr>
      <w:r>
        <w:rPr>
          <w:rFonts w:ascii="Times New Roman" w:cs="Times New Roman" w:hAnsi="Times New Roman"/>
          <w:sz w:val="24"/>
        </w:rPr>
        <w:t>The importance of personnel competence may be explained through the Resource-Based View (RBV) Theory developed by Barney (1991). The theory posits that organisational effectiveness depends significantly on strategic resources that are valuable, rare, difficult to imitate, and capable of generating competitive advantage. Human capital constitutes one of such strategic resources. Within university libraries, professionally competent personnel represent valuable assets capable of creating superior service experiences and facilitating sustained user engagement with information resources (Al-</w:t>
      </w:r>
      <w:r>
        <w:rPr>
          <w:rFonts w:ascii="Times New Roman" w:cs="Times New Roman" w:hAnsi="Times New Roman"/>
          <w:sz w:val="24"/>
        </w:rPr>
        <w:t>Mamary</w:t>
      </w:r>
      <w:r>
        <w:rPr>
          <w:rFonts w:ascii="Times New Roman" w:cs="Times New Roman" w:hAnsi="Times New Roman"/>
          <w:sz w:val="24"/>
        </w:rPr>
        <w:t xml:space="preserve"> et al., 2022). Similarly, Social Exchange Theory suggests that individuals maintain relationships that provide beneficial outcomes and positive experiences (</w:t>
      </w:r>
      <w:r>
        <w:rPr>
          <w:rFonts w:ascii="Times New Roman" w:cs="Times New Roman" w:hAnsi="Times New Roman"/>
          <w:sz w:val="24"/>
        </w:rPr>
        <w:t>Cropanzano</w:t>
      </w:r>
      <w:r>
        <w:rPr>
          <w:rFonts w:ascii="Times New Roman" w:cs="Times New Roman" w:hAnsi="Times New Roman"/>
          <w:sz w:val="24"/>
        </w:rPr>
        <w:t xml:space="preserve"> et al., 2017). Postgraduate students who receive professional support, timely assistance, and personalised services from competent library personnel may develop favourable perceptions that encourage continuous utilisation of library resources.</w:t>
      </w:r>
    </w:p>
    <w:p w14:paraId="F9176FB2">
      <w:pPr>
        <w:pStyle w:val="style0"/>
        <w:spacing w:lineRule="auto" w:line="360"/>
        <w:jc w:val="both"/>
        <w:rPr>
          <w:rFonts w:ascii="Times New Roman" w:cs="Times New Roman" w:hAnsi="Times New Roman"/>
          <w:sz w:val="24"/>
        </w:rPr>
      </w:pPr>
      <w:r>
        <w:rPr>
          <w:rFonts w:ascii="Times New Roman" w:cs="Times New Roman" w:hAnsi="Times New Roman"/>
          <w:sz w:val="24"/>
        </w:rPr>
        <w:t>The contemporary information environment has fundamentally transformed the operational landscape of university libraries. Advances in information and communication technologies have expanded opportunities for remote access, digital scholarship, virtual reference services, institutional repositories, and electronic resource utilisation (</w:t>
      </w:r>
      <w:r>
        <w:rPr>
          <w:rFonts w:ascii="Times New Roman" w:cs="Times New Roman" w:hAnsi="Times New Roman"/>
          <w:sz w:val="24"/>
        </w:rPr>
        <w:t>Ifijeh</w:t>
      </w:r>
      <w:r>
        <w:rPr>
          <w:rFonts w:ascii="Times New Roman" w:cs="Times New Roman" w:hAnsi="Times New Roman"/>
          <w:sz w:val="24"/>
        </w:rPr>
        <w:t xml:space="preserve"> &amp; Yusuf, 2020). However, these technological transformations have simultaneously increased users' expectations regarding service quality, technological responsiveness, and professional support. Today's postgraduate students require libraries that function not merely as book repositories but as integrated knowledge hubs capable of supporting multidisciplinary research and evidence-based scholarship.</w:t>
      </w:r>
    </w:p>
    <w:p w14:paraId="F29099AE">
      <w:pPr>
        <w:pStyle w:val="style0"/>
        <w:spacing w:lineRule="auto" w:line="360"/>
        <w:jc w:val="both"/>
        <w:rPr>
          <w:rFonts w:ascii="Times New Roman" w:cs="Times New Roman" w:hAnsi="Times New Roman"/>
          <w:sz w:val="24"/>
        </w:rPr>
      </w:pPr>
      <w:r>
        <w:rPr>
          <w:rFonts w:ascii="Times New Roman" w:cs="Times New Roman" w:hAnsi="Times New Roman"/>
          <w:sz w:val="24"/>
        </w:rPr>
        <w:t>Public universities in Lagos and Ogun States occupy strategic positions within Nigeria's higher education system because they host large populations of postgraduate students and serve as major centres of research and innovation. Over the years, these institutions have invested substantial resources in developing library infrastructures, procuring electronic databases, establishing digital repositories, and improving service delivery mechanisms (</w:t>
      </w:r>
      <w:r>
        <w:rPr>
          <w:rFonts w:ascii="Times New Roman" w:cs="Times New Roman" w:hAnsi="Times New Roman"/>
          <w:sz w:val="24"/>
        </w:rPr>
        <w:t>Olatokun</w:t>
      </w:r>
      <w:r>
        <w:rPr>
          <w:rFonts w:ascii="Times New Roman" w:cs="Times New Roman" w:hAnsi="Times New Roman"/>
          <w:sz w:val="24"/>
        </w:rPr>
        <w:t xml:space="preserve"> &amp; </w:t>
      </w:r>
      <w:r>
        <w:rPr>
          <w:rFonts w:ascii="Times New Roman" w:cs="Times New Roman" w:hAnsi="Times New Roman"/>
          <w:sz w:val="24"/>
        </w:rPr>
        <w:t>Aina</w:t>
      </w:r>
      <w:r>
        <w:rPr>
          <w:rFonts w:ascii="Times New Roman" w:cs="Times New Roman" w:hAnsi="Times New Roman"/>
          <w:sz w:val="24"/>
        </w:rPr>
        <w:t xml:space="preserve">, 2023). Despite these investments, studies continue to report varying levels of library resource utilisation among </w:t>
      </w:r>
      <w:r>
        <w:rPr>
          <w:rFonts w:ascii="Times New Roman" w:cs="Times New Roman" w:hAnsi="Times New Roman"/>
          <w:sz w:val="24"/>
        </w:rPr>
        <w:t xml:space="preserve">postgraduate students, with evidence of </w:t>
      </w:r>
      <w:r>
        <w:rPr>
          <w:rFonts w:ascii="Times New Roman" w:cs="Times New Roman" w:hAnsi="Times New Roman"/>
          <w:sz w:val="24"/>
        </w:rPr>
        <w:t>underutilisation</w:t>
      </w:r>
      <w:r>
        <w:rPr>
          <w:rFonts w:ascii="Times New Roman" w:cs="Times New Roman" w:hAnsi="Times New Roman"/>
          <w:sz w:val="24"/>
        </w:rPr>
        <w:t xml:space="preserve"> of electronic resources and declining patterns of physical library patronage (</w:t>
      </w:r>
      <w:r>
        <w:rPr>
          <w:rFonts w:ascii="Times New Roman" w:cs="Times New Roman" w:hAnsi="Times New Roman"/>
          <w:sz w:val="24"/>
        </w:rPr>
        <w:t>Aina</w:t>
      </w:r>
      <w:r>
        <w:rPr>
          <w:rFonts w:ascii="Times New Roman" w:cs="Times New Roman" w:hAnsi="Times New Roman"/>
          <w:sz w:val="24"/>
        </w:rPr>
        <w:t xml:space="preserve"> et al., 2021; </w:t>
      </w:r>
      <w:r>
        <w:rPr>
          <w:rFonts w:ascii="Times New Roman" w:cs="Times New Roman" w:hAnsi="Times New Roman"/>
          <w:sz w:val="24"/>
        </w:rPr>
        <w:t>Arinola</w:t>
      </w:r>
      <w:r>
        <w:rPr>
          <w:rFonts w:ascii="Times New Roman" w:cs="Times New Roman" w:hAnsi="Times New Roman"/>
          <w:sz w:val="24"/>
        </w:rPr>
        <w:t xml:space="preserve"> et al., 2025).</w:t>
      </w:r>
    </w:p>
    <w:p w14:paraId="5C68FD13">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This scenario raises several critical questions. Why do some postgraduate students continually rely on library resources while others discontinue or minimise their usage despite studying within the same institutional contexts? To what extent does the service environment shape postgraduates' willingness to repeatedly </w:t>
      </w:r>
      <w:r>
        <w:rPr>
          <w:rFonts w:ascii="Times New Roman" w:cs="Times New Roman" w:hAnsi="Times New Roman"/>
          <w:sz w:val="24"/>
        </w:rPr>
        <w:t>utilise</w:t>
      </w:r>
      <w:r>
        <w:rPr>
          <w:rFonts w:ascii="Times New Roman" w:cs="Times New Roman" w:hAnsi="Times New Roman"/>
          <w:sz w:val="24"/>
        </w:rPr>
        <w:t xml:space="preserve"> library resources? Can professionally competent library personnel stimulate sustained utilisation behaviours by reducing information barriers and enhancing user experiences? How do environmental conditions and human competencies interact to influence postgraduates' continuous intention to use library resources in public universities?</w:t>
      </w:r>
    </w:p>
    <w:p w14:paraId="80431DE0">
      <w:pPr>
        <w:pStyle w:val="style0"/>
        <w:spacing w:lineRule="auto" w:line="360"/>
        <w:jc w:val="both"/>
        <w:rPr>
          <w:rFonts w:ascii="Times New Roman" w:cs="Times New Roman" w:hAnsi="Times New Roman"/>
          <w:sz w:val="24"/>
        </w:rPr>
      </w:pPr>
      <w:r>
        <w:rPr>
          <w:rFonts w:ascii="Times New Roman" w:cs="Times New Roman" w:hAnsi="Times New Roman"/>
          <w:sz w:val="24"/>
        </w:rPr>
        <w:t>These questions are not merely academic exercises. They possess significant implications for educational quality, research productivity, and national development. Postgraduate students represent the future generation of researchers, academics, policymakers, and knowledge producers. Their capacity to generate rigorous and evidence-based scholarship depends substantially on continuous access to credible information resources. If university libraries fail to create environments and service conditions that encourage sustained use, investments in information resources and technological infrastructure may yield suboptimal outcomes.</w:t>
      </w:r>
    </w:p>
    <w:p w14:paraId="A2B3FD5D">
      <w:pPr>
        <w:pStyle w:val="style0"/>
        <w:spacing w:lineRule="auto" w:line="360"/>
        <w:jc w:val="both"/>
        <w:rPr>
          <w:rFonts w:ascii="Times New Roman" w:cs="Times New Roman" w:hAnsi="Times New Roman"/>
          <w:sz w:val="24"/>
        </w:rPr>
      </w:pPr>
      <w:r>
        <w:rPr>
          <w:rFonts w:ascii="Times New Roman" w:cs="Times New Roman" w:hAnsi="Times New Roman"/>
          <w:sz w:val="24"/>
        </w:rPr>
        <w:t>Furthermore, existing literature has largely concentrated on initial adoption of electronic resources, information-seeking behaviour, user satisfaction, and general patterns of library utilisation, while comparatively little empirical attention has been devoted to postgraduates' continuous intention to use library resources, particularly within public universities in Lagos and Ogun States, Nigeria (</w:t>
      </w:r>
      <w:r>
        <w:rPr>
          <w:rFonts w:ascii="Times New Roman" w:cs="Times New Roman" w:hAnsi="Times New Roman"/>
          <w:sz w:val="24"/>
        </w:rPr>
        <w:t>Olatokun</w:t>
      </w:r>
      <w:r>
        <w:rPr>
          <w:rFonts w:ascii="Times New Roman" w:cs="Times New Roman" w:hAnsi="Times New Roman"/>
          <w:sz w:val="24"/>
        </w:rPr>
        <w:t xml:space="preserve"> &amp; </w:t>
      </w:r>
      <w:r>
        <w:rPr>
          <w:rFonts w:ascii="Times New Roman" w:cs="Times New Roman" w:hAnsi="Times New Roman"/>
          <w:sz w:val="24"/>
        </w:rPr>
        <w:t>Aina</w:t>
      </w:r>
      <w:r>
        <w:rPr>
          <w:rFonts w:ascii="Times New Roman" w:cs="Times New Roman" w:hAnsi="Times New Roman"/>
          <w:sz w:val="24"/>
        </w:rPr>
        <w:t>, 2023; Tai et al., 2026). Continuous intention represents a more advanced behavioural construct because it explains not only why users adopt information resources initially but also why they choose to sustain or discontinue their engagement over time.</w:t>
      </w:r>
    </w:p>
    <w:p w14:paraId="29F8C43F">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The university library has frequently been described as the heart of the university. However, a heart performs its life-sustaining functions only when blood circulates continuously through the body. In the same manner, library resources fulfil their educational and research purposes only when users continuously interact with them. The library service environment and personnel competence may therefore be viewed as the arteries through which knowledge circulates within the academic ecosystem. Understanding how these factors predict postgraduates' continuous intention to use library resources has become essential for ensuring that university libraries remain </w:t>
      </w:r>
      <w:r>
        <w:rPr>
          <w:rFonts w:ascii="Times New Roman" w:cs="Times New Roman" w:hAnsi="Times New Roman"/>
          <w:sz w:val="24"/>
        </w:rPr>
        <w:t>vibrant centres of learning, scholarship, and innovation in public universities in Lagos and Ogun States, Nigeria.</w:t>
      </w:r>
    </w:p>
    <w:p w14:paraId="B99F3D3E">
      <w:pPr>
        <w:pStyle w:val="style0"/>
        <w:spacing w:lineRule="auto" w:line="360"/>
        <w:jc w:val="both"/>
        <w:rPr>
          <w:rFonts w:ascii="Times New Roman" w:cs="Times New Roman" w:hAnsi="Times New Roman"/>
          <w:sz w:val="24"/>
        </w:rPr>
      </w:pPr>
      <w:r>
        <w:rPr>
          <w:rFonts w:ascii="Times New Roman" w:cs="Times New Roman" w:hAnsi="Times New Roman"/>
          <w:sz w:val="24"/>
        </w:rPr>
        <w:t>Against this background, this study investigates library service environment and personnel competence as predictors of postgraduates' continuous intention to use library resources in public universities in Lagos and Ogun States, Nigeria.</w:t>
      </w:r>
    </w:p>
    <w:p w14:paraId="CF5D5BEB">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Statement of the Problem</w:t>
      </w:r>
    </w:p>
    <w:p w14:paraId="D8751E4F">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University libraries constitute the intellectual backbone of postgraduate education because they provide access to scholarly information resources that support teaching, learning, and research activities. However, the effectiveness of these resources depends largely on the extent to which postgraduate students continuously </w:t>
      </w:r>
      <w:r>
        <w:rPr>
          <w:rFonts w:ascii="Times New Roman" w:cs="Times New Roman" w:hAnsi="Times New Roman"/>
          <w:sz w:val="24"/>
        </w:rPr>
        <w:t>utilise</w:t>
      </w:r>
      <w:r>
        <w:rPr>
          <w:rFonts w:ascii="Times New Roman" w:cs="Times New Roman" w:hAnsi="Times New Roman"/>
          <w:sz w:val="24"/>
        </w:rPr>
        <w:t xml:space="preserve"> them throughout their academic programmes. In recent years, concerns have emerged regarding the declining and inconsistent utilisation of library resources among postgraduate students despite substantial investments by universities in digital databases, institutional repositories, electronic journals, and physical library infrastructures (</w:t>
      </w:r>
      <w:r>
        <w:rPr>
          <w:rFonts w:ascii="Times New Roman" w:cs="Times New Roman" w:hAnsi="Times New Roman"/>
          <w:sz w:val="24"/>
        </w:rPr>
        <w:t>Ifijeh</w:t>
      </w:r>
      <w:r>
        <w:rPr>
          <w:rFonts w:ascii="Times New Roman" w:cs="Times New Roman" w:hAnsi="Times New Roman"/>
          <w:sz w:val="24"/>
        </w:rPr>
        <w:t xml:space="preserve"> &amp; Yusuf, 2020; </w:t>
      </w:r>
      <w:r>
        <w:rPr>
          <w:rFonts w:ascii="Times New Roman" w:cs="Times New Roman" w:hAnsi="Times New Roman"/>
          <w:sz w:val="24"/>
        </w:rPr>
        <w:t>Olatokun</w:t>
      </w:r>
      <w:r>
        <w:rPr>
          <w:rFonts w:ascii="Times New Roman" w:cs="Times New Roman" w:hAnsi="Times New Roman"/>
          <w:sz w:val="24"/>
        </w:rPr>
        <w:t xml:space="preserve"> &amp; </w:t>
      </w:r>
      <w:r>
        <w:rPr>
          <w:rFonts w:ascii="Times New Roman" w:cs="Times New Roman" w:hAnsi="Times New Roman"/>
          <w:sz w:val="24"/>
        </w:rPr>
        <w:t>Aina</w:t>
      </w:r>
      <w:r>
        <w:rPr>
          <w:rFonts w:ascii="Times New Roman" w:cs="Times New Roman" w:hAnsi="Times New Roman"/>
          <w:sz w:val="24"/>
        </w:rPr>
        <w:t xml:space="preserve">, 2023). Studies have shown that many postgraduate students prefer freely accessible internet sources and commercial search engines to library resources, resulting in the </w:t>
      </w:r>
      <w:r>
        <w:rPr>
          <w:rFonts w:ascii="Times New Roman" w:cs="Times New Roman" w:hAnsi="Times New Roman"/>
          <w:sz w:val="24"/>
        </w:rPr>
        <w:t>underutilisation</w:t>
      </w:r>
      <w:r>
        <w:rPr>
          <w:rFonts w:ascii="Times New Roman" w:cs="Times New Roman" w:hAnsi="Times New Roman"/>
          <w:sz w:val="24"/>
        </w:rPr>
        <w:t xml:space="preserve"> of authoritative scholarly materials that are specifically acquired to support advanced research and knowledge production (</w:t>
      </w:r>
      <w:r>
        <w:rPr>
          <w:rFonts w:ascii="Times New Roman" w:cs="Times New Roman" w:hAnsi="Times New Roman"/>
          <w:sz w:val="24"/>
        </w:rPr>
        <w:t>Nugroho</w:t>
      </w:r>
      <w:r>
        <w:rPr>
          <w:rFonts w:ascii="Times New Roman" w:cs="Times New Roman" w:hAnsi="Times New Roman"/>
          <w:sz w:val="24"/>
        </w:rPr>
        <w:t xml:space="preserve"> et al., 2022; </w:t>
      </w:r>
      <w:r>
        <w:rPr>
          <w:rFonts w:ascii="Times New Roman" w:cs="Times New Roman" w:hAnsi="Times New Roman"/>
          <w:sz w:val="24"/>
        </w:rPr>
        <w:t>Arinola</w:t>
      </w:r>
      <w:r>
        <w:rPr>
          <w:rFonts w:ascii="Times New Roman" w:cs="Times New Roman" w:hAnsi="Times New Roman"/>
          <w:sz w:val="24"/>
        </w:rPr>
        <w:t xml:space="preserve"> et al., 2025).</w:t>
      </w:r>
    </w:p>
    <w:p w14:paraId="29E00D60">
      <w:pPr>
        <w:pStyle w:val="style0"/>
        <w:spacing w:lineRule="auto" w:line="360"/>
        <w:jc w:val="both"/>
        <w:rPr>
          <w:rFonts w:ascii="Times New Roman" w:cs="Times New Roman" w:hAnsi="Times New Roman"/>
          <w:sz w:val="24"/>
        </w:rPr>
      </w:pPr>
      <w:r>
        <w:rPr>
          <w:rFonts w:ascii="Times New Roman" w:cs="Times New Roman" w:hAnsi="Times New Roman"/>
          <w:sz w:val="24"/>
        </w:rPr>
        <w:t>The persistence of this problem raises concerns about the quality of postgraduate research, information literacy competencies, and evidence-based scholarship within Nigerian universities. Empirical studies have demonstrated that continuous utilisation of library resources contributes significantly to research productivity, academic performance, and successful completion of postgraduate programmes (</w:t>
      </w:r>
      <w:r>
        <w:rPr>
          <w:rFonts w:ascii="Times New Roman" w:cs="Times New Roman" w:hAnsi="Times New Roman"/>
          <w:sz w:val="24"/>
        </w:rPr>
        <w:t>Masele</w:t>
      </w:r>
      <w:r>
        <w:rPr>
          <w:rFonts w:ascii="Times New Roman" w:cs="Times New Roman" w:hAnsi="Times New Roman"/>
          <w:sz w:val="24"/>
        </w:rPr>
        <w:t xml:space="preserve"> &amp; </w:t>
      </w:r>
      <w:r>
        <w:rPr>
          <w:rFonts w:ascii="Times New Roman" w:cs="Times New Roman" w:hAnsi="Times New Roman"/>
          <w:sz w:val="24"/>
        </w:rPr>
        <w:t>Rwehikiza</w:t>
      </w:r>
      <w:r>
        <w:rPr>
          <w:rFonts w:ascii="Times New Roman" w:cs="Times New Roman" w:hAnsi="Times New Roman"/>
          <w:sz w:val="24"/>
        </w:rPr>
        <w:t xml:space="preserve">, 2021; </w:t>
      </w:r>
      <w:r>
        <w:rPr>
          <w:rFonts w:ascii="Times New Roman" w:cs="Times New Roman" w:hAnsi="Times New Roman"/>
          <w:sz w:val="24"/>
        </w:rPr>
        <w:t>Yeboah</w:t>
      </w:r>
      <w:r>
        <w:rPr>
          <w:rFonts w:ascii="Times New Roman" w:cs="Times New Roman" w:hAnsi="Times New Roman"/>
          <w:sz w:val="24"/>
        </w:rPr>
        <w:t xml:space="preserve"> et al., 2026). Nevertheless, observations within public universities in Lagos and Ogun States suggest varying levels of library patronage among postgraduate students despite similarities in academic requirements and resource availability.</w:t>
      </w:r>
    </w:p>
    <w:p w14:paraId="E49CA53B">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Although previous studies have examined electronic resource utilisation, information-seeking behaviour, and user satisfaction, limited empirical attention has been devoted to understanding how the library service environment and personnel competence influence postgraduates' </w:t>
      </w:r>
      <w:r>
        <w:rPr>
          <w:rFonts w:ascii="Times New Roman" w:cs="Times New Roman" w:hAnsi="Times New Roman"/>
          <w:sz w:val="24"/>
        </w:rPr>
        <w:t>continuous intention to use library resources in public universities in Lagos and Ogun States, Nigeria. This knowledge gap necessitated the present study.</w:t>
      </w:r>
    </w:p>
    <w:p w14:paraId="46A8A6FB">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Purpose of the Study</w:t>
      </w:r>
    </w:p>
    <w:p w14:paraId="53977BA3">
      <w:pPr>
        <w:pStyle w:val="style0"/>
        <w:spacing w:lineRule="auto" w:line="360"/>
        <w:jc w:val="both"/>
        <w:rPr>
          <w:rFonts w:ascii="Times New Roman" w:cs="Times New Roman" w:hAnsi="Times New Roman"/>
          <w:sz w:val="24"/>
        </w:rPr>
      </w:pPr>
      <w:r>
        <w:rPr>
          <w:rFonts w:ascii="Times New Roman" w:cs="Times New Roman" w:hAnsi="Times New Roman"/>
          <w:sz w:val="24"/>
        </w:rPr>
        <w:t>The broad purpose of this study was to examine library service environment and personnel competence as predictors of postgraduates' continuous intention to use library resources in public universities in Lagos and Ogun States, Nigeria. Specifically, the study sought to:</w:t>
      </w:r>
    </w:p>
    <w:p w14:paraId="406D383B">
      <w:pPr>
        <w:pStyle w:val="style0"/>
        <w:numPr>
          <w:ilvl w:val="0"/>
          <w:numId w:val="1"/>
        </w:numPr>
        <w:spacing w:lineRule="auto" w:line="360"/>
        <w:jc w:val="both"/>
        <w:rPr>
          <w:rFonts w:ascii="Times New Roman" w:cs="Times New Roman" w:hAnsi="Times New Roman"/>
          <w:sz w:val="24"/>
        </w:rPr>
      </w:pPr>
      <w:r>
        <w:rPr>
          <w:rFonts w:ascii="Times New Roman" w:cs="Times New Roman" w:hAnsi="Times New Roman"/>
          <w:sz w:val="24"/>
        </w:rPr>
        <w:t>examine the influence of library service environment on postgraduates' continuous intention to use library resources in public universities in Lagos and Ogun States, Nigeria;</w:t>
      </w:r>
    </w:p>
    <w:p w14:paraId="322C966C">
      <w:pPr>
        <w:pStyle w:val="style0"/>
        <w:numPr>
          <w:ilvl w:val="0"/>
          <w:numId w:val="1"/>
        </w:numPr>
        <w:spacing w:lineRule="auto" w:line="360"/>
        <w:jc w:val="both"/>
        <w:rPr>
          <w:rFonts w:ascii="Times New Roman" w:cs="Times New Roman" w:hAnsi="Times New Roman"/>
          <w:sz w:val="24"/>
        </w:rPr>
      </w:pPr>
      <w:r>
        <w:rPr>
          <w:rFonts w:ascii="Times New Roman" w:cs="Times New Roman" w:hAnsi="Times New Roman"/>
          <w:sz w:val="24"/>
        </w:rPr>
        <w:t>determine the influence of personnel competence on postgraduates' continuous intention to use library resources in public universities in Lagos and Ogun States, Nigeria; and</w:t>
      </w:r>
    </w:p>
    <w:p w14:paraId="F8602E4E">
      <w:pPr>
        <w:pStyle w:val="style0"/>
        <w:numPr>
          <w:ilvl w:val="0"/>
          <w:numId w:val="1"/>
        </w:numPr>
        <w:spacing w:lineRule="auto" w:line="360"/>
        <w:jc w:val="both"/>
        <w:rPr>
          <w:rFonts w:ascii="Times New Roman" w:cs="Times New Roman" w:hAnsi="Times New Roman"/>
          <w:sz w:val="24"/>
        </w:rPr>
      </w:pPr>
      <w:r>
        <w:rPr>
          <w:rFonts w:ascii="Times New Roman" w:cs="Times New Roman" w:hAnsi="Times New Roman"/>
          <w:sz w:val="24"/>
        </w:rPr>
        <w:t>ascertain</w:t>
      </w:r>
      <w:r>
        <w:rPr>
          <w:rFonts w:ascii="Times New Roman" w:cs="Times New Roman" w:hAnsi="Times New Roman"/>
          <w:sz w:val="24"/>
        </w:rPr>
        <w:t xml:space="preserve"> the combined influence of library service environment and personnel competence on postgraduates' continuous intention to use library resources in public universities in Lagos and Ogun States, Nigeria.</w:t>
      </w:r>
    </w:p>
    <w:p w14:paraId="34904B52">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Research Questions</w:t>
      </w:r>
    </w:p>
    <w:p w14:paraId="32502A45">
      <w:pPr>
        <w:pStyle w:val="style0"/>
        <w:spacing w:lineRule="auto" w:line="360"/>
        <w:jc w:val="both"/>
        <w:rPr>
          <w:rFonts w:ascii="Times New Roman" w:cs="Times New Roman" w:hAnsi="Times New Roman"/>
          <w:sz w:val="24"/>
        </w:rPr>
      </w:pPr>
      <w:r>
        <w:rPr>
          <w:rFonts w:ascii="Times New Roman" w:cs="Times New Roman" w:hAnsi="Times New Roman"/>
          <w:sz w:val="24"/>
        </w:rPr>
        <w:t>The following research questions guided the study:</w:t>
      </w:r>
    </w:p>
    <w:p w14:paraId="5399674F">
      <w:pPr>
        <w:pStyle w:val="style0"/>
        <w:numPr>
          <w:ilvl w:val="0"/>
          <w:numId w:val="2"/>
        </w:numPr>
        <w:spacing w:lineRule="auto" w:line="360"/>
        <w:jc w:val="both"/>
        <w:rPr>
          <w:rFonts w:ascii="Times New Roman" w:cs="Times New Roman" w:hAnsi="Times New Roman"/>
          <w:sz w:val="24"/>
        </w:rPr>
      </w:pPr>
      <w:r>
        <w:rPr>
          <w:rFonts w:ascii="Times New Roman" w:cs="Times New Roman" w:hAnsi="Times New Roman"/>
          <w:sz w:val="24"/>
        </w:rPr>
        <w:t>To what extent does library service environment influence postgraduates' continuous intention to use library resources in public universities in Lagos and Ogun States, Nigeria?</w:t>
      </w:r>
    </w:p>
    <w:p w14:paraId="A03973CD">
      <w:pPr>
        <w:pStyle w:val="style0"/>
        <w:numPr>
          <w:ilvl w:val="0"/>
          <w:numId w:val="2"/>
        </w:numPr>
        <w:spacing w:lineRule="auto" w:line="360"/>
        <w:jc w:val="both"/>
        <w:rPr>
          <w:rFonts w:ascii="Times New Roman" w:cs="Times New Roman" w:hAnsi="Times New Roman"/>
          <w:sz w:val="24"/>
        </w:rPr>
      </w:pPr>
      <w:r>
        <w:rPr>
          <w:rFonts w:ascii="Times New Roman" w:cs="Times New Roman" w:hAnsi="Times New Roman"/>
          <w:sz w:val="24"/>
        </w:rPr>
        <w:t>To what extent does personnel competence influence postgraduates' continuous intention to use library resources in public universities in Lagos and Ogun States, Nigeria?</w:t>
      </w:r>
    </w:p>
    <w:p w14:paraId="EED015AC">
      <w:pPr>
        <w:pStyle w:val="style0"/>
        <w:numPr>
          <w:ilvl w:val="0"/>
          <w:numId w:val="2"/>
        </w:numPr>
        <w:spacing w:lineRule="auto" w:line="360"/>
        <w:jc w:val="both"/>
        <w:rPr>
          <w:rFonts w:ascii="Times New Roman" w:cs="Times New Roman" w:hAnsi="Times New Roman"/>
          <w:sz w:val="24"/>
        </w:rPr>
      </w:pPr>
      <w:r>
        <w:rPr>
          <w:rFonts w:ascii="Times New Roman" w:cs="Times New Roman" w:hAnsi="Times New Roman"/>
          <w:sz w:val="24"/>
        </w:rPr>
        <w:t>What is the combined influence of library service environment and personnel competence on postgraduates' continuous intention to use library resources in public universities in Lagos and Ogun States, Nigeria?</w:t>
      </w:r>
    </w:p>
    <w:p w14:paraId="1D748481">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Null Hypotheses</w:t>
      </w:r>
    </w:p>
    <w:p w14:paraId="B02988D3">
      <w:pPr>
        <w:pStyle w:val="style0"/>
        <w:spacing w:lineRule="auto" w:line="360"/>
        <w:jc w:val="both"/>
        <w:rPr>
          <w:rFonts w:ascii="Times New Roman" w:cs="Times New Roman" w:hAnsi="Times New Roman"/>
          <w:sz w:val="24"/>
        </w:rPr>
      </w:pPr>
      <w:r>
        <w:rPr>
          <w:rFonts w:ascii="Times New Roman" w:cs="Times New Roman" w:hAnsi="Times New Roman"/>
          <w:sz w:val="24"/>
        </w:rPr>
        <w:t>The following null hypotheses were formulated and tested at the 0.05 level of significance:</w:t>
      </w:r>
    </w:p>
    <w:p w14:paraId="B2E06ABB">
      <w:pPr>
        <w:pStyle w:val="style0"/>
        <w:spacing w:lineRule="auto" w:line="360"/>
        <w:jc w:val="both"/>
        <w:rPr>
          <w:rFonts w:ascii="Times New Roman" w:cs="Times New Roman" w:hAnsi="Times New Roman"/>
          <w:sz w:val="24"/>
        </w:rPr>
      </w:pPr>
      <w:r>
        <w:rPr>
          <w:rFonts w:ascii="Times New Roman" w:cs="Times New Roman" w:hAnsi="Times New Roman"/>
          <w:sz w:val="24"/>
        </w:rPr>
        <w:t>H01: Library service environment has no significant influence on postgraduates' continuous intention to use library resources in public universities in Lagos and Ogun States, Nigeria.</w:t>
      </w:r>
    </w:p>
    <w:p w14:paraId="EFF76FA7">
      <w:pPr>
        <w:pStyle w:val="style0"/>
        <w:spacing w:lineRule="auto" w:line="360"/>
        <w:jc w:val="both"/>
        <w:rPr>
          <w:rFonts w:ascii="Times New Roman" w:cs="Times New Roman" w:hAnsi="Times New Roman"/>
          <w:sz w:val="24"/>
        </w:rPr>
      </w:pPr>
      <w:r>
        <w:rPr>
          <w:rFonts w:ascii="Times New Roman" w:cs="Times New Roman" w:hAnsi="Times New Roman"/>
          <w:sz w:val="24"/>
        </w:rPr>
        <w:t>H02: Personnel competence has no significant influence on postgraduates' continuous intention to use library resources in public universities in Lagos and Ogun States, Nigeria.</w:t>
      </w:r>
    </w:p>
    <w:p w14:paraId="B1119C4A">
      <w:pPr>
        <w:pStyle w:val="style0"/>
        <w:spacing w:lineRule="auto" w:line="360"/>
        <w:jc w:val="both"/>
        <w:rPr>
          <w:rFonts w:ascii="Times New Roman" w:cs="Times New Roman" w:hAnsi="Times New Roman"/>
          <w:sz w:val="24"/>
        </w:rPr>
      </w:pPr>
      <w:r>
        <w:rPr>
          <w:rFonts w:ascii="Times New Roman" w:cs="Times New Roman" w:hAnsi="Times New Roman"/>
          <w:sz w:val="24"/>
        </w:rPr>
        <w:t>H03: Library service environment and personnel competence have no significant combined influence on postgraduates' continuous intention to use library resources in public universities in Lagos and Ogun States, Nigeria.</w:t>
      </w:r>
    </w:p>
    <w:p w14:paraId="CBD17940">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Literature Review: Expectation-Confirmation Theory</w:t>
      </w:r>
    </w:p>
    <w:p w14:paraId="9DB1A8A7">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The study was anchored on the Expectation-Confirmation Theory (ECT) propounded by </w:t>
      </w:r>
      <w:r>
        <w:rPr>
          <w:rFonts w:ascii="Times New Roman" w:cs="Times New Roman" w:hAnsi="Times New Roman"/>
          <w:sz w:val="24"/>
        </w:rPr>
        <w:t>Bhattacherjee</w:t>
      </w:r>
      <w:r>
        <w:rPr>
          <w:rFonts w:ascii="Times New Roman" w:cs="Times New Roman" w:hAnsi="Times New Roman"/>
          <w:sz w:val="24"/>
        </w:rPr>
        <w:t xml:space="preserve"> (2001). The theory originated from Oliver's Expectation-Confirmation Model and was developed to explain users' continuous intention to use information systems after initial adoption. The theory posits that users form expectations before using a service or system and subsequently compare their actual experiences with those expectations. Where the experience confirms or exceeds initial expectations, users perceive the service as useful and become satisfied, thereby developing a strong intention to continue using it (</w:t>
      </w:r>
      <w:r>
        <w:rPr>
          <w:rFonts w:ascii="Times New Roman" w:cs="Times New Roman" w:hAnsi="Times New Roman"/>
          <w:sz w:val="24"/>
        </w:rPr>
        <w:t>Bhattacherjee</w:t>
      </w:r>
      <w:r>
        <w:rPr>
          <w:rFonts w:ascii="Times New Roman" w:cs="Times New Roman" w:hAnsi="Times New Roman"/>
          <w:sz w:val="24"/>
        </w:rPr>
        <w:t>, 2001).</w:t>
      </w:r>
    </w:p>
    <w:p w14:paraId="55E56E66">
      <w:pPr>
        <w:pStyle w:val="style0"/>
        <w:spacing w:lineRule="auto" w:line="360"/>
        <w:jc w:val="both"/>
        <w:rPr>
          <w:rFonts w:ascii="Times New Roman" w:cs="Times New Roman" w:hAnsi="Times New Roman"/>
          <w:sz w:val="24"/>
        </w:rPr>
      </w:pPr>
      <w:r>
        <w:rPr>
          <w:rFonts w:ascii="Times New Roman" w:cs="Times New Roman" w:hAnsi="Times New Roman"/>
          <w:sz w:val="24"/>
        </w:rPr>
        <w:t>The theory has gained substantial relevance in library and information science because the utilisation of library resources is not a one-time event but a continuous behavioural process requiring sustained engagement. Contemporary studies have employed the theory to explain continuance behaviours relating to digital libraries, electronic information resources, and online information systems (</w:t>
      </w:r>
      <w:r>
        <w:rPr>
          <w:rFonts w:ascii="Times New Roman" w:cs="Times New Roman" w:hAnsi="Times New Roman"/>
          <w:sz w:val="24"/>
        </w:rPr>
        <w:t>Nugroho</w:t>
      </w:r>
      <w:r>
        <w:rPr>
          <w:rFonts w:ascii="Times New Roman" w:cs="Times New Roman" w:hAnsi="Times New Roman"/>
          <w:sz w:val="24"/>
        </w:rPr>
        <w:t xml:space="preserve"> et al., 2022; Tai et al., 2026). The theory suggests that postgraduate students are more likely to continue using library resources when the service environment facilitates convenient access to information and when competent library personnel provide effective assistance that enhances users' experiences and satisfaction.</w:t>
      </w:r>
    </w:p>
    <w:p w14:paraId="D344A8B4">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The Expectation-Confirmation Theory is particularly suitable for this study because it explains how environmental and service-related factors shape users' perceptions of usefulness and satisfaction, which ultimately determine their intentions to continue utilising library resources. A conducive library environment and professionally competent personnel are likely to generate positive experiences that reinforce postgraduates' commitment to continuous library utilisation. Conversely, poor service conditions and inadequate professional support may result in dissatisfaction and discontinuance behaviour. Therefore, the theory provides a robust explanatory framework for understanding the predictive relationships among library service environment, </w:t>
      </w:r>
      <w:r>
        <w:rPr>
          <w:rFonts w:ascii="Times New Roman" w:cs="Times New Roman" w:hAnsi="Times New Roman"/>
          <w:sz w:val="24"/>
        </w:rPr>
        <w:t>personnel competence, and postgraduates' continuous intention to use library resources in public universities in Lagos and Ogun States, Nigeria.</w:t>
      </w:r>
    </w:p>
    <w:p w14:paraId="3DFAD1D7">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Methodology</w:t>
      </w:r>
    </w:p>
    <w:p w14:paraId="A61EAB58">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The study adopted a quantitative explanatory survey research design because it enabled the researcher to determine the predictive relationships among library service environment, personnel competence, and postgraduates' continuous intention to use library resources. The study was conducted in selected public universities in Lagos and Ogun States, Nigeria. The target population comprised registered postgraduate students in the public universities within the study area. A sample size of 420 postgraduate students was selected because it was considered adequate for regression analyses and provided sufficient statistical power for </w:t>
      </w:r>
      <w:r>
        <w:rPr>
          <w:rFonts w:ascii="Times New Roman" w:cs="Times New Roman" w:hAnsi="Times New Roman"/>
          <w:sz w:val="24"/>
        </w:rPr>
        <w:t>generalisation</w:t>
      </w:r>
      <w:r>
        <w:rPr>
          <w:rFonts w:ascii="Times New Roman" w:cs="Times New Roman" w:hAnsi="Times New Roman"/>
          <w:sz w:val="24"/>
        </w:rPr>
        <w:t>.</w:t>
      </w:r>
    </w:p>
    <w:p w14:paraId="9F93B5DC">
      <w:pPr>
        <w:pStyle w:val="style0"/>
        <w:spacing w:lineRule="auto" w:line="360"/>
        <w:jc w:val="both"/>
        <w:rPr>
          <w:rFonts w:ascii="Times New Roman" w:cs="Times New Roman" w:hAnsi="Times New Roman"/>
          <w:sz w:val="24"/>
        </w:rPr>
      </w:pPr>
      <w:r>
        <w:rPr>
          <w:rFonts w:ascii="Times New Roman" w:cs="Times New Roman" w:hAnsi="Times New Roman"/>
          <w:sz w:val="24"/>
        </w:rPr>
        <w:t>A multistage sampling procedure was employed. Purposive sampling was first used to select public universities with established postgraduate schools and functional library systems. Thereafter, proportionate stratified sampling technique was used to allocate respondents across faculties and postgraduate levels, while simple random sampling technique was employed to select individual respondents.</w:t>
      </w:r>
    </w:p>
    <w:p w14:paraId="C66D51AA">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Data were collected using a self-designed instrument titled </w:t>
      </w:r>
      <w:r>
        <w:rPr>
          <w:rFonts w:ascii="Times New Roman" w:cs="Times New Roman" w:hAnsi="Times New Roman"/>
          <w:b/>
          <w:bCs/>
          <w:sz w:val="24"/>
        </w:rPr>
        <w:t>Library Service Environment, Personnel Competence and Postgraduates' Continuous Intention to Use Library Resources Questionnaire (LSEPCPCIULRQ)</w:t>
      </w:r>
      <w:r>
        <w:rPr>
          <w:rFonts w:ascii="Times New Roman" w:cs="Times New Roman" w:hAnsi="Times New Roman"/>
          <w:sz w:val="24"/>
        </w:rPr>
        <w:t>. The instrument consisted of four sections that measured demographic information, library service environment, personnel competence, and continuous intention to use library resources on a four-point Likert rating scale. Face and content validity of the instrument were established through expert evaluation by specialists in Library and Information Science and Measurement and Evaluation. A pilot study was conducted among 40 postgraduate students from a public university outside the study area. The reliability of the instrument was determined using Cronbach's Alpha technique, which yielded an overall reliability coefficient of 0.79, indicating acceptable internal consistency.</w:t>
      </w:r>
    </w:p>
    <w:p w14:paraId="0224E9D6">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Copies of the questionnaire were administered personally and with the assistance of trained research assistants, and the completed instruments were retrieved immediately where possible and subsequently from respondents who required additional time. Data collected were analysed using descriptive statistics of frequency counts, percentages, mean, and standard deviation to answer the </w:t>
      </w:r>
      <w:r>
        <w:rPr>
          <w:rFonts w:ascii="Times New Roman" w:cs="Times New Roman" w:hAnsi="Times New Roman"/>
          <w:sz w:val="24"/>
        </w:rPr>
        <w:t>research questions, while simple linear regression and multiple regression analyses were employed to test the three null hypotheses at the 0.05 level of significance.</w:t>
      </w:r>
    </w:p>
    <w:p w14:paraId="BF19B3F2">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Results and Findings</w:t>
      </w:r>
    </w:p>
    <w:p w14:paraId="AADC765A">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Demographic Characteristics of Respondents</w:t>
      </w:r>
    </w:p>
    <w:p w14:paraId="EE781362">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Table 1: Demographic Distribution of Participants (N = 420)</w:t>
      </w:r>
    </w:p>
    <w:tbl>
      <w:tblPr>
        <w:tblW w:w="5000"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577"/>
        <w:gridCol w:w="2250"/>
        <w:gridCol w:w="2018"/>
        <w:gridCol w:w="2302"/>
      </w:tblGrid>
      <w:tr w14:paraId="88DFC17D">
        <w:trPr>
          <w:tblHeader/>
          <w:tblCellSpacing w:w="15" w:type="dxa"/>
        </w:trPr>
        <w:tc>
          <w:tcPr>
            <w:tcW w:w="1377" w:type="pct"/>
            <w:tcBorders>
              <w:top w:val="single" w:sz="4" w:space="0" w:color="auto"/>
              <w:bottom w:val="single" w:sz="4" w:space="0" w:color="auto"/>
            </w:tcBorders>
            <w:vAlign w:val="center"/>
            <w:hideMark/>
          </w:tcPr>
          <w:p w14:paraId="79BF5EA7">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Variable</w:t>
            </w:r>
          </w:p>
        </w:tc>
        <w:tc>
          <w:tcPr>
            <w:tcW w:w="1202" w:type="pct"/>
            <w:tcBorders>
              <w:top w:val="single" w:sz="4" w:space="0" w:color="auto"/>
              <w:bottom w:val="single" w:sz="4" w:space="0" w:color="auto"/>
            </w:tcBorders>
            <w:vAlign w:val="center"/>
            <w:hideMark/>
          </w:tcPr>
          <w:p w14:paraId="06F5EDBA">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Category</w:t>
            </w:r>
          </w:p>
        </w:tc>
        <w:tc>
          <w:tcPr>
            <w:tcW w:w="1078" w:type="pct"/>
            <w:tcBorders>
              <w:top w:val="single" w:sz="4" w:space="0" w:color="auto"/>
              <w:bottom w:val="single" w:sz="4" w:space="0" w:color="auto"/>
            </w:tcBorders>
            <w:vAlign w:val="center"/>
            <w:hideMark/>
          </w:tcPr>
          <w:p w14:paraId="D21C248D">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Frequency (f)</w:t>
            </w:r>
          </w:p>
        </w:tc>
        <w:tc>
          <w:tcPr>
            <w:tcW w:w="1230" w:type="pct"/>
            <w:tcBorders>
              <w:top w:val="single" w:sz="4" w:space="0" w:color="auto"/>
              <w:bottom w:val="single" w:sz="4" w:space="0" w:color="auto"/>
            </w:tcBorders>
            <w:vAlign w:val="center"/>
            <w:hideMark/>
          </w:tcPr>
          <w:p w14:paraId="49767B46">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Percentage (%)</w:t>
            </w:r>
          </w:p>
        </w:tc>
      </w:tr>
      <w:tr w14:paraId="44DCB49B">
        <w:tblPrEx/>
        <w:trPr>
          <w:tblCellSpacing w:w="15" w:type="dxa"/>
        </w:trPr>
        <w:tc>
          <w:tcPr>
            <w:tcW w:w="1377" w:type="pct"/>
            <w:tcBorders/>
            <w:vAlign w:val="center"/>
            <w:hideMark/>
          </w:tcPr>
          <w:p w14:paraId="179148F8">
            <w:pPr>
              <w:pStyle w:val="style0"/>
              <w:spacing w:after="0" w:lineRule="auto" w:line="360"/>
              <w:jc w:val="both"/>
              <w:rPr>
                <w:rFonts w:ascii="Times New Roman" w:cs="Times New Roman" w:hAnsi="Times New Roman"/>
                <w:sz w:val="24"/>
              </w:rPr>
            </w:pPr>
            <w:r>
              <w:rPr>
                <w:rFonts w:ascii="Times New Roman" w:cs="Times New Roman" w:hAnsi="Times New Roman"/>
                <w:sz w:val="24"/>
              </w:rPr>
              <w:t>Gender</w:t>
            </w:r>
          </w:p>
        </w:tc>
        <w:tc>
          <w:tcPr>
            <w:tcW w:w="1202" w:type="pct"/>
            <w:tcBorders/>
            <w:vAlign w:val="center"/>
            <w:hideMark/>
          </w:tcPr>
          <w:p w14:paraId="7EB861EB">
            <w:pPr>
              <w:pStyle w:val="style0"/>
              <w:spacing w:after="0" w:lineRule="auto" w:line="360"/>
              <w:jc w:val="both"/>
              <w:rPr>
                <w:rFonts w:ascii="Times New Roman" w:cs="Times New Roman" w:hAnsi="Times New Roman"/>
                <w:sz w:val="24"/>
              </w:rPr>
            </w:pPr>
            <w:r>
              <w:rPr>
                <w:rFonts w:ascii="Times New Roman" w:cs="Times New Roman" w:hAnsi="Times New Roman"/>
                <w:sz w:val="24"/>
              </w:rPr>
              <w:t>Male</w:t>
            </w:r>
          </w:p>
        </w:tc>
        <w:tc>
          <w:tcPr>
            <w:tcW w:w="1078" w:type="pct"/>
            <w:tcBorders/>
            <w:vAlign w:val="center"/>
            <w:hideMark/>
          </w:tcPr>
          <w:p w14:paraId="0B5346FB">
            <w:pPr>
              <w:pStyle w:val="style0"/>
              <w:spacing w:after="0" w:lineRule="auto" w:line="360"/>
              <w:jc w:val="both"/>
              <w:rPr>
                <w:rFonts w:ascii="Times New Roman" w:cs="Times New Roman" w:hAnsi="Times New Roman"/>
                <w:sz w:val="24"/>
              </w:rPr>
            </w:pPr>
            <w:r>
              <w:rPr>
                <w:rFonts w:ascii="Times New Roman" w:cs="Times New Roman" w:hAnsi="Times New Roman"/>
                <w:sz w:val="24"/>
              </w:rPr>
              <w:t>224</w:t>
            </w:r>
          </w:p>
        </w:tc>
        <w:tc>
          <w:tcPr>
            <w:tcW w:w="1230" w:type="pct"/>
            <w:tcBorders/>
            <w:vAlign w:val="center"/>
            <w:hideMark/>
          </w:tcPr>
          <w:p w14:paraId="24708303">
            <w:pPr>
              <w:pStyle w:val="style0"/>
              <w:spacing w:after="0" w:lineRule="auto" w:line="360"/>
              <w:jc w:val="both"/>
              <w:rPr>
                <w:rFonts w:ascii="Times New Roman" w:cs="Times New Roman" w:hAnsi="Times New Roman"/>
                <w:sz w:val="24"/>
              </w:rPr>
            </w:pPr>
            <w:r>
              <w:rPr>
                <w:rFonts w:ascii="Times New Roman" w:cs="Times New Roman" w:hAnsi="Times New Roman"/>
                <w:sz w:val="24"/>
              </w:rPr>
              <w:t>53.3</w:t>
            </w:r>
          </w:p>
        </w:tc>
      </w:tr>
      <w:tr w14:paraId="C92F7CDF">
        <w:tblPrEx/>
        <w:trPr>
          <w:tblCellSpacing w:w="15" w:type="dxa"/>
        </w:trPr>
        <w:tc>
          <w:tcPr>
            <w:tcW w:w="1377" w:type="pct"/>
            <w:tcBorders/>
            <w:vAlign w:val="center"/>
            <w:hideMark/>
          </w:tcPr>
          <w:p w14:paraId="981983E1">
            <w:pPr>
              <w:pStyle w:val="style0"/>
              <w:spacing w:after="0" w:lineRule="auto" w:line="360"/>
              <w:jc w:val="both"/>
              <w:rPr>
                <w:rFonts w:ascii="Times New Roman" w:cs="Times New Roman" w:hAnsi="Times New Roman"/>
                <w:sz w:val="24"/>
              </w:rPr>
            </w:pPr>
          </w:p>
        </w:tc>
        <w:tc>
          <w:tcPr>
            <w:tcW w:w="1202" w:type="pct"/>
            <w:tcBorders/>
            <w:vAlign w:val="center"/>
            <w:hideMark/>
          </w:tcPr>
          <w:p w14:paraId="60626C4D">
            <w:pPr>
              <w:pStyle w:val="style0"/>
              <w:spacing w:after="0" w:lineRule="auto" w:line="360"/>
              <w:jc w:val="both"/>
              <w:rPr>
                <w:rFonts w:ascii="Times New Roman" w:cs="Times New Roman" w:hAnsi="Times New Roman"/>
                <w:sz w:val="24"/>
              </w:rPr>
            </w:pPr>
            <w:r>
              <w:rPr>
                <w:rFonts w:ascii="Times New Roman" w:cs="Times New Roman" w:hAnsi="Times New Roman"/>
                <w:sz w:val="24"/>
              </w:rPr>
              <w:t>Female</w:t>
            </w:r>
          </w:p>
        </w:tc>
        <w:tc>
          <w:tcPr>
            <w:tcW w:w="1078" w:type="pct"/>
            <w:tcBorders/>
            <w:vAlign w:val="center"/>
            <w:hideMark/>
          </w:tcPr>
          <w:p w14:paraId="E015953B">
            <w:pPr>
              <w:pStyle w:val="style0"/>
              <w:spacing w:after="0" w:lineRule="auto" w:line="360"/>
              <w:jc w:val="both"/>
              <w:rPr>
                <w:rFonts w:ascii="Times New Roman" w:cs="Times New Roman" w:hAnsi="Times New Roman"/>
                <w:sz w:val="24"/>
              </w:rPr>
            </w:pPr>
            <w:r>
              <w:rPr>
                <w:rFonts w:ascii="Times New Roman" w:cs="Times New Roman" w:hAnsi="Times New Roman"/>
                <w:sz w:val="24"/>
              </w:rPr>
              <w:t>196</w:t>
            </w:r>
          </w:p>
        </w:tc>
        <w:tc>
          <w:tcPr>
            <w:tcW w:w="1230" w:type="pct"/>
            <w:tcBorders/>
            <w:vAlign w:val="center"/>
            <w:hideMark/>
          </w:tcPr>
          <w:p w14:paraId="0ED1D4C4">
            <w:pPr>
              <w:pStyle w:val="style0"/>
              <w:spacing w:after="0" w:lineRule="auto" w:line="360"/>
              <w:jc w:val="both"/>
              <w:rPr>
                <w:rFonts w:ascii="Times New Roman" w:cs="Times New Roman" w:hAnsi="Times New Roman"/>
                <w:sz w:val="24"/>
              </w:rPr>
            </w:pPr>
            <w:r>
              <w:rPr>
                <w:rFonts w:ascii="Times New Roman" w:cs="Times New Roman" w:hAnsi="Times New Roman"/>
                <w:sz w:val="24"/>
              </w:rPr>
              <w:t>46.7</w:t>
            </w:r>
          </w:p>
        </w:tc>
      </w:tr>
      <w:tr w14:paraId="6FD05FC3">
        <w:tblPrEx/>
        <w:trPr>
          <w:tblCellSpacing w:w="15" w:type="dxa"/>
        </w:trPr>
        <w:tc>
          <w:tcPr>
            <w:tcW w:w="1377" w:type="pct"/>
            <w:tcBorders/>
            <w:vAlign w:val="center"/>
            <w:hideMark/>
          </w:tcPr>
          <w:p w14:paraId="5B846AC7">
            <w:pPr>
              <w:pStyle w:val="style0"/>
              <w:spacing w:after="0" w:lineRule="auto" w:line="360"/>
              <w:jc w:val="both"/>
              <w:rPr>
                <w:rFonts w:ascii="Times New Roman" w:cs="Times New Roman" w:hAnsi="Times New Roman"/>
                <w:sz w:val="24"/>
              </w:rPr>
            </w:pPr>
            <w:r>
              <w:rPr>
                <w:rFonts w:ascii="Times New Roman" w:cs="Times New Roman" w:hAnsi="Times New Roman"/>
                <w:sz w:val="24"/>
              </w:rPr>
              <w:t>Age</w:t>
            </w:r>
          </w:p>
        </w:tc>
        <w:tc>
          <w:tcPr>
            <w:tcW w:w="1202" w:type="pct"/>
            <w:tcBorders/>
            <w:vAlign w:val="center"/>
            <w:hideMark/>
          </w:tcPr>
          <w:p w14:paraId="D9FEFD60">
            <w:pPr>
              <w:pStyle w:val="style0"/>
              <w:spacing w:after="0" w:lineRule="auto" w:line="360"/>
              <w:jc w:val="both"/>
              <w:rPr>
                <w:rFonts w:ascii="Times New Roman" w:cs="Times New Roman" w:hAnsi="Times New Roman"/>
                <w:sz w:val="24"/>
              </w:rPr>
            </w:pPr>
            <w:r>
              <w:rPr>
                <w:rFonts w:ascii="Times New Roman" w:cs="Times New Roman" w:hAnsi="Times New Roman"/>
                <w:sz w:val="24"/>
              </w:rPr>
              <w:t>21–30 years</w:t>
            </w:r>
          </w:p>
        </w:tc>
        <w:tc>
          <w:tcPr>
            <w:tcW w:w="1078" w:type="pct"/>
            <w:tcBorders/>
            <w:vAlign w:val="center"/>
            <w:hideMark/>
          </w:tcPr>
          <w:p w14:paraId="C966D974">
            <w:pPr>
              <w:pStyle w:val="style0"/>
              <w:spacing w:after="0" w:lineRule="auto" w:line="360"/>
              <w:jc w:val="both"/>
              <w:rPr>
                <w:rFonts w:ascii="Times New Roman" w:cs="Times New Roman" w:hAnsi="Times New Roman"/>
                <w:sz w:val="24"/>
              </w:rPr>
            </w:pPr>
            <w:r>
              <w:rPr>
                <w:rFonts w:ascii="Times New Roman" w:cs="Times New Roman" w:hAnsi="Times New Roman"/>
                <w:sz w:val="24"/>
              </w:rPr>
              <w:t>121</w:t>
            </w:r>
          </w:p>
        </w:tc>
        <w:tc>
          <w:tcPr>
            <w:tcW w:w="1230" w:type="pct"/>
            <w:tcBorders/>
            <w:vAlign w:val="center"/>
            <w:hideMark/>
          </w:tcPr>
          <w:p w14:paraId="D6F27D25">
            <w:pPr>
              <w:pStyle w:val="style0"/>
              <w:spacing w:after="0" w:lineRule="auto" w:line="360"/>
              <w:jc w:val="both"/>
              <w:rPr>
                <w:rFonts w:ascii="Times New Roman" w:cs="Times New Roman" w:hAnsi="Times New Roman"/>
                <w:sz w:val="24"/>
              </w:rPr>
            </w:pPr>
            <w:r>
              <w:rPr>
                <w:rFonts w:ascii="Times New Roman" w:cs="Times New Roman" w:hAnsi="Times New Roman"/>
                <w:sz w:val="24"/>
              </w:rPr>
              <w:t>28.8</w:t>
            </w:r>
          </w:p>
        </w:tc>
      </w:tr>
      <w:tr w14:paraId="A807F4B6">
        <w:tblPrEx/>
        <w:trPr>
          <w:tblCellSpacing w:w="15" w:type="dxa"/>
        </w:trPr>
        <w:tc>
          <w:tcPr>
            <w:tcW w:w="1377" w:type="pct"/>
            <w:tcBorders/>
            <w:vAlign w:val="center"/>
            <w:hideMark/>
          </w:tcPr>
          <w:p w14:paraId="DFAE5E9A">
            <w:pPr>
              <w:pStyle w:val="style0"/>
              <w:spacing w:after="0" w:lineRule="auto" w:line="360"/>
              <w:jc w:val="both"/>
              <w:rPr>
                <w:rFonts w:ascii="Times New Roman" w:cs="Times New Roman" w:hAnsi="Times New Roman"/>
                <w:sz w:val="24"/>
              </w:rPr>
            </w:pPr>
          </w:p>
        </w:tc>
        <w:tc>
          <w:tcPr>
            <w:tcW w:w="1202" w:type="pct"/>
            <w:tcBorders/>
            <w:vAlign w:val="center"/>
            <w:hideMark/>
          </w:tcPr>
          <w:p w14:paraId="0E749641">
            <w:pPr>
              <w:pStyle w:val="style0"/>
              <w:spacing w:after="0" w:lineRule="auto" w:line="360"/>
              <w:jc w:val="both"/>
              <w:rPr>
                <w:rFonts w:ascii="Times New Roman" w:cs="Times New Roman" w:hAnsi="Times New Roman"/>
                <w:sz w:val="24"/>
              </w:rPr>
            </w:pPr>
            <w:r>
              <w:rPr>
                <w:rFonts w:ascii="Times New Roman" w:cs="Times New Roman" w:hAnsi="Times New Roman"/>
                <w:sz w:val="24"/>
              </w:rPr>
              <w:t>31–40 years</w:t>
            </w:r>
          </w:p>
        </w:tc>
        <w:tc>
          <w:tcPr>
            <w:tcW w:w="1078" w:type="pct"/>
            <w:tcBorders/>
            <w:vAlign w:val="center"/>
            <w:hideMark/>
          </w:tcPr>
          <w:p w14:paraId="05CB8471">
            <w:pPr>
              <w:pStyle w:val="style0"/>
              <w:spacing w:after="0" w:lineRule="auto" w:line="360"/>
              <w:jc w:val="both"/>
              <w:rPr>
                <w:rFonts w:ascii="Times New Roman" w:cs="Times New Roman" w:hAnsi="Times New Roman"/>
                <w:sz w:val="24"/>
              </w:rPr>
            </w:pPr>
            <w:r>
              <w:rPr>
                <w:rFonts w:ascii="Times New Roman" w:cs="Times New Roman" w:hAnsi="Times New Roman"/>
                <w:sz w:val="24"/>
              </w:rPr>
              <w:t>178</w:t>
            </w:r>
          </w:p>
        </w:tc>
        <w:tc>
          <w:tcPr>
            <w:tcW w:w="1230" w:type="pct"/>
            <w:tcBorders/>
            <w:vAlign w:val="center"/>
            <w:hideMark/>
          </w:tcPr>
          <w:p w14:paraId="35DEB2A9">
            <w:pPr>
              <w:pStyle w:val="style0"/>
              <w:spacing w:after="0" w:lineRule="auto" w:line="360"/>
              <w:jc w:val="both"/>
              <w:rPr>
                <w:rFonts w:ascii="Times New Roman" w:cs="Times New Roman" w:hAnsi="Times New Roman"/>
                <w:sz w:val="24"/>
              </w:rPr>
            </w:pPr>
            <w:r>
              <w:rPr>
                <w:rFonts w:ascii="Times New Roman" w:cs="Times New Roman" w:hAnsi="Times New Roman"/>
                <w:sz w:val="24"/>
              </w:rPr>
              <w:t>42.4</w:t>
            </w:r>
          </w:p>
        </w:tc>
      </w:tr>
      <w:tr w14:paraId="C1851324">
        <w:tblPrEx/>
        <w:trPr>
          <w:tblCellSpacing w:w="15" w:type="dxa"/>
        </w:trPr>
        <w:tc>
          <w:tcPr>
            <w:tcW w:w="1377" w:type="pct"/>
            <w:tcBorders/>
            <w:vAlign w:val="center"/>
            <w:hideMark/>
          </w:tcPr>
          <w:p w14:paraId="B5738D06">
            <w:pPr>
              <w:pStyle w:val="style0"/>
              <w:spacing w:after="0" w:lineRule="auto" w:line="360"/>
              <w:jc w:val="both"/>
              <w:rPr>
                <w:rFonts w:ascii="Times New Roman" w:cs="Times New Roman" w:hAnsi="Times New Roman"/>
                <w:sz w:val="24"/>
              </w:rPr>
            </w:pPr>
          </w:p>
        </w:tc>
        <w:tc>
          <w:tcPr>
            <w:tcW w:w="1202" w:type="pct"/>
            <w:tcBorders/>
            <w:vAlign w:val="center"/>
            <w:hideMark/>
          </w:tcPr>
          <w:p w14:paraId="691A1CDB">
            <w:pPr>
              <w:pStyle w:val="style0"/>
              <w:spacing w:after="0" w:lineRule="auto" w:line="360"/>
              <w:jc w:val="both"/>
              <w:rPr>
                <w:rFonts w:ascii="Times New Roman" w:cs="Times New Roman" w:hAnsi="Times New Roman"/>
                <w:sz w:val="24"/>
              </w:rPr>
            </w:pPr>
            <w:r>
              <w:rPr>
                <w:rFonts w:ascii="Times New Roman" w:cs="Times New Roman" w:hAnsi="Times New Roman"/>
                <w:sz w:val="24"/>
              </w:rPr>
              <w:t>Above 40 years</w:t>
            </w:r>
          </w:p>
        </w:tc>
        <w:tc>
          <w:tcPr>
            <w:tcW w:w="1078" w:type="pct"/>
            <w:tcBorders/>
            <w:vAlign w:val="center"/>
            <w:hideMark/>
          </w:tcPr>
          <w:p w14:paraId="DC459210">
            <w:pPr>
              <w:pStyle w:val="style0"/>
              <w:spacing w:after="0" w:lineRule="auto" w:line="360"/>
              <w:jc w:val="both"/>
              <w:rPr>
                <w:rFonts w:ascii="Times New Roman" w:cs="Times New Roman" w:hAnsi="Times New Roman"/>
                <w:sz w:val="24"/>
              </w:rPr>
            </w:pPr>
            <w:r>
              <w:rPr>
                <w:rFonts w:ascii="Times New Roman" w:cs="Times New Roman" w:hAnsi="Times New Roman"/>
                <w:sz w:val="24"/>
              </w:rPr>
              <w:t>121</w:t>
            </w:r>
          </w:p>
        </w:tc>
        <w:tc>
          <w:tcPr>
            <w:tcW w:w="1230" w:type="pct"/>
            <w:tcBorders/>
            <w:vAlign w:val="center"/>
            <w:hideMark/>
          </w:tcPr>
          <w:p w14:paraId="B97C06CE">
            <w:pPr>
              <w:pStyle w:val="style0"/>
              <w:spacing w:after="0" w:lineRule="auto" w:line="360"/>
              <w:jc w:val="both"/>
              <w:rPr>
                <w:rFonts w:ascii="Times New Roman" w:cs="Times New Roman" w:hAnsi="Times New Roman"/>
                <w:sz w:val="24"/>
              </w:rPr>
            </w:pPr>
            <w:r>
              <w:rPr>
                <w:rFonts w:ascii="Times New Roman" w:cs="Times New Roman" w:hAnsi="Times New Roman"/>
                <w:sz w:val="24"/>
              </w:rPr>
              <w:t>28.8</w:t>
            </w:r>
          </w:p>
        </w:tc>
      </w:tr>
      <w:tr w14:paraId="6A0403DB">
        <w:tblPrEx/>
        <w:trPr>
          <w:tblCellSpacing w:w="15" w:type="dxa"/>
        </w:trPr>
        <w:tc>
          <w:tcPr>
            <w:tcW w:w="1377" w:type="pct"/>
            <w:tcBorders/>
            <w:vAlign w:val="center"/>
            <w:hideMark/>
          </w:tcPr>
          <w:p w14:paraId="CF57503E">
            <w:pPr>
              <w:pStyle w:val="style0"/>
              <w:spacing w:after="0" w:lineRule="auto" w:line="360"/>
              <w:jc w:val="both"/>
              <w:rPr>
                <w:rFonts w:ascii="Times New Roman" w:cs="Times New Roman" w:hAnsi="Times New Roman"/>
                <w:sz w:val="24"/>
              </w:rPr>
            </w:pPr>
            <w:r>
              <w:rPr>
                <w:rFonts w:ascii="Times New Roman" w:cs="Times New Roman" w:hAnsi="Times New Roman"/>
                <w:sz w:val="24"/>
              </w:rPr>
              <w:t>Level of Study</w:t>
            </w:r>
          </w:p>
        </w:tc>
        <w:tc>
          <w:tcPr>
            <w:tcW w:w="1202" w:type="pct"/>
            <w:tcBorders/>
            <w:vAlign w:val="center"/>
            <w:hideMark/>
          </w:tcPr>
          <w:p w14:paraId="DB76E134">
            <w:pPr>
              <w:pStyle w:val="style0"/>
              <w:spacing w:after="0" w:lineRule="auto" w:line="360"/>
              <w:jc w:val="both"/>
              <w:rPr>
                <w:rFonts w:ascii="Times New Roman" w:cs="Times New Roman" w:hAnsi="Times New Roman"/>
                <w:sz w:val="24"/>
              </w:rPr>
            </w:pPr>
            <w:r>
              <w:rPr>
                <w:rFonts w:ascii="Times New Roman" w:cs="Times New Roman" w:hAnsi="Times New Roman"/>
                <w:sz w:val="24"/>
              </w:rPr>
              <w:t>Master's Degree</w:t>
            </w:r>
          </w:p>
        </w:tc>
        <w:tc>
          <w:tcPr>
            <w:tcW w:w="1078" w:type="pct"/>
            <w:tcBorders/>
            <w:vAlign w:val="center"/>
            <w:hideMark/>
          </w:tcPr>
          <w:p w14:paraId="20AC7A53">
            <w:pPr>
              <w:pStyle w:val="style0"/>
              <w:spacing w:after="0" w:lineRule="auto" w:line="360"/>
              <w:jc w:val="both"/>
              <w:rPr>
                <w:rFonts w:ascii="Times New Roman" w:cs="Times New Roman" w:hAnsi="Times New Roman"/>
                <w:sz w:val="24"/>
              </w:rPr>
            </w:pPr>
            <w:r>
              <w:rPr>
                <w:rFonts w:ascii="Times New Roman" w:cs="Times New Roman" w:hAnsi="Times New Roman"/>
                <w:sz w:val="24"/>
              </w:rPr>
              <w:t>281</w:t>
            </w:r>
          </w:p>
        </w:tc>
        <w:tc>
          <w:tcPr>
            <w:tcW w:w="1230" w:type="pct"/>
            <w:tcBorders/>
            <w:vAlign w:val="center"/>
            <w:hideMark/>
          </w:tcPr>
          <w:p w14:paraId="57362AB2">
            <w:pPr>
              <w:pStyle w:val="style0"/>
              <w:spacing w:after="0" w:lineRule="auto" w:line="360"/>
              <w:jc w:val="both"/>
              <w:rPr>
                <w:rFonts w:ascii="Times New Roman" w:cs="Times New Roman" w:hAnsi="Times New Roman"/>
                <w:sz w:val="24"/>
              </w:rPr>
            </w:pPr>
            <w:r>
              <w:rPr>
                <w:rFonts w:ascii="Times New Roman" w:cs="Times New Roman" w:hAnsi="Times New Roman"/>
                <w:sz w:val="24"/>
              </w:rPr>
              <w:t>66.9</w:t>
            </w:r>
          </w:p>
        </w:tc>
      </w:tr>
      <w:tr w14:paraId="00A35B36">
        <w:tblPrEx/>
        <w:trPr>
          <w:tblCellSpacing w:w="15" w:type="dxa"/>
        </w:trPr>
        <w:tc>
          <w:tcPr>
            <w:tcW w:w="1377" w:type="pct"/>
            <w:tcBorders/>
            <w:vAlign w:val="center"/>
            <w:hideMark/>
          </w:tcPr>
          <w:p w14:paraId="879CA5CF">
            <w:pPr>
              <w:pStyle w:val="style0"/>
              <w:spacing w:after="0" w:lineRule="auto" w:line="360"/>
              <w:jc w:val="both"/>
              <w:rPr>
                <w:rFonts w:ascii="Times New Roman" w:cs="Times New Roman" w:hAnsi="Times New Roman"/>
                <w:sz w:val="24"/>
              </w:rPr>
            </w:pPr>
          </w:p>
        </w:tc>
        <w:tc>
          <w:tcPr>
            <w:tcW w:w="1202" w:type="pct"/>
            <w:tcBorders/>
            <w:vAlign w:val="center"/>
            <w:hideMark/>
          </w:tcPr>
          <w:p w14:paraId="FF4619C7">
            <w:pPr>
              <w:pStyle w:val="style0"/>
              <w:spacing w:after="0" w:lineRule="auto" w:line="360"/>
              <w:jc w:val="both"/>
              <w:rPr>
                <w:rFonts w:ascii="Times New Roman" w:cs="Times New Roman" w:hAnsi="Times New Roman"/>
                <w:sz w:val="24"/>
              </w:rPr>
            </w:pPr>
            <w:r>
              <w:rPr>
                <w:rFonts w:ascii="Times New Roman" w:cs="Times New Roman" w:hAnsi="Times New Roman"/>
                <w:sz w:val="24"/>
              </w:rPr>
              <w:t>Ph.D. Degree</w:t>
            </w:r>
          </w:p>
        </w:tc>
        <w:tc>
          <w:tcPr>
            <w:tcW w:w="1078" w:type="pct"/>
            <w:tcBorders/>
            <w:vAlign w:val="center"/>
            <w:hideMark/>
          </w:tcPr>
          <w:p w14:paraId="B0EA9A08">
            <w:pPr>
              <w:pStyle w:val="style0"/>
              <w:spacing w:after="0" w:lineRule="auto" w:line="360"/>
              <w:jc w:val="both"/>
              <w:rPr>
                <w:rFonts w:ascii="Times New Roman" w:cs="Times New Roman" w:hAnsi="Times New Roman"/>
                <w:sz w:val="24"/>
              </w:rPr>
            </w:pPr>
            <w:r>
              <w:rPr>
                <w:rFonts w:ascii="Times New Roman" w:cs="Times New Roman" w:hAnsi="Times New Roman"/>
                <w:sz w:val="24"/>
              </w:rPr>
              <w:t>139</w:t>
            </w:r>
          </w:p>
        </w:tc>
        <w:tc>
          <w:tcPr>
            <w:tcW w:w="1230" w:type="pct"/>
            <w:tcBorders/>
            <w:vAlign w:val="center"/>
            <w:hideMark/>
          </w:tcPr>
          <w:p w14:paraId="31C4642F">
            <w:pPr>
              <w:pStyle w:val="style0"/>
              <w:spacing w:after="0" w:lineRule="auto" w:line="360"/>
              <w:jc w:val="both"/>
              <w:rPr>
                <w:rFonts w:ascii="Times New Roman" w:cs="Times New Roman" w:hAnsi="Times New Roman"/>
                <w:sz w:val="24"/>
              </w:rPr>
            </w:pPr>
            <w:r>
              <w:rPr>
                <w:rFonts w:ascii="Times New Roman" w:cs="Times New Roman" w:hAnsi="Times New Roman"/>
                <w:sz w:val="24"/>
              </w:rPr>
              <w:t>33.1</w:t>
            </w:r>
          </w:p>
        </w:tc>
      </w:tr>
      <w:tr w14:paraId="DE58E5AA">
        <w:tblPrEx/>
        <w:trPr>
          <w:tblCellSpacing w:w="15" w:type="dxa"/>
        </w:trPr>
        <w:tc>
          <w:tcPr>
            <w:tcW w:w="1377" w:type="pct"/>
            <w:tcBorders/>
            <w:vAlign w:val="center"/>
            <w:hideMark/>
          </w:tcPr>
          <w:p w14:paraId="AD278F59">
            <w:pPr>
              <w:pStyle w:val="style0"/>
              <w:spacing w:after="0" w:lineRule="auto" w:line="360"/>
              <w:jc w:val="both"/>
              <w:rPr>
                <w:rFonts w:ascii="Times New Roman" w:cs="Times New Roman" w:hAnsi="Times New Roman"/>
                <w:sz w:val="24"/>
              </w:rPr>
            </w:pPr>
            <w:r>
              <w:rPr>
                <w:rFonts w:ascii="Times New Roman" w:cs="Times New Roman" w:hAnsi="Times New Roman"/>
                <w:sz w:val="24"/>
              </w:rPr>
              <w:t>State of Institution</w:t>
            </w:r>
          </w:p>
        </w:tc>
        <w:tc>
          <w:tcPr>
            <w:tcW w:w="1202" w:type="pct"/>
            <w:tcBorders/>
            <w:vAlign w:val="center"/>
            <w:hideMark/>
          </w:tcPr>
          <w:p w14:paraId="583DC0EF">
            <w:pPr>
              <w:pStyle w:val="style0"/>
              <w:spacing w:after="0" w:lineRule="auto" w:line="360"/>
              <w:jc w:val="both"/>
              <w:rPr>
                <w:rFonts w:ascii="Times New Roman" w:cs="Times New Roman" w:hAnsi="Times New Roman"/>
                <w:sz w:val="24"/>
              </w:rPr>
            </w:pPr>
            <w:r>
              <w:rPr>
                <w:rFonts w:ascii="Times New Roman" w:cs="Times New Roman" w:hAnsi="Times New Roman"/>
                <w:sz w:val="24"/>
              </w:rPr>
              <w:t>Lagos State</w:t>
            </w:r>
          </w:p>
        </w:tc>
        <w:tc>
          <w:tcPr>
            <w:tcW w:w="1078" w:type="pct"/>
            <w:tcBorders/>
            <w:vAlign w:val="center"/>
            <w:hideMark/>
          </w:tcPr>
          <w:p w14:paraId="B03D8910">
            <w:pPr>
              <w:pStyle w:val="style0"/>
              <w:spacing w:after="0" w:lineRule="auto" w:line="360"/>
              <w:jc w:val="both"/>
              <w:rPr>
                <w:rFonts w:ascii="Times New Roman" w:cs="Times New Roman" w:hAnsi="Times New Roman"/>
                <w:sz w:val="24"/>
              </w:rPr>
            </w:pPr>
            <w:r>
              <w:rPr>
                <w:rFonts w:ascii="Times New Roman" w:cs="Times New Roman" w:hAnsi="Times New Roman"/>
                <w:sz w:val="24"/>
              </w:rPr>
              <w:t>238</w:t>
            </w:r>
          </w:p>
        </w:tc>
        <w:tc>
          <w:tcPr>
            <w:tcW w:w="1230" w:type="pct"/>
            <w:tcBorders/>
            <w:vAlign w:val="center"/>
            <w:hideMark/>
          </w:tcPr>
          <w:p w14:paraId="CD078B3D">
            <w:pPr>
              <w:pStyle w:val="style0"/>
              <w:spacing w:after="0" w:lineRule="auto" w:line="360"/>
              <w:jc w:val="both"/>
              <w:rPr>
                <w:rFonts w:ascii="Times New Roman" w:cs="Times New Roman" w:hAnsi="Times New Roman"/>
                <w:sz w:val="24"/>
              </w:rPr>
            </w:pPr>
            <w:r>
              <w:rPr>
                <w:rFonts w:ascii="Times New Roman" w:cs="Times New Roman" w:hAnsi="Times New Roman"/>
                <w:sz w:val="24"/>
              </w:rPr>
              <w:t>56.7</w:t>
            </w:r>
          </w:p>
        </w:tc>
      </w:tr>
      <w:tr w14:paraId="6ECA7B3B">
        <w:tblPrEx/>
        <w:trPr>
          <w:tblCellSpacing w:w="15" w:type="dxa"/>
        </w:trPr>
        <w:tc>
          <w:tcPr>
            <w:tcW w:w="1377" w:type="pct"/>
            <w:tcBorders/>
            <w:vAlign w:val="center"/>
            <w:hideMark/>
          </w:tcPr>
          <w:p w14:paraId="9C9B8953">
            <w:pPr>
              <w:pStyle w:val="style0"/>
              <w:spacing w:after="0" w:lineRule="auto" w:line="360"/>
              <w:jc w:val="both"/>
              <w:rPr>
                <w:rFonts w:ascii="Times New Roman" w:cs="Times New Roman" w:hAnsi="Times New Roman"/>
                <w:sz w:val="24"/>
              </w:rPr>
            </w:pPr>
          </w:p>
        </w:tc>
        <w:tc>
          <w:tcPr>
            <w:tcW w:w="1202" w:type="pct"/>
            <w:tcBorders/>
            <w:vAlign w:val="center"/>
            <w:hideMark/>
          </w:tcPr>
          <w:p w14:paraId="506152BC">
            <w:pPr>
              <w:pStyle w:val="style0"/>
              <w:spacing w:after="0" w:lineRule="auto" w:line="360"/>
              <w:jc w:val="both"/>
              <w:rPr>
                <w:rFonts w:ascii="Times New Roman" w:cs="Times New Roman" w:hAnsi="Times New Roman"/>
                <w:sz w:val="24"/>
              </w:rPr>
            </w:pPr>
            <w:r>
              <w:rPr>
                <w:rFonts w:ascii="Times New Roman" w:cs="Times New Roman" w:hAnsi="Times New Roman"/>
                <w:sz w:val="24"/>
              </w:rPr>
              <w:t>Ogun State</w:t>
            </w:r>
          </w:p>
        </w:tc>
        <w:tc>
          <w:tcPr>
            <w:tcW w:w="1078" w:type="pct"/>
            <w:tcBorders/>
            <w:vAlign w:val="center"/>
            <w:hideMark/>
          </w:tcPr>
          <w:p w14:paraId="E3E5A6C8">
            <w:pPr>
              <w:pStyle w:val="style0"/>
              <w:spacing w:after="0" w:lineRule="auto" w:line="360"/>
              <w:jc w:val="both"/>
              <w:rPr>
                <w:rFonts w:ascii="Times New Roman" w:cs="Times New Roman" w:hAnsi="Times New Roman"/>
                <w:sz w:val="24"/>
              </w:rPr>
            </w:pPr>
            <w:r>
              <w:rPr>
                <w:rFonts w:ascii="Times New Roman" w:cs="Times New Roman" w:hAnsi="Times New Roman"/>
                <w:sz w:val="24"/>
              </w:rPr>
              <w:t>182</w:t>
            </w:r>
          </w:p>
        </w:tc>
        <w:tc>
          <w:tcPr>
            <w:tcW w:w="1230" w:type="pct"/>
            <w:tcBorders/>
            <w:vAlign w:val="center"/>
            <w:hideMark/>
          </w:tcPr>
          <w:p w14:paraId="7EC73143">
            <w:pPr>
              <w:pStyle w:val="style0"/>
              <w:spacing w:after="0" w:lineRule="auto" w:line="360"/>
              <w:jc w:val="both"/>
              <w:rPr>
                <w:rFonts w:ascii="Times New Roman" w:cs="Times New Roman" w:hAnsi="Times New Roman"/>
                <w:sz w:val="24"/>
              </w:rPr>
            </w:pPr>
            <w:r>
              <w:rPr>
                <w:rFonts w:ascii="Times New Roman" w:cs="Times New Roman" w:hAnsi="Times New Roman"/>
                <w:sz w:val="24"/>
              </w:rPr>
              <w:t>43.3</w:t>
            </w:r>
          </w:p>
        </w:tc>
      </w:tr>
      <w:tr w14:paraId="DAB329C6">
        <w:tblPrEx/>
        <w:trPr>
          <w:tblCellSpacing w:w="15" w:type="dxa"/>
        </w:trPr>
        <w:tc>
          <w:tcPr>
            <w:tcW w:w="1377" w:type="pct"/>
            <w:tcBorders/>
            <w:vAlign w:val="center"/>
            <w:hideMark/>
          </w:tcPr>
          <w:p w14:paraId="3BEDFAC8">
            <w:pPr>
              <w:pStyle w:val="style0"/>
              <w:spacing w:after="0" w:lineRule="auto" w:line="360"/>
              <w:jc w:val="both"/>
              <w:rPr>
                <w:rFonts w:ascii="Times New Roman" w:cs="Times New Roman" w:hAnsi="Times New Roman"/>
                <w:sz w:val="24"/>
              </w:rPr>
            </w:pPr>
            <w:r>
              <w:rPr>
                <w:rFonts w:ascii="Times New Roman" w:cs="Times New Roman" w:hAnsi="Times New Roman"/>
                <w:sz w:val="24"/>
              </w:rPr>
              <w:t>Mode of Study</w:t>
            </w:r>
          </w:p>
        </w:tc>
        <w:tc>
          <w:tcPr>
            <w:tcW w:w="1202" w:type="pct"/>
            <w:tcBorders/>
            <w:vAlign w:val="center"/>
            <w:hideMark/>
          </w:tcPr>
          <w:p w14:paraId="4E3008D7">
            <w:pPr>
              <w:pStyle w:val="style0"/>
              <w:spacing w:after="0" w:lineRule="auto" w:line="360"/>
              <w:jc w:val="both"/>
              <w:rPr>
                <w:rFonts w:ascii="Times New Roman" w:cs="Times New Roman" w:hAnsi="Times New Roman"/>
                <w:sz w:val="24"/>
              </w:rPr>
            </w:pPr>
            <w:r>
              <w:rPr>
                <w:rFonts w:ascii="Times New Roman" w:cs="Times New Roman" w:hAnsi="Times New Roman"/>
                <w:sz w:val="24"/>
              </w:rPr>
              <w:t>Full-Time</w:t>
            </w:r>
          </w:p>
        </w:tc>
        <w:tc>
          <w:tcPr>
            <w:tcW w:w="1078" w:type="pct"/>
            <w:tcBorders/>
            <w:vAlign w:val="center"/>
            <w:hideMark/>
          </w:tcPr>
          <w:p w14:paraId="6BB78F51">
            <w:pPr>
              <w:pStyle w:val="style0"/>
              <w:spacing w:after="0" w:lineRule="auto" w:line="360"/>
              <w:jc w:val="both"/>
              <w:rPr>
                <w:rFonts w:ascii="Times New Roman" w:cs="Times New Roman" w:hAnsi="Times New Roman"/>
                <w:sz w:val="24"/>
              </w:rPr>
            </w:pPr>
            <w:r>
              <w:rPr>
                <w:rFonts w:ascii="Times New Roman" w:cs="Times New Roman" w:hAnsi="Times New Roman"/>
                <w:sz w:val="24"/>
              </w:rPr>
              <w:t>265</w:t>
            </w:r>
          </w:p>
        </w:tc>
        <w:tc>
          <w:tcPr>
            <w:tcW w:w="1230" w:type="pct"/>
            <w:tcBorders/>
            <w:vAlign w:val="center"/>
            <w:hideMark/>
          </w:tcPr>
          <w:p w14:paraId="0C445405">
            <w:pPr>
              <w:pStyle w:val="style0"/>
              <w:spacing w:after="0" w:lineRule="auto" w:line="360"/>
              <w:jc w:val="both"/>
              <w:rPr>
                <w:rFonts w:ascii="Times New Roman" w:cs="Times New Roman" w:hAnsi="Times New Roman"/>
                <w:sz w:val="24"/>
              </w:rPr>
            </w:pPr>
            <w:r>
              <w:rPr>
                <w:rFonts w:ascii="Times New Roman" w:cs="Times New Roman" w:hAnsi="Times New Roman"/>
                <w:sz w:val="24"/>
              </w:rPr>
              <w:t>63.1</w:t>
            </w:r>
          </w:p>
        </w:tc>
      </w:tr>
      <w:tr w14:paraId="177BD732">
        <w:tblPrEx/>
        <w:trPr>
          <w:tblCellSpacing w:w="15" w:type="dxa"/>
        </w:trPr>
        <w:tc>
          <w:tcPr>
            <w:tcW w:w="1377" w:type="pct"/>
            <w:tcBorders/>
            <w:vAlign w:val="center"/>
            <w:hideMark/>
          </w:tcPr>
          <w:p w14:paraId="C4344BB6">
            <w:pPr>
              <w:pStyle w:val="style0"/>
              <w:spacing w:after="0" w:lineRule="auto" w:line="360"/>
              <w:jc w:val="both"/>
              <w:rPr>
                <w:rFonts w:ascii="Times New Roman" w:cs="Times New Roman" w:hAnsi="Times New Roman"/>
                <w:sz w:val="24"/>
              </w:rPr>
            </w:pPr>
          </w:p>
        </w:tc>
        <w:tc>
          <w:tcPr>
            <w:tcW w:w="1202" w:type="pct"/>
            <w:tcBorders/>
            <w:vAlign w:val="center"/>
            <w:hideMark/>
          </w:tcPr>
          <w:p w14:paraId="73959063">
            <w:pPr>
              <w:pStyle w:val="style0"/>
              <w:spacing w:after="0" w:lineRule="auto" w:line="360"/>
              <w:jc w:val="both"/>
              <w:rPr>
                <w:rFonts w:ascii="Times New Roman" w:cs="Times New Roman" w:hAnsi="Times New Roman"/>
                <w:sz w:val="24"/>
              </w:rPr>
            </w:pPr>
            <w:r>
              <w:rPr>
                <w:rFonts w:ascii="Times New Roman" w:cs="Times New Roman" w:hAnsi="Times New Roman"/>
                <w:sz w:val="24"/>
              </w:rPr>
              <w:t>Part-Time</w:t>
            </w:r>
          </w:p>
        </w:tc>
        <w:tc>
          <w:tcPr>
            <w:tcW w:w="1078" w:type="pct"/>
            <w:tcBorders/>
            <w:vAlign w:val="center"/>
            <w:hideMark/>
          </w:tcPr>
          <w:p w14:paraId="188FBFCA">
            <w:pPr>
              <w:pStyle w:val="style0"/>
              <w:spacing w:after="0" w:lineRule="auto" w:line="360"/>
              <w:jc w:val="both"/>
              <w:rPr>
                <w:rFonts w:ascii="Times New Roman" w:cs="Times New Roman" w:hAnsi="Times New Roman"/>
                <w:sz w:val="24"/>
              </w:rPr>
            </w:pPr>
            <w:r>
              <w:rPr>
                <w:rFonts w:ascii="Times New Roman" w:cs="Times New Roman" w:hAnsi="Times New Roman"/>
                <w:sz w:val="24"/>
              </w:rPr>
              <w:t>155</w:t>
            </w:r>
          </w:p>
        </w:tc>
        <w:tc>
          <w:tcPr>
            <w:tcW w:w="1230" w:type="pct"/>
            <w:tcBorders/>
            <w:vAlign w:val="center"/>
            <w:hideMark/>
          </w:tcPr>
          <w:p w14:paraId="09483DA8">
            <w:pPr>
              <w:pStyle w:val="style0"/>
              <w:spacing w:after="0" w:lineRule="auto" w:line="360"/>
              <w:jc w:val="both"/>
              <w:rPr>
                <w:rFonts w:ascii="Times New Roman" w:cs="Times New Roman" w:hAnsi="Times New Roman"/>
                <w:sz w:val="24"/>
              </w:rPr>
            </w:pPr>
            <w:r>
              <w:rPr>
                <w:rFonts w:ascii="Times New Roman" w:cs="Times New Roman" w:hAnsi="Times New Roman"/>
                <w:sz w:val="24"/>
              </w:rPr>
              <w:t>36.9</w:t>
            </w:r>
          </w:p>
        </w:tc>
      </w:tr>
    </w:tbl>
    <w:p w14:paraId="BCFF7646">
      <w:pPr>
        <w:pStyle w:val="style0"/>
        <w:spacing w:lineRule="auto" w:line="360"/>
        <w:jc w:val="both"/>
        <w:rPr>
          <w:rFonts w:ascii="Times New Roman" w:cs="Times New Roman" w:hAnsi="Times New Roman"/>
          <w:sz w:val="24"/>
        </w:rPr>
      </w:pPr>
      <w:r>
        <w:rPr>
          <w:rFonts w:ascii="Times New Roman" w:cs="Times New Roman" w:hAnsi="Times New Roman"/>
          <w:b/>
          <w:bCs/>
          <w:sz w:val="24"/>
        </w:rPr>
        <w:t>Source: Field Report, 2026</w:t>
      </w:r>
    </w:p>
    <w:p w14:paraId="B3584527">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Table 1 shows the demographic characteristics of the 420 postgraduate students that participated in the study. The findings indicate that 224 respondents, representing 53.3%, were male, while 196 respondents, representing 46.7%, were female, indicating relatively balanced gender participation. Most respondents (42.4%) were between 31 and 40 years of age, suggesting that mature students constituted the majority of postgraduate enrolment. Furthermore, Master's degree students accounted for 66.9% of the sample, while Ph.D. students represented 33.1%. The data also reveal that 56.7% of the respondents were drawn from public universities in Lagos State, whereas 43.3% were from Ogun State. Finally, 63.1% of the respondents were full-time students and 36.9% were part-time students. The demographic distribution demonstrates that the sample adequately </w:t>
      </w:r>
      <w:r>
        <w:rPr>
          <w:rFonts w:ascii="Times New Roman" w:cs="Times New Roman" w:hAnsi="Times New Roman"/>
          <w:sz w:val="24"/>
        </w:rPr>
        <w:t>represented diverse categories of postgraduate students and was therefore suitable for examining the influence of library service environment and personnel competence on continuous intention to use library resources.</w:t>
      </w:r>
    </w:p>
    <w:p w14:paraId="1C9826DC">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Test of Hypotheses</w:t>
      </w:r>
    </w:p>
    <w:p w14:paraId="B8364A76">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H</w:t>
      </w:r>
      <w:r>
        <w:rPr>
          <w:rFonts w:ascii="Times New Roman" w:cs="Times New Roman" w:hAnsi="Times New Roman"/>
          <w:b/>
          <w:bCs/>
          <w:sz w:val="24"/>
          <w:vertAlign w:val="subscript"/>
        </w:rPr>
        <w:t>01</w:t>
      </w:r>
      <w:r>
        <w:rPr>
          <w:rFonts w:ascii="Times New Roman" w:cs="Times New Roman" w:hAnsi="Times New Roman"/>
          <w:b/>
          <w:bCs/>
          <w:sz w:val="24"/>
        </w:rPr>
        <w:t>:</w:t>
      </w:r>
    </w:p>
    <w:p w14:paraId="95F88C58">
      <w:pPr>
        <w:pStyle w:val="style0"/>
        <w:spacing w:lineRule="auto" w:line="360"/>
        <w:jc w:val="both"/>
        <w:rPr>
          <w:rFonts w:ascii="Times New Roman" w:cs="Times New Roman" w:hAnsi="Times New Roman"/>
          <w:sz w:val="24"/>
        </w:rPr>
      </w:pPr>
      <w:r>
        <w:rPr>
          <w:rFonts w:ascii="Times New Roman" w:cs="Times New Roman" w:hAnsi="Times New Roman"/>
          <w:sz w:val="24"/>
        </w:rPr>
        <w:t>Library service environment has no significant influence on postgraduates' continuous intention to use library resources in public universities in Lagos and Ogun States, Nigeria.</w:t>
      </w:r>
    </w:p>
    <w:p w14:paraId="E301ED2D">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Decision Rule</w:t>
      </w:r>
    </w:p>
    <w:p w14:paraId="6066FC42">
      <w:pPr>
        <w:pStyle w:val="style0"/>
        <w:spacing w:lineRule="auto" w:line="360"/>
        <w:jc w:val="both"/>
        <w:rPr>
          <w:rFonts w:ascii="Times New Roman" w:cs="Times New Roman" w:hAnsi="Times New Roman"/>
          <w:sz w:val="24"/>
        </w:rPr>
      </w:pPr>
      <w:r>
        <w:rPr>
          <w:rFonts w:ascii="Times New Roman" w:cs="Times New Roman" w:hAnsi="Times New Roman"/>
          <w:sz w:val="24"/>
        </w:rPr>
        <w:t>Reject the null hypothesis if the calculated p-value is less than the alpha level of 0.05. Otherwise, fail to reject the null hypothesis.</w:t>
      </w:r>
    </w:p>
    <w:p w14:paraId="68FAB830">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Table 2: Simple Linear Regression Analysis of the Influence of Library Service Environment on Postgraduates' Continuous Intention to Use Library Resources (N = 420)</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6285"/>
        <w:gridCol w:w="496"/>
        <w:gridCol w:w="699"/>
        <w:gridCol w:w="718"/>
        <w:gridCol w:w="1160"/>
      </w:tblGrid>
      <w:tr w14:paraId="6B57D2D1">
        <w:trPr>
          <w:tblHeader/>
          <w:tblCellSpacing w:w="15" w:type="dxa"/>
        </w:trPr>
        <w:tc>
          <w:tcPr>
            <w:tcW w:w="0" w:type="auto"/>
            <w:tcBorders>
              <w:top w:val="single" w:sz="4" w:space="0" w:color="auto"/>
              <w:bottom w:val="single" w:sz="4" w:space="0" w:color="auto"/>
            </w:tcBorders>
            <w:vAlign w:val="center"/>
            <w:hideMark/>
          </w:tcPr>
          <w:p w14:paraId="83132EA0">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Questionnaire Items on Library Service Environment</w:t>
            </w:r>
          </w:p>
        </w:tc>
        <w:tc>
          <w:tcPr>
            <w:tcW w:w="0" w:type="auto"/>
            <w:tcBorders>
              <w:top w:val="single" w:sz="4" w:space="0" w:color="auto"/>
              <w:bottom w:val="single" w:sz="4" w:space="0" w:color="auto"/>
            </w:tcBorders>
            <w:vAlign w:val="center"/>
            <w:hideMark/>
          </w:tcPr>
          <w:p w14:paraId="9F45188B">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β</w:t>
            </w:r>
          </w:p>
        </w:tc>
        <w:tc>
          <w:tcPr>
            <w:tcW w:w="0" w:type="auto"/>
            <w:tcBorders>
              <w:top w:val="single" w:sz="4" w:space="0" w:color="auto"/>
              <w:bottom w:val="single" w:sz="4" w:space="0" w:color="auto"/>
            </w:tcBorders>
            <w:vAlign w:val="center"/>
            <w:hideMark/>
          </w:tcPr>
          <w:p w14:paraId="22D079BB">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t-value</w:t>
            </w:r>
          </w:p>
        </w:tc>
        <w:tc>
          <w:tcPr>
            <w:tcW w:w="0" w:type="auto"/>
            <w:tcBorders>
              <w:top w:val="single" w:sz="4" w:space="0" w:color="auto"/>
              <w:bottom w:val="single" w:sz="4" w:space="0" w:color="auto"/>
            </w:tcBorders>
            <w:vAlign w:val="center"/>
            <w:hideMark/>
          </w:tcPr>
          <w:p w14:paraId="C267D013">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p-value</w:t>
            </w:r>
          </w:p>
        </w:tc>
        <w:tc>
          <w:tcPr>
            <w:tcW w:w="0" w:type="auto"/>
            <w:tcBorders>
              <w:top w:val="single" w:sz="4" w:space="0" w:color="auto"/>
              <w:bottom w:val="single" w:sz="4" w:space="0" w:color="auto"/>
            </w:tcBorders>
            <w:vAlign w:val="center"/>
            <w:hideMark/>
          </w:tcPr>
          <w:p w14:paraId="2B2C8CAD">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Decision</w:t>
            </w:r>
          </w:p>
        </w:tc>
      </w:tr>
      <w:tr w14:paraId="A9FADFD8">
        <w:tblPrEx/>
        <w:trPr>
          <w:tblCellSpacing w:w="15" w:type="dxa"/>
        </w:trPr>
        <w:tc>
          <w:tcPr>
            <w:tcW w:w="0" w:type="auto"/>
            <w:tcBorders/>
            <w:vAlign w:val="center"/>
            <w:hideMark/>
          </w:tcPr>
          <w:p w14:paraId="DEBE61E9">
            <w:pPr>
              <w:pStyle w:val="style0"/>
              <w:spacing w:after="0" w:lineRule="auto" w:line="360"/>
              <w:jc w:val="both"/>
              <w:rPr>
                <w:rFonts w:ascii="Times New Roman" w:cs="Times New Roman" w:hAnsi="Times New Roman"/>
                <w:sz w:val="24"/>
              </w:rPr>
            </w:pPr>
            <w:r>
              <w:rPr>
                <w:rFonts w:ascii="Times New Roman" w:cs="Times New Roman" w:hAnsi="Times New Roman"/>
                <w:sz w:val="24"/>
              </w:rPr>
              <w:t>Availability of reliable internet services encourages me to continue using library resources.</w:t>
            </w:r>
          </w:p>
        </w:tc>
        <w:tc>
          <w:tcPr>
            <w:tcW w:w="0" w:type="auto"/>
            <w:tcBorders/>
            <w:vAlign w:val="center"/>
            <w:hideMark/>
          </w:tcPr>
          <w:p w14:paraId="19912A57">
            <w:pPr>
              <w:pStyle w:val="style0"/>
              <w:spacing w:after="0" w:lineRule="auto" w:line="360"/>
              <w:jc w:val="both"/>
              <w:rPr>
                <w:rFonts w:ascii="Times New Roman" w:cs="Times New Roman" w:hAnsi="Times New Roman"/>
                <w:sz w:val="24"/>
              </w:rPr>
            </w:pPr>
            <w:r>
              <w:rPr>
                <w:rFonts w:ascii="Times New Roman" w:cs="Times New Roman" w:hAnsi="Times New Roman"/>
                <w:sz w:val="24"/>
              </w:rPr>
              <w:t>.471</w:t>
            </w:r>
          </w:p>
        </w:tc>
        <w:tc>
          <w:tcPr>
            <w:tcW w:w="0" w:type="auto"/>
            <w:tcBorders/>
            <w:vAlign w:val="center"/>
            <w:hideMark/>
          </w:tcPr>
          <w:p w14:paraId="8F72E6E7">
            <w:pPr>
              <w:pStyle w:val="style0"/>
              <w:spacing w:after="0" w:lineRule="auto" w:line="360"/>
              <w:jc w:val="both"/>
              <w:rPr>
                <w:rFonts w:ascii="Times New Roman" w:cs="Times New Roman" w:hAnsi="Times New Roman"/>
                <w:sz w:val="24"/>
              </w:rPr>
            </w:pPr>
            <w:r>
              <w:rPr>
                <w:rFonts w:ascii="Times New Roman" w:cs="Times New Roman" w:hAnsi="Times New Roman"/>
                <w:sz w:val="24"/>
              </w:rPr>
              <w:t>8.562</w:t>
            </w:r>
          </w:p>
        </w:tc>
        <w:tc>
          <w:tcPr>
            <w:tcW w:w="0" w:type="auto"/>
            <w:tcBorders/>
            <w:vAlign w:val="center"/>
            <w:hideMark/>
          </w:tcPr>
          <w:p w14:paraId="1EB19D39">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4733DA81">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r w14:paraId="7FB629E5">
        <w:tblPrEx/>
        <w:trPr>
          <w:tblCellSpacing w:w="15" w:type="dxa"/>
        </w:trPr>
        <w:tc>
          <w:tcPr>
            <w:tcW w:w="0" w:type="auto"/>
            <w:tcBorders/>
            <w:vAlign w:val="center"/>
            <w:hideMark/>
          </w:tcPr>
          <w:p w14:paraId="0872955E">
            <w:pPr>
              <w:pStyle w:val="style0"/>
              <w:spacing w:after="0" w:lineRule="auto" w:line="360"/>
              <w:jc w:val="both"/>
              <w:rPr>
                <w:rFonts w:ascii="Times New Roman" w:cs="Times New Roman" w:hAnsi="Times New Roman"/>
                <w:sz w:val="24"/>
              </w:rPr>
            </w:pPr>
            <w:r>
              <w:rPr>
                <w:rFonts w:ascii="Times New Roman" w:cs="Times New Roman" w:hAnsi="Times New Roman"/>
                <w:sz w:val="24"/>
              </w:rPr>
              <w:t>Quiet and conducive reading spaces motivate my continuous library usage.</w:t>
            </w:r>
          </w:p>
        </w:tc>
        <w:tc>
          <w:tcPr>
            <w:tcW w:w="0" w:type="auto"/>
            <w:tcBorders/>
            <w:vAlign w:val="center"/>
            <w:hideMark/>
          </w:tcPr>
          <w:p w14:paraId="04B59C2E">
            <w:pPr>
              <w:pStyle w:val="style0"/>
              <w:spacing w:after="0" w:lineRule="auto" w:line="360"/>
              <w:jc w:val="both"/>
              <w:rPr>
                <w:rFonts w:ascii="Times New Roman" w:cs="Times New Roman" w:hAnsi="Times New Roman"/>
                <w:sz w:val="24"/>
              </w:rPr>
            </w:pPr>
            <w:r>
              <w:rPr>
                <w:rFonts w:ascii="Times New Roman" w:cs="Times New Roman" w:hAnsi="Times New Roman"/>
                <w:sz w:val="24"/>
              </w:rPr>
              <w:t>.452</w:t>
            </w:r>
          </w:p>
        </w:tc>
        <w:tc>
          <w:tcPr>
            <w:tcW w:w="0" w:type="auto"/>
            <w:tcBorders/>
            <w:vAlign w:val="center"/>
            <w:hideMark/>
          </w:tcPr>
          <w:p w14:paraId="77D8440B">
            <w:pPr>
              <w:pStyle w:val="style0"/>
              <w:spacing w:after="0" w:lineRule="auto" w:line="360"/>
              <w:jc w:val="both"/>
              <w:rPr>
                <w:rFonts w:ascii="Times New Roman" w:cs="Times New Roman" w:hAnsi="Times New Roman"/>
                <w:sz w:val="24"/>
              </w:rPr>
            </w:pPr>
            <w:r>
              <w:rPr>
                <w:rFonts w:ascii="Times New Roman" w:cs="Times New Roman" w:hAnsi="Times New Roman"/>
                <w:sz w:val="24"/>
              </w:rPr>
              <w:t>7.923</w:t>
            </w:r>
          </w:p>
        </w:tc>
        <w:tc>
          <w:tcPr>
            <w:tcW w:w="0" w:type="auto"/>
            <w:tcBorders/>
            <w:vAlign w:val="center"/>
            <w:hideMark/>
          </w:tcPr>
          <w:p w14:paraId="18424723">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59C43EC9">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r w14:paraId="894B04CD">
        <w:tblPrEx/>
        <w:trPr>
          <w:tblCellSpacing w:w="15" w:type="dxa"/>
        </w:trPr>
        <w:tc>
          <w:tcPr>
            <w:tcW w:w="0" w:type="auto"/>
            <w:tcBorders/>
            <w:vAlign w:val="center"/>
            <w:hideMark/>
          </w:tcPr>
          <w:p w14:paraId="8A6553C4">
            <w:pPr>
              <w:pStyle w:val="style0"/>
              <w:spacing w:after="0" w:lineRule="auto" w:line="360"/>
              <w:jc w:val="both"/>
              <w:rPr>
                <w:rFonts w:ascii="Times New Roman" w:cs="Times New Roman" w:hAnsi="Times New Roman"/>
                <w:sz w:val="24"/>
              </w:rPr>
            </w:pPr>
            <w:r>
              <w:rPr>
                <w:rFonts w:ascii="Times New Roman" w:cs="Times New Roman" w:hAnsi="Times New Roman"/>
                <w:sz w:val="24"/>
              </w:rPr>
              <w:t>Availability of modern ICT facilities promotes my intention to continue using library resources.</w:t>
            </w:r>
          </w:p>
        </w:tc>
        <w:tc>
          <w:tcPr>
            <w:tcW w:w="0" w:type="auto"/>
            <w:tcBorders/>
            <w:vAlign w:val="center"/>
            <w:hideMark/>
          </w:tcPr>
          <w:p w14:paraId="E9C50B7B">
            <w:pPr>
              <w:pStyle w:val="style0"/>
              <w:spacing w:after="0" w:lineRule="auto" w:line="360"/>
              <w:jc w:val="both"/>
              <w:rPr>
                <w:rFonts w:ascii="Times New Roman" w:cs="Times New Roman" w:hAnsi="Times New Roman"/>
                <w:sz w:val="24"/>
              </w:rPr>
            </w:pPr>
            <w:r>
              <w:rPr>
                <w:rFonts w:ascii="Times New Roman" w:cs="Times New Roman" w:hAnsi="Times New Roman"/>
                <w:sz w:val="24"/>
              </w:rPr>
              <w:t>.489</w:t>
            </w:r>
          </w:p>
        </w:tc>
        <w:tc>
          <w:tcPr>
            <w:tcW w:w="0" w:type="auto"/>
            <w:tcBorders/>
            <w:vAlign w:val="center"/>
            <w:hideMark/>
          </w:tcPr>
          <w:p w14:paraId="2CD918D4">
            <w:pPr>
              <w:pStyle w:val="style0"/>
              <w:spacing w:after="0" w:lineRule="auto" w:line="360"/>
              <w:jc w:val="both"/>
              <w:rPr>
                <w:rFonts w:ascii="Times New Roman" w:cs="Times New Roman" w:hAnsi="Times New Roman"/>
                <w:sz w:val="24"/>
              </w:rPr>
            </w:pPr>
            <w:r>
              <w:rPr>
                <w:rFonts w:ascii="Times New Roman" w:cs="Times New Roman" w:hAnsi="Times New Roman"/>
                <w:sz w:val="24"/>
              </w:rPr>
              <w:t>9.104</w:t>
            </w:r>
          </w:p>
        </w:tc>
        <w:tc>
          <w:tcPr>
            <w:tcW w:w="0" w:type="auto"/>
            <w:tcBorders/>
            <w:vAlign w:val="center"/>
            <w:hideMark/>
          </w:tcPr>
          <w:p w14:paraId="E9FB7EA0">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3C05A16B">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r w14:paraId="7EA3A9B5">
        <w:tblPrEx/>
        <w:trPr>
          <w:tblCellSpacing w:w="15" w:type="dxa"/>
        </w:trPr>
        <w:tc>
          <w:tcPr>
            <w:tcW w:w="0" w:type="auto"/>
            <w:tcBorders/>
            <w:vAlign w:val="center"/>
            <w:hideMark/>
          </w:tcPr>
          <w:p w14:paraId="8F2EAAD9">
            <w:pPr>
              <w:pStyle w:val="style0"/>
              <w:spacing w:after="0" w:lineRule="auto" w:line="360"/>
              <w:jc w:val="both"/>
              <w:rPr>
                <w:rFonts w:ascii="Times New Roman" w:cs="Times New Roman" w:hAnsi="Times New Roman"/>
                <w:sz w:val="24"/>
              </w:rPr>
            </w:pPr>
            <w:r>
              <w:rPr>
                <w:rFonts w:ascii="Times New Roman" w:cs="Times New Roman" w:hAnsi="Times New Roman"/>
                <w:sz w:val="24"/>
              </w:rPr>
              <w:t>Easy accessibility to electronic databases encourages my repeated use of library resources.</w:t>
            </w:r>
          </w:p>
        </w:tc>
        <w:tc>
          <w:tcPr>
            <w:tcW w:w="0" w:type="auto"/>
            <w:tcBorders/>
            <w:vAlign w:val="center"/>
            <w:hideMark/>
          </w:tcPr>
          <w:p w14:paraId="C135BA76">
            <w:pPr>
              <w:pStyle w:val="style0"/>
              <w:spacing w:after="0" w:lineRule="auto" w:line="360"/>
              <w:jc w:val="both"/>
              <w:rPr>
                <w:rFonts w:ascii="Times New Roman" w:cs="Times New Roman" w:hAnsi="Times New Roman"/>
                <w:sz w:val="24"/>
              </w:rPr>
            </w:pPr>
            <w:r>
              <w:rPr>
                <w:rFonts w:ascii="Times New Roman" w:cs="Times New Roman" w:hAnsi="Times New Roman"/>
                <w:sz w:val="24"/>
              </w:rPr>
              <w:t>.503</w:t>
            </w:r>
          </w:p>
        </w:tc>
        <w:tc>
          <w:tcPr>
            <w:tcW w:w="0" w:type="auto"/>
            <w:tcBorders/>
            <w:vAlign w:val="center"/>
            <w:hideMark/>
          </w:tcPr>
          <w:p w14:paraId="937683B2">
            <w:pPr>
              <w:pStyle w:val="style0"/>
              <w:spacing w:after="0" w:lineRule="auto" w:line="360"/>
              <w:jc w:val="both"/>
              <w:rPr>
                <w:rFonts w:ascii="Times New Roman" w:cs="Times New Roman" w:hAnsi="Times New Roman"/>
                <w:sz w:val="24"/>
              </w:rPr>
            </w:pPr>
            <w:r>
              <w:rPr>
                <w:rFonts w:ascii="Times New Roman" w:cs="Times New Roman" w:hAnsi="Times New Roman"/>
                <w:sz w:val="24"/>
              </w:rPr>
              <w:t>9.668</w:t>
            </w:r>
          </w:p>
        </w:tc>
        <w:tc>
          <w:tcPr>
            <w:tcW w:w="0" w:type="auto"/>
            <w:tcBorders/>
            <w:vAlign w:val="center"/>
            <w:hideMark/>
          </w:tcPr>
          <w:p w14:paraId="0FCA0141">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CDBDC342">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r w14:paraId="2053A1C7">
        <w:tblPrEx/>
        <w:trPr>
          <w:tblCellSpacing w:w="15" w:type="dxa"/>
        </w:trPr>
        <w:tc>
          <w:tcPr>
            <w:tcW w:w="0" w:type="auto"/>
            <w:tcBorders/>
            <w:vAlign w:val="center"/>
            <w:hideMark/>
          </w:tcPr>
          <w:p w14:paraId="4A499BC1">
            <w:pPr>
              <w:pStyle w:val="style0"/>
              <w:spacing w:after="0" w:lineRule="auto" w:line="360"/>
              <w:jc w:val="both"/>
              <w:rPr>
                <w:rFonts w:ascii="Times New Roman" w:cs="Times New Roman" w:hAnsi="Times New Roman"/>
                <w:sz w:val="24"/>
              </w:rPr>
            </w:pPr>
            <w:r>
              <w:rPr>
                <w:rFonts w:ascii="Times New Roman" w:cs="Times New Roman" w:hAnsi="Times New Roman"/>
                <w:sz w:val="24"/>
              </w:rPr>
              <w:t>Adequate seating and environmental comfort motivate my continuous use of library resources.</w:t>
            </w:r>
          </w:p>
        </w:tc>
        <w:tc>
          <w:tcPr>
            <w:tcW w:w="0" w:type="auto"/>
            <w:tcBorders/>
            <w:vAlign w:val="center"/>
            <w:hideMark/>
          </w:tcPr>
          <w:p w14:paraId="84A0B9F5">
            <w:pPr>
              <w:pStyle w:val="style0"/>
              <w:spacing w:after="0" w:lineRule="auto" w:line="360"/>
              <w:jc w:val="both"/>
              <w:rPr>
                <w:rFonts w:ascii="Times New Roman" w:cs="Times New Roman" w:hAnsi="Times New Roman"/>
                <w:sz w:val="24"/>
              </w:rPr>
            </w:pPr>
            <w:r>
              <w:rPr>
                <w:rFonts w:ascii="Times New Roman" w:cs="Times New Roman" w:hAnsi="Times New Roman"/>
                <w:sz w:val="24"/>
              </w:rPr>
              <w:t>.428</w:t>
            </w:r>
          </w:p>
        </w:tc>
        <w:tc>
          <w:tcPr>
            <w:tcW w:w="0" w:type="auto"/>
            <w:tcBorders/>
            <w:vAlign w:val="center"/>
            <w:hideMark/>
          </w:tcPr>
          <w:p w14:paraId="9EF89825">
            <w:pPr>
              <w:pStyle w:val="style0"/>
              <w:spacing w:after="0" w:lineRule="auto" w:line="360"/>
              <w:jc w:val="both"/>
              <w:rPr>
                <w:rFonts w:ascii="Times New Roman" w:cs="Times New Roman" w:hAnsi="Times New Roman"/>
                <w:sz w:val="24"/>
              </w:rPr>
            </w:pPr>
            <w:r>
              <w:rPr>
                <w:rFonts w:ascii="Times New Roman" w:cs="Times New Roman" w:hAnsi="Times New Roman"/>
                <w:sz w:val="24"/>
              </w:rPr>
              <w:t>7.601</w:t>
            </w:r>
          </w:p>
        </w:tc>
        <w:tc>
          <w:tcPr>
            <w:tcW w:w="0" w:type="auto"/>
            <w:tcBorders/>
            <w:vAlign w:val="center"/>
            <w:hideMark/>
          </w:tcPr>
          <w:p w14:paraId="DBADAFC0">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63F0364C">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bl>
    <w:p w14:paraId="37A71E68">
      <w:pPr>
        <w:pStyle w:val="style0"/>
        <w:spacing w:lineRule="auto" w:line="360"/>
        <w:jc w:val="both"/>
        <w:rPr>
          <w:rFonts w:ascii="Times New Roman" w:cs="Times New Roman" w:hAnsi="Times New Roman"/>
          <w:sz w:val="24"/>
        </w:rPr>
      </w:pPr>
      <w:r>
        <w:rPr>
          <w:rFonts w:ascii="Times New Roman" w:cs="Times New Roman" w:hAnsi="Times New Roman"/>
          <w:b/>
          <w:bCs/>
          <w:sz w:val="24"/>
        </w:rPr>
        <w:t>Model Summary:</w:t>
      </w:r>
      <w:r>
        <w:rPr>
          <w:rFonts w:ascii="Times New Roman" w:cs="Times New Roman" w:hAnsi="Times New Roman"/>
          <w:sz w:val="24"/>
        </w:rPr>
        <w:t xml:space="preserve"> R = .674; R² = .454; Adjusted R² = .451; </w:t>
      </w:r>
      <w:r>
        <w:rPr>
          <w:rFonts w:ascii="Times New Roman" w:cs="Times New Roman" w:hAnsi="Times New Roman"/>
          <w:sz w:val="24"/>
        </w:rPr>
        <w:t>F(</w:t>
      </w:r>
      <w:r>
        <w:rPr>
          <w:rFonts w:ascii="Times New Roman" w:cs="Times New Roman" w:hAnsi="Times New Roman"/>
          <w:sz w:val="24"/>
        </w:rPr>
        <w:t>1,418) = 347.23; p = .000.</w:t>
      </w:r>
    </w:p>
    <w:p w14:paraId="D52F6324">
      <w:pPr>
        <w:pStyle w:val="style0"/>
        <w:spacing w:lineRule="auto" w:line="360"/>
        <w:jc w:val="both"/>
        <w:rPr>
          <w:rFonts w:ascii="Times New Roman" w:cs="Times New Roman" w:hAnsi="Times New Roman"/>
          <w:sz w:val="24"/>
        </w:rPr>
      </w:pPr>
      <w:r>
        <w:rPr>
          <w:rFonts w:ascii="Times New Roman" w:cs="Times New Roman" w:hAnsi="Times New Roman"/>
          <w:b/>
          <w:bCs/>
          <w:sz w:val="24"/>
        </w:rPr>
        <w:t>Source: Field Report, 2026</w:t>
      </w:r>
    </w:p>
    <w:p w14:paraId="40745746">
      <w:pPr>
        <w:pStyle w:val="style0"/>
        <w:spacing w:lineRule="auto" w:line="360"/>
        <w:jc w:val="both"/>
        <w:rPr>
          <w:rFonts w:ascii="Times New Roman" w:cs="Times New Roman" w:hAnsi="Times New Roman"/>
          <w:sz w:val="24"/>
        </w:rPr>
      </w:pPr>
      <w:r>
        <w:rPr>
          <w:rFonts w:ascii="Times New Roman" w:cs="Times New Roman" w:hAnsi="Times New Roman"/>
          <w:sz w:val="24"/>
        </w:rPr>
        <w:t xml:space="preserve">Table 2 presents the simple linear regression results regarding the influence of library service environment on postgraduates' continuous intention to use library resources. The model produced a correlation coefficient (R) of .674, indicating a strong positive relationship between library service environment and continuous intention to use library resources. The coefficient of determination (R² = .454) indicates that library service environment explained approximately 45.4% of the variation in postgraduates' continuous intention to use library resources. The F-ratio of 347.23 with a p-value of .000 shows that the model was statistically significant. Furthermore, all five questionnaire items recorded positive beta coefficients and significant p-values below .05. This implies that reliable internet facilities, conducive reading spaces, modern ICT infrastructure, accessibility of electronic databases, and environmental comfort significantly enhanced postgraduates' willingness to continuously </w:t>
      </w:r>
      <w:r>
        <w:rPr>
          <w:rFonts w:ascii="Times New Roman" w:cs="Times New Roman" w:hAnsi="Times New Roman"/>
          <w:sz w:val="24"/>
        </w:rPr>
        <w:t>utilise</w:t>
      </w:r>
      <w:r>
        <w:rPr>
          <w:rFonts w:ascii="Times New Roman" w:cs="Times New Roman" w:hAnsi="Times New Roman"/>
          <w:sz w:val="24"/>
        </w:rPr>
        <w:t xml:space="preserve"> library resources. Consequently, the null hypothesis was rejected.</w:t>
      </w:r>
    </w:p>
    <w:p w14:paraId="6F82951D">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Hypothesis Two</w:t>
      </w:r>
    </w:p>
    <w:p w14:paraId="82D01BCA">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H</w:t>
      </w:r>
      <w:r>
        <w:rPr>
          <w:rFonts w:ascii="Times New Roman" w:cs="Times New Roman" w:hAnsi="Times New Roman"/>
          <w:b/>
          <w:bCs/>
          <w:sz w:val="24"/>
          <w:vertAlign w:val="subscript"/>
        </w:rPr>
        <w:t>02</w:t>
      </w:r>
      <w:r>
        <w:rPr>
          <w:rFonts w:ascii="Times New Roman" w:cs="Times New Roman" w:hAnsi="Times New Roman"/>
          <w:b/>
          <w:bCs/>
          <w:sz w:val="24"/>
        </w:rPr>
        <w:t>:</w:t>
      </w:r>
    </w:p>
    <w:p w14:paraId="410C6EC3">
      <w:pPr>
        <w:pStyle w:val="style0"/>
        <w:spacing w:lineRule="auto" w:line="360"/>
        <w:jc w:val="both"/>
        <w:rPr>
          <w:rFonts w:ascii="Times New Roman" w:cs="Times New Roman" w:hAnsi="Times New Roman"/>
          <w:sz w:val="24"/>
        </w:rPr>
      </w:pPr>
      <w:r>
        <w:rPr>
          <w:rFonts w:ascii="Times New Roman" w:cs="Times New Roman" w:hAnsi="Times New Roman"/>
          <w:sz w:val="24"/>
        </w:rPr>
        <w:t>Personnel competence has no significant influence on postgraduates' continuous intention to use library resources in public universities in Lagos and Ogun States, Nigeria.</w:t>
      </w:r>
    </w:p>
    <w:p w14:paraId="B0851A3E">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Decision Rule</w:t>
      </w:r>
    </w:p>
    <w:p w14:paraId="1F132B88">
      <w:pPr>
        <w:pStyle w:val="style0"/>
        <w:spacing w:lineRule="auto" w:line="360"/>
        <w:jc w:val="both"/>
        <w:rPr>
          <w:rFonts w:ascii="Times New Roman" w:cs="Times New Roman" w:hAnsi="Times New Roman"/>
          <w:sz w:val="24"/>
        </w:rPr>
      </w:pPr>
      <w:r>
        <w:rPr>
          <w:rFonts w:ascii="Times New Roman" w:cs="Times New Roman" w:hAnsi="Times New Roman"/>
          <w:sz w:val="24"/>
        </w:rPr>
        <w:t>Reject the null hypothesis if p-value &lt; 0.05; otherwise, fail to reject the null hypothesis.</w:t>
      </w:r>
    </w:p>
    <w:p w14:paraId="53F36EBA">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Table 3: Simple Linear Regression Analysis of the Influence of Personnel Competence on Postgraduates' Continuous Intention to Use Library Resources (N = 420)</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6213"/>
        <w:gridCol w:w="496"/>
        <w:gridCol w:w="764"/>
        <w:gridCol w:w="725"/>
        <w:gridCol w:w="1160"/>
      </w:tblGrid>
      <w:tr w14:paraId="7AA18985">
        <w:trPr>
          <w:tblHeader/>
          <w:tblCellSpacing w:w="15" w:type="dxa"/>
        </w:trPr>
        <w:tc>
          <w:tcPr>
            <w:tcW w:w="0" w:type="auto"/>
            <w:tcBorders>
              <w:top w:val="single" w:sz="4" w:space="0" w:color="auto"/>
              <w:bottom w:val="single" w:sz="4" w:space="0" w:color="auto"/>
            </w:tcBorders>
            <w:vAlign w:val="center"/>
            <w:hideMark/>
          </w:tcPr>
          <w:p w14:paraId="E2D1E032">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Questionnaire Items on Personnel Competence</w:t>
            </w:r>
          </w:p>
        </w:tc>
        <w:tc>
          <w:tcPr>
            <w:tcW w:w="0" w:type="auto"/>
            <w:tcBorders>
              <w:top w:val="single" w:sz="4" w:space="0" w:color="auto"/>
              <w:bottom w:val="single" w:sz="4" w:space="0" w:color="auto"/>
            </w:tcBorders>
            <w:vAlign w:val="center"/>
            <w:hideMark/>
          </w:tcPr>
          <w:p w14:paraId="F72C036D">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β</w:t>
            </w:r>
          </w:p>
        </w:tc>
        <w:tc>
          <w:tcPr>
            <w:tcW w:w="0" w:type="auto"/>
            <w:tcBorders>
              <w:top w:val="single" w:sz="4" w:space="0" w:color="auto"/>
              <w:bottom w:val="single" w:sz="4" w:space="0" w:color="auto"/>
            </w:tcBorders>
            <w:vAlign w:val="center"/>
            <w:hideMark/>
          </w:tcPr>
          <w:p w14:paraId="9034D68C">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t-value</w:t>
            </w:r>
          </w:p>
        </w:tc>
        <w:tc>
          <w:tcPr>
            <w:tcW w:w="0" w:type="auto"/>
            <w:tcBorders>
              <w:top w:val="single" w:sz="4" w:space="0" w:color="auto"/>
              <w:bottom w:val="single" w:sz="4" w:space="0" w:color="auto"/>
            </w:tcBorders>
            <w:vAlign w:val="center"/>
            <w:hideMark/>
          </w:tcPr>
          <w:p w14:paraId="5B820BFE">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p-value</w:t>
            </w:r>
          </w:p>
        </w:tc>
        <w:tc>
          <w:tcPr>
            <w:tcW w:w="0" w:type="auto"/>
            <w:tcBorders>
              <w:top w:val="single" w:sz="4" w:space="0" w:color="auto"/>
              <w:bottom w:val="single" w:sz="4" w:space="0" w:color="auto"/>
            </w:tcBorders>
            <w:vAlign w:val="center"/>
            <w:hideMark/>
          </w:tcPr>
          <w:p w14:paraId="CC1F881C">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Decision</w:t>
            </w:r>
          </w:p>
        </w:tc>
      </w:tr>
      <w:tr w14:paraId="4C4291D7">
        <w:tblPrEx/>
        <w:trPr>
          <w:tblCellSpacing w:w="15" w:type="dxa"/>
        </w:trPr>
        <w:tc>
          <w:tcPr>
            <w:tcW w:w="0" w:type="auto"/>
            <w:tcBorders/>
            <w:vAlign w:val="center"/>
            <w:hideMark/>
          </w:tcPr>
          <w:p w14:paraId="238A3B1D">
            <w:pPr>
              <w:pStyle w:val="style0"/>
              <w:spacing w:after="0" w:lineRule="auto" w:line="360"/>
              <w:jc w:val="both"/>
              <w:rPr>
                <w:rFonts w:ascii="Times New Roman" w:cs="Times New Roman" w:hAnsi="Times New Roman"/>
                <w:sz w:val="24"/>
              </w:rPr>
            </w:pPr>
            <w:r>
              <w:rPr>
                <w:rFonts w:ascii="Times New Roman" w:cs="Times New Roman" w:hAnsi="Times New Roman"/>
                <w:sz w:val="24"/>
              </w:rPr>
              <w:t>Library personnel provide prompt assistance whenever I need information.</w:t>
            </w:r>
          </w:p>
        </w:tc>
        <w:tc>
          <w:tcPr>
            <w:tcW w:w="0" w:type="auto"/>
            <w:tcBorders/>
            <w:vAlign w:val="center"/>
            <w:hideMark/>
          </w:tcPr>
          <w:p w14:paraId="F0915324">
            <w:pPr>
              <w:pStyle w:val="style0"/>
              <w:spacing w:after="0" w:lineRule="auto" w:line="360"/>
              <w:jc w:val="both"/>
              <w:rPr>
                <w:rFonts w:ascii="Times New Roman" w:cs="Times New Roman" w:hAnsi="Times New Roman"/>
                <w:sz w:val="24"/>
              </w:rPr>
            </w:pPr>
            <w:r>
              <w:rPr>
                <w:rFonts w:ascii="Times New Roman" w:cs="Times New Roman" w:hAnsi="Times New Roman"/>
                <w:sz w:val="24"/>
              </w:rPr>
              <w:t>.515</w:t>
            </w:r>
          </w:p>
        </w:tc>
        <w:tc>
          <w:tcPr>
            <w:tcW w:w="0" w:type="auto"/>
            <w:tcBorders/>
            <w:vAlign w:val="center"/>
            <w:hideMark/>
          </w:tcPr>
          <w:p w14:paraId="473F5AFC">
            <w:pPr>
              <w:pStyle w:val="style0"/>
              <w:spacing w:after="0" w:lineRule="auto" w:line="360"/>
              <w:jc w:val="both"/>
              <w:rPr>
                <w:rFonts w:ascii="Times New Roman" w:cs="Times New Roman" w:hAnsi="Times New Roman"/>
                <w:sz w:val="24"/>
              </w:rPr>
            </w:pPr>
            <w:r>
              <w:rPr>
                <w:rFonts w:ascii="Times New Roman" w:cs="Times New Roman" w:hAnsi="Times New Roman"/>
                <w:sz w:val="24"/>
              </w:rPr>
              <w:t>10.361</w:t>
            </w:r>
          </w:p>
        </w:tc>
        <w:tc>
          <w:tcPr>
            <w:tcW w:w="0" w:type="auto"/>
            <w:tcBorders/>
            <w:vAlign w:val="center"/>
            <w:hideMark/>
          </w:tcPr>
          <w:p w14:paraId="916D17AA">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38B880B2">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r w14:paraId="A6DF4213">
        <w:tblPrEx/>
        <w:trPr>
          <w:tblCellSpacing w:w="15" w:type="dxa"/>
        </w:trPr>
        <w:tc>
          <w:tcPr>
            <w:tcW w:w="0" w:type="auto"/>
            <w:tcBorders/>
            <w:vAlign w:val="center"/>
            <w:hideMark/>
          </w:tcPr>
          <w:p w14:paraId="62B25028">
            <w:pPr>
              <w:pStyle w:val="style0"/>
              <w:spacing w:after="0" w:lineRule="auto" w:line="360"/>
              <w:jc w:val="both"/>
              <w:rPr>
                <w:rFonts w:ascii="Times New Roman" w:cs="Times New Roman" w:hAnsi="Times New Roman"/>
                <w:sz w:val="24"/>
              </w:rPr>
            </w:pPr>
            <w:r>
              <w:rPr>
                <w:rFonts w:ascii="Times New Roman" w:cs="Times New Roman" w:hAnsi="Times New Roman"/>
                <w:sz w:val="24"/>
              </w:rPr>
              <w:t>Library personnel possess adequate knowledge of electronic databases.</w:t>
            </w:r>
          </w:p>
        </w:tc>
        <w:tc>
          <w:tcPr>
            <w:tcW w:w="0" w:type="auto"/>
            <w:tcBorders/>
            <w:vAlign w:val="center"/>
            <w:hideMark/>
          </w:tcPr>
          <w:p w14:paraId="FFED6FC3">
            <w:pPr>
              <w:pStyle w:val="style0"/>
              <w:spacing w:after="0" w:lineRule="auto" w:line="360"/>
              <w:jc w:val="both"/>
              <w:rPr>
                <w:rFonts w:ascii="Times New Roman" w:cs="Times New Roman" w:hAnsi="Times New Roman"/>
                <w:sz w:val="24"/>
              </w:rPr>
            </w:pPr>
            <w:r>
              <w:rPr>
                <w:rFonts w:ascii="Times New Roman" w:cs="Times New Roman" w:hAnsi="Times New Roman"/>
                <w:sz w:val="24"/>
              </w:rPr>
              <w:t>.548</w:t>
            </w:r>
          </w:p>
        </w:tc>
        <w:tc>
          <w:tcPr>
            <w:tcW w:w="0" w:type="auto"/>
            <w:tcBorders/>
            <w:vAlign w:val="center"/>
            <w:hideMark/>
          </w:tcPr>
          <w:p w14:paraId="DA0E299D">
            <w:pPr>
              <w:pStyle w:val="style0"/>
              <w:spacing w:after="0" w:lineRule="auto" w:line="360"/>
              <w:jc w:val="both"/>
              <w:rPr>
                <w:rFonts w:ascii="Times New Roman" w:cs="Times New Roman" w:hAnsi="Times New Roman"/>
                <w:sz w:val="24"/>
              </w:rPr>
            </w:pPr>
            <w:r>
              <w:rPr>
                <w:rFonts w:ascii="Times New Roman" w:cs="Times New Roman" w:hAnsi="Times New Roman"/>
                <w:sz w:val="24"/>
              </w:rPr>
              <w:t>11.208</w:t>
            </w:r>
          </w:p>
        </w:tc>
        <w:tc>
          <w:tcPr>
            <w:tcW w:w="0" w:type="auto"/>
            <w:tcBorders/>
            <w:vAlign w:val="center"/>
            <w:hideMark/>
          </w:tcPr>
          <w:p w14:paraId="503F384E">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AD92B266">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r w14:paraId="10C58AF0">
        <w:tblPrEx/>
        <w:trPr>
          <w:tblCellSpacing w:w="15" w:type="dxa"/>
        </w:trPr>
        <w:tc>
          <w:tcPr>
            <w:tcW w:w="0" w:type="auto"/>
            <w:tcBorders/>
            <w:vAlign w:val="center"/>
            <w:hideMark/>
          </w:tcPr>
          <w:p w14:paraId="797F309B">
            <w:pPr>
              <w:pStyle w:val="style0"/>
              <w:spacing w:after="0" w:lineRule="auto" w:line="360"/>
              <w:jc w:val="both"/>
              <w:rPr>
                <w:rFonts w:ascii="Times New Roman" w:cs="Times New Roman" w:hAnsi="Times New Roman"/>
                <w:sz w:val="24"/>
              </w:rPr>
            </w:pPr>
            <w:r>
              <w:rPr>
                <w:rFonts w:ascii="Times New Roman" w:cs="Times New Roman" w:hAnsi="Times New Roman"/>
                <w:sz w:val="24"/>
              </w:rPr>
              <w:t>Library personnel demonstrate effective communication skills.</w:t>
            </w:r>
          </w:p>
        </w:tc>
        <w:tc>
          <w:tcPr>
            <w:tcW w:w="0" w:type="auto"/>
            <w:tcBorders/>
            <w:vAlign w:val="center"/>
            <w:hideMark/>
          </w:tcPr>
          <w:p w14:paraId="3690A6FA">
            <w:pPr>
              <w:pStyle w:val="style0"/>
              <w:spacing w:after="0" w:lineRule="auto" w:line="360"/>
              <w:jc w:val="both"/>
              <w:rPr>
                <w:rFonts w:ascii="Times New Roman" w:cs="Times New Roman" w:hAnsi="Times New Roman"/>
                <w:sz w:val="24"/>
              </w:rPr>
            </w:pPr>
            <w:r>
              <w:rPr>
                <w:rFonts w:ascii="Times New Roman" w:cs="Times New Roman" w:hAnsi="Times New Roman"/>
                <w:sz w:val="24"/>
              </w:rPr>
              <w:t>.492</w:t>
            </w:r>
          </w:p>
        </w:tc>
        <w:tc>
          <w:tcPr>
            <w:tcW w:w="0" w:type="auto"/>
            <w:tcBorders/>
            <w:vAlign w:val="center"/>
            <w:hideMark/>
          </w:tcPr>
          <w:p w14:paraId="5E800CE5">
            <w:pPr>
              <w:pStyle w:val="style0"/>
              <w:spacing w:after="0" w:lineRule="auto" w:line="360"/>
              <w:jc w:val="both"/>
              <w:rPr>
                <w:rFonts w:ascii="Times New Roman" w:cs="Times New Roman" w:hAnsi="Times New Roman"/>
                <w:sz w:val="24"/>
              </w:rPr>
            </w:pPr>
            <w:r>
              <w:rPr>
                <w:rFonts w:ascii="Times New Roman" w:cs="Times New Roman" w:hAnsi="Times New Roman"/>
                <w:sz w:val="24"/>
              </w:rPr>
              <w:t>9.575</w:t>
            </w:r>
          </w:p>
        </w:tc>
        <w:tc>
          <w:tcPr>
            <w:tcW w:w="0" w:type="auto"/>
            <w:tcBorders/>
            <w:vAlign w:val="center"/>
            <w:hideMark/>
          </w:tcPr>
          <w:p w14:paraId="DACD1C1A">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0291C751">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r w14:paraId="B37DC573">
        <w:tblPrEx/>
        <w:trPr>
          <w:tblCellSpacing w:w="15" w:type="dxa"/>
        </w:trPr>
        <w:tc>
          <w:tcPr>
            <w:tcW w:w="0" w:type="auto"/>
            <w:tcBorders/>
            <w:vAlign w:val="center"/>
            <w:hideMark/>
          </w:tcPr>
          <w:p w14:paraId="D1EE897F">
            <w:pPr>
              <w:pStyle w:val="style0"/>
              <w:spacing w:after="0" w:lineRule="auto" w:line="360"/>
              <w:jc w:val="both"/>
              <w:rPr>
                <w:rFonts w:ascii="Times New Roman" w:cs="Times New Roman" w:hAnsi="Times New Roman"/>
                <w:sz w:val="24"/>
              </w:rPr>
            </w:pPr>
            <w:r>
              <w:rPr>
                <w:rFonts w:ascii="Times New Roman" w:cs="Times New Roman" w:hAnsi="Times New Roman"/>
                <w:sz w:val="24"/>
              </w:rPr>
              <w:t>Library personnel provide adequate guidance in accessing library resources.</w:t>
            </w:r>
          </w:p>
        </w:tc>
        <w:tc>
          <w:tcPr>
            <w:tcW w:w="0" w:type="auto"/>
            <w:tcBorders/>
            <w:vAlign w:val="center"/>
            <w:hideMark/>
          </w:tcPr>
          <w:p w14:paraId="4775161A">
            <w:pPr>
              <w:pStyle w:val="style0"/>
              <w:spacing w:after="0" w:lineRule="auto" w:line="360"/>
              <w:jc w:val="both"/>
              <w:rPr>
                <w:rFonts w:ascii="Times New Roman" w:cs="Times New Roman" w:hAnsi="Times New Roman"/>
                <w:sz w:val="24"/>
              </w:rPr>
            </w:pPr>
            <w:r>
              <w:rPr>
                <w:rFonts w:ascii="Times New Roman" w:cs="Times New Roman" w:hAnsi="Times New Roman"/>
                <w:sz w:val="24"/>
              </w:rPr>
              <w:t>.526</w:t>
            </w:r>
          </w:p>
        </w:tc>
        <w:tc>
          <w:tcPr>
            <w:tcW w:w="0" w:type="auto"/>
            <w:tcBorders/>
            <w:vAlign w:val="center"/>
            <w:hideMark/>
          </w:tcPr>
          <w:p w14:paraId="C5C99368">
            <w:pPr>
              <w:pStyle w:val="style0"/>
              <w:spacing w:after="0" w:lineRule="auto" w:line="360"/>
              <w:jc w:val="both"/>
              <w:rPr>
                <w:rFonts w:ascii="Times New Roman" w:cs="Times New Roman" w:hAnsi="Times New Roman"/>
                <w:sz w:val="24"/>
              </w:rPr>
            </w:pPr>
            <w:r>
              <w:rPr>
                <w:rFonts w:ascii="Times New Roman" w:cs="Times New Roman" w:hAnsi="Times New Roman"/>
                <w:sz w:val="24"/>
              </w:rPr>
              <w:t>10.837</w:t>
            </w:r>
          </w:p>
        </w:tc>
        <w:tc>
          <w:tcPr>
            <w:tcW w:w="0" w:type="auto"/>
            <w:tcBorders/>
            <w:vAlign w:val="center"/>
            <w:hideMark/>
          </w:tcPr>
          <w:p w14:paraId="7275943C">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D96D3B37">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r w14:paraId="F38A3FAF">
        <w:tblPrEx/>
        <w:trPr>
          <w:tblCellSpacing w:w="15" w:type="dxa"/>
        </w:trPr>
        <w:tc>
          <w:tcPr>
            <w:tcW w:w="0" w:type="auto"/>
            <w:tcBorders/>
            <w:vAlign w:val="center"/>
            <w:hideMark/>
          </w:tcPr>
          <w:p w14:paraId="6E058815">
            <w:pPr>
              <w:pStyle w:val="style0"/>
              <w:spacing w:after="0" w:lineRule="auto" w:line="360"/>
              <w:jc w:val="both"/>
              <w:rPr>
                <w:rFonts w:ascii="Times New Roman" w:cs="Times New Roman" w:hAnsi="Times New Roman"/>
                <w:sz w:val="24"/>
              </w:rPr>
            </w:pPr>
            <w:r>
              <w:rPr>
                <w:rFonts w:ascii="Times New Roman" w:cs="Times New Roman" w:hAnsi="Times New Roman"/>
                <w:sz w:val="24"/>
              </w:rPr>
              <w:t>Library personnel demonstrate professional competence in information service delivery.</w:t>
            </w:r>
          </w:p>
        </w:tc>
        <w:tc>
          <w:tcPr>
            <w:tcW w:w="0" w:type="auto"/>
            <w:tcBorders/>
            <w:vAlign w:val="center"/>
            <w:hideMark/>
          </w:tcPr>
          <w:p w14:paraId="B04E83DE">
            <w:pPr>
              <w:pStyle w:val="style0"/>
              <w:spacing w:after="0" w:lineRule="auto" w:line="360"/>
              <w:jc w:val="both"/>
              <w:rPr>
                <w:rFonts w:ascii="Times New Roman" w:cs="Times New Roman" w:hAnsi="Times New Roman"/>
                <w:sz w:val="24"/>
              </w:rPr>
            </w:pPr>
            <w:r>
              <w:rPr>
                <w:rFonts w:ascii="Times New Roman" w:cs="Times New Roman" w:hAnsi="Times New Roman"/>
                <w:sz w:val="24"/>
              </w:rPr>
              <w:t>.533</w:t>
            </w:r>
          </w:p>
        </w:tc>
        <w:tc>
          <w:tcPr>
            <w:tcW w:w="0" w:type="auto"/>
            <w:tcBorders/>
            <w:vAlign w:val="center"/>
            <w:hideMark/>
          </w:tcPr>
          <w:p w14:paraId="8A335B9B">
            <w:pPr>
              <w:pStyle w:val="style0"/>
              <w:spacing w:after="0" w:lineRule="auto" w:line="360"/>
              <w:jc w:val="both"/>
              <w:rPr>
                <w:rFonts w:ascii="Times New Roman" w:cs="Times New Roman" w:hAnsi="Times New Roman"/>
                <w:sz w:val="24"/>
              </w:rPr>
            </w:pPr>
            <w:r>
              <w:rPr>
                <w:rFonts w:ascii="Times New Roman" w:cs="Times New Roman" w:hAnsi="Times New Roman"/>
                <w:sz w:val="24"/>
              </w:rPr>
              <w:t>10.941</w:t>
            </w:r>
          </w:p>
        </w:tc>
        <w:tc>
          <w:tcPr>
            <w:tcW w:w="0" w:type="auto"/>
            <w:tcBorders/>
            <w:vAlign w:val="center"/>
            <w:hideMark/>
          </w:tcPr>
          <w:p w14:paraId="1E2726EB">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ECCDA97C">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bl>
    <w:p w14:paraId="66554443">
      <w:pPr>
        <w:pStyle w:val="style0"/>
        <w:spacing w:lineRule="auto" w:line="360"/>
        <w:jc w:val="both"/>
        <w:rPr>
          <w:rFonts w:ascii="Times New Roman" w:cs="Times New Roman" w:hAnsi="Times New Roman"/>
          <w:sz w:val="24"/>
        </w:rPr>
      </w:pPr>
      <w:r>
        <w:rPr>
          <w:rFonts w:ascii="Times New Roman" w:cs="Times New Roman" w:hAnsi="Times New Roman"/>
          <w:b/>
          <w:bCs/>
          <w:sz w:val="24"/>
        </w:rPr>
        <w:t>Model Summary:</w:t>
      </w:r>
      <w:r>
        <w:rPr>
          <w:rFonts w:ascii="Times New Roman" w:cs="Times New Roman" w:hAnsi="Times New Roman"/>
          <w:sz w:val="24"/>
        </w:rPr>
        <w:t xml:space="preserve"> R = .712; R² = .507; Adjusted R² = .504; </w:t>
      </w:r>
      <w:r>
        <w:rPr>
          <w:rFonts w:ascii="Times New Roman" w:cs="Times New Roman" w:hAnsi="Times New Roman"/>
          <w:sz w:val="24"/>
        </w:rPr>
        <w:t>F(</w:t>
      </w:r>
      <w:r>
        <w:rPr>
          <w:rFonts w:ascii="Times New Roman" w:cs="Times New Roman" w:hAnsi="Times New Roman"/>
          <w:sz w:val="24"/>
        </w:rPr>
        <w:t>1,418) = 429.61; p = .000.</w:t>
      </w:r>
    </w:p>
    <w:p w14:paraId="BF323173">
      <w:pPr>
        <w:pStyle w:val="style0"/>
        <w:spacing w:lineRule="auto" w:line="360"/>
        <w:jc w:val="both"/>
        <w:rPr>
          <w:rFonts w:ascii="Times New Roman" w:cs="Times New Roman" w:hAnsi="Times New Roman"/>
          <w:sz w:val="24"/>
        </w:rPr>
      </w:pPr>
      <w:r>
        <w:rPr>
          <w:rFonts w:ascii="Times New Roman" w:cs="Times New Roman" w:hAnsi="Times New Roman"/>
          <w:b/>
          <w:bCs/>
          <w:sz w:val="24"/>
        </w:rPr>
        <w:t>Source: Field Report, 2026</w:t>
      </w:r>
    </w:p>
    <w:p w14:paraId="487A4014">
      <w:pPr>
        <w:pStyle w:val="style0"/>
        <w:spacing w:lineRule="auto" w:line="360"/>
        <w:jc w:val="both"/>
        <w:rPr>
          <w:rFonts w:ascii="Times New Roman" w:cs="Times New Roman" w:hAnsi="Times New Roman"/>
          <w:sz w:val="24"/>
        </w:rPr>
      </w:pPr>
      <w:r>
        <w:rPr>
          <w:rFonts w:ascii="Times New Roman" w:cs="Times New Roman" w:hAnsi="Times New Roman"/>
          <w:sz w:val="24"/>
        </w:rPr>
        <w:t>Table 3 indicates that personnel competence exerted a substantial positive influence on postgraduates' continuous intention to use library resources. The correlation coefficient (R = .712) reveals a strong positive association between personnel competence and continuous intention to use library resources. The coefficient of determination (R² = .507) indicates that personnel competence accounted for approximately 50.7% of the variance in postgraduates' continuous intention to use library resources. The regression model was statistically significant as evidenced by the F-value of 429.61 and a p-value of .000. All the questionnaire items showed statistically significant beta coefficients and p-values less than .05. The findings indicate that prompt assistance, professional knowledge, effective communication, guidance, and service competence of library personnel significantly promoted postgraduate students' sustained utilisation of library resources. Therefore, the null hypothesis was rejected.</w:t>
      </w:r>
    </w:p>
    <w:p w14:paraId="1E6FA773">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Hypothesis Three</w:t>
      </w:r>
    </w:p>
    <w:p w14:paraId="9ADBA8FD">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H</w:t>
      </w:r>
      <w:r>
        <w:rPr>
          <w:rFonts w:ascii="Times New Roman" w:cs="Times New Roman" w:hAnsi="Times New Roman"/>
          <w:b/>
          <w:bCs/>
          <w:sz w:val="24"/>
          <w:vertAlign w:val="subscript"/>
        </w:rPr>
        <w:t>03</w:t>
      </w:r>
      <w:r>
        <w:rPr>
          <w:rFonts w:ascii="Times New Roman" w:cs="Times New Roman" w:hAnsi="Times New Roman"/>
          <w:b/>
          <w:bCs/>
          <w:sz w:val="24"/>
        </w:rPr>
        <w:t>:</w:t>
      </w:r>
    </w:p>
    <w:p w14:paraId="7DB15611">
      <w:pPr>
        <w:pStyle w:val="style0"/>
        <w:spacing w:lineRule="auto" w:line="360"/>
        <w:jc w:val="both"/>
        <w:rPr>
          <w:rFonts w:ascii="Times New Roman" w:cs="Times New Roman" w:hAnsi="Times New Roman"/>
          <w:sz w:val="24"/>
        </w:rPr>
      </w:pPr>
      <w:r>
        <w:rPr>
          <w:rFonts w:ascii="Times New Roman" w:cs="Times New Roman" w:hAnsi="Times New Roman"/>
          <w:sz w:val="24"/>
        </w:rPr>
        <w:t>Library service environment and personnel competence have no significant combined influence on postgraduates' continuous intention to use library resources in public universities in Lagos and Ogun States, Nigeria.</w:t>
      </w:r>
    </w:p>
    <w:p w14:paraId="7C4E0201">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Decision Rule</w:t>
      </w:r>
    </w:p>
    <w:p w14:paraId="2E9A3C24">
      <w:pPr>
        <w:pStyle w:val="style0"/>
        <w:spacing w:lineRule="auto" w:line="360"/>
        <w:jc w:val="both"/>
        <w:rPr>
          <w:rFonts w:ascii="Times New Roman" w:cs="Times New Roman" w:hAnsi="Times New Roman"/>
          <w:sz w:val="24"/>
        </w:rPr>
      </w:pPr>
      <w:r>
        <w:rPr>
          <w:rFonts w:ascii="Times New Roman" w:cs="Times New Roman" w:hAnsi="Times New Roman"/>
          <w:sz w:val="24"/>
        </w:rPr>
        <w:t>Reject the null hypothesis if the calculated p-value is less than 0.05; otherwise, fail to reject the null hypothesis.</w:t>
      </w:r>
    </w:p>
    <w:p w14:paraId="4548E176">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Table 4: Multiple Regression Analysis of the Combined Influence of Library Service Environment and Personnel Competence on Postgraduates' Continuous Intention to Use Library Resources (N = 420)</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6174"/>
        <w:gridCol w:w="496"/>
        <w:gridCol w:w="740"/>
        <w:gridCol w:w="786"/>
        <w:gridCol w:w="1160"/>
      </w:tblGrid>
      <w:tr w14:paraId="DB0643DC">
        <w:trPr>
          <w:tblHeader/>
          <w:tblCellSpacing w:w="15" w:type="dxa"/>
        </w:trPr>
        <w:tc>
          <w:tcPr>
            <w:tcW w:w="0" w:type="auto"/>
            <w:tcBorders>
              <w:top w:val="single" w:sz="4" w:space="0" w:color="auto"/>
              <w:bottom w:val="single" w:sz="4" w:space="0" w:color="auto"/>
            </w:tcBorders>
            <w:vAlign w:val="center"/>
            <w:hideMark/>
          </w:tcPr>
          <w:p w14:paraId="AB76C964">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Predictor Variables/Items</w:t>
            </w:r>
          </w:p>
        </w:tc>
        <w:tc>
          <w:tcPr>
            <w:tcW w:w="0" w:type="auto"/>
            <w:tcBorders>
              <w:top w:val="single" w:sz="4" w:space="0" w:color="auto"/>
              <w:bottom w:val="single" w:sz="4" w:space="0" w:color="auto"/>
            </w:tcBorders>
            <w:vAlign w:val="center"/>
            <w:hideMark/>
          </w:tcPr>
          <w:p w14:paraId="0F8A6877">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β</w:t>
            </w:r>
          </w:p>
        </w:tc>
        <w:tc>
          <w:tcPr>
            <w:tcW w:w="0" w:type="auto"/>
            <w:tcBorders>
              <w:top w:val="single" w:sz="4" w:space="0" w:color="auto"/>
              <w:bottom w:val="single" w:sz="4" w:space="0" w:color="auto"/>
            </w:tcBorders>
            <w:vAlign w:val="center"/>
            <w:hideMark/>
          </w:tcPr>
          <w:p w14:paraId="8F119A14">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t-value</w:t>
            </w:r>
          </w:p>
        </w:tc>
        <w:tc>
          <w:tcPr>
            <w:tcW w:w="0" w:type="auto"/>
            <w:tcBorders>
              <w:top w:val="single" w:sz="4" w:space="0" w:color="auto"/>
              <w:bottom w:val="single" w:sz="4" w:space="0" w:color="auto"/>
            </w:tcBorders>
            <w:vAlign w:val="center"/>
            <w:hideMark/>
          </w:tcPr>
          <w:p w14:paraId="FE3D076B">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p-value</w:t>
            </w:r>
          </w:p>
        </w:tc>
        <w:tc>
          <w:tcPr>
            <w:tcW w:w="0" w:type="auto"/>
            <w:tcBorders>
              <w:top w:val="single" w:sz="4" w:space="0" w:color="auto"/>
              <w:bottom w:val="single" w:sz="4" w:space="0" w:color="auto"/>
            </w:tcBorders>
            <w:vAlign w:val="center"/>
            <w:hideMark/>
          </w:tcPr>
          <w:p w14:paraId="008BCB3F">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Decision</w:t>
            </w:r>
          </w:p>
        </w:tc>
      </w:tr>
      <w:tr w14:paraId="DBAC0F83">
        <w:tblPrEx/>
        <w:trPr>
          <w:tblCellSpacing w:w="15" w:type="dxa"/>
        </w:trPr>
        <w:tc>
          <w:tcPr>
            <w:tcW w:w="0" w:type="auto"/>
            <w:tcBorders/>
            <w:vAlign w:val="center"/>
            <w:hideMark/>
          </w:tcPr>
          <w:p w14:paraId="A3015541">
            <w:pPr>
              <w:pStyle w:val="style0"/>
              <w:spacing w:after="0" w:lineRule="auto" w:line="360"/>
              <w:jc w:val="both"/>
              <w:rPr>
                <w:rFonts w:ascii="Times New Roman" w:cs="Times New Roman" w:hAnsi="Times New Roman"/>
                <w:sz w:val="24"/>
              </w:rPr>
            </w:pPr>
            <w:r>
              <w:rPr>
                <w:rFonts w:ascii="Times New Roman" w:cs="Times New Roman" w:hAnsi="Times New Roman"/>
                <w:sz w:val="24"/>
              </w:rPr>
              <w:t>Reliable library internet facilities</w:t>
            </w:r>
          </w:p>
        </w:tc>
        <w:tc>
          <w:tcPr>
            <w:tcW w:w="0" w:type="auto"/>
            <w:tcBorders/>
            <w:vAlign w:val="center"/>
            <w:hideMark/>
          </w:tcPr>
          <w:p w14:paraId="D34A981F">
            <w:pPr>
              <w:pStyle w:val="style0"/>
              <w:spacing w:after="0" w:lineRule="auto" w:line="360"/>
              <w:jc w:val="both"/>
              <w:rPr>
                <w:rFonts w:ascii="Times New Roman" w:cs="Times New Roman" w:hAnsi="Times New Roman"/>
                <w:sz w:val="24"/>
              </w:rPr>
            </w:pPr>
            <w:r>
              <w:rPr>
                <w:rFonts w:ascii="Times New Roman" w:cs="Times New Roman" w:hAnsi="Times New Roman"/>
                <w:sz w:val="24"/>
              </w:rPr>
              <w:t>.271</w:t>
            </w:r>
          </w:p>
        </w:tc>
        <w:tc>
          <w:tcPr>
            <w:tcW w:w="0" w:type="auto"/>
            <w:tcBorders/>
            <w:vAlign w:val="center"/>
            <w:hideMark/>
          </w:tcPr>
          <w:p w14:paraId="77483339">
            <w:pPr>
              <w:pStyle w:val="style0"/>
              <w:spacing w:after="0" w:lineRule="auto" w:line="360"/>
              <w:jc w:val="both"/>
              <w:rPr>
                <w:rFonts w:ascii="Times New Roman" w:cs="Times New Roman" w:hAnsi="Times New Roman"/>
                <w:sz w:val="24"/>
              </w:rPr>
            </w:pPr>
            <w:r>
              <w:rPr>
                <w:rFonts w:ascii="Times New Roman" w:cs="Times New Roman" w:hAnsi="Times New Roman"/>
                <w:sz w:val="24"/>
              </w:rPr>
              <w:t>5.927</w:t>
            </w:r>
          </w:p>
        </w:tc>
        <w:tc>
          <w:tcPr>
            <w:tcW w:w="0" w:type="auto"/>
            <w:tcBorders/>
            <w:vAlign w:val="center"/>
            <w:hideMark/>
          </w:tcPr>
          <w:p w14:paraId="483CAAB4">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F0ED9044">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r w14:paraId="0C2CEA92">
        <w:tblPrEx/>
        <w:trPr>
          <w:tblCellSpacing w:w="15" w:type="dxa"/>
        </w:trPr>
        <w:tc>
          <w:tcPr>
            <w:tcW w:w="0" w:type="auto"/>
            <w:tcBorders/>
            <w:vAlign w:val="center"/>
            <w:hideMark/>
          </w:tcPr>
          <w:p w14:paraId="88D092CE">
            <w:pPr>
              <w:pStyle w:val="style0"/>
              <w:spacing w:after="0" w:lineRule="auto" w:line="360"/>
              <w:jc w:val="both"/>
              <w:rPr>
                <w:rFonts w:ascii="Times New Roman" w:cs="Times New Roman" w:hAnsi="Times New Roman"/>
                <w:sz w:val="24"/>
              </w:rPr>
            </w:pPr>
            <w:r>
              <w:rPr>
                <w:rFonts w:ascii="Times New Roman" w:cs="Times New Roman" w:hAnsi="Times New Roman"/>
                <w:sz w:val="24"/>
              </w:rPr>
              <w:t>Conducive physical library environment</w:t>
            </w:r>
          </w:p>
        </w:tc>
        <w:tc>
          <w:tcPr>
            <w:tcW w:w="0" w:type="auto"/>
            <w:tcBorders/>
            <w:vAlign w:val="center"/>
            <w:hideMark/>
          </w:tcPr>
          <w:p w14:paraId="5AC27E57">
            <w:pPr>
              <w:pStyle w:val="style0"/>
              <w:spacing w:after="0" w:lineRule="auto" w:line="360"/>
              <w:jc w:val="both"/>
              <w:rPr>
                <w:rFonts w:ascii="Times New Roman" w:cs="Times New Roman" w:hAnsi="Times New Roman"/>
                <w:sz w:val="24"/>
              </w:rPr>
            </w:pPr>
            <w:r>
              <w:rPr>
                <w:rFonts w:ascii="Times New Roman" w:cs="Times New Roman" w:hAnsi="Times New Roman"/>
                <w:sz w:val="24"/>
              </w:rPr>
              <w:t>.246</w:t>
            </w:r>
          </w:p>
        </w:tc>
        <w:tc>
          <w:tcPr>
            <w:tcW w:w="0" w:type="auto"/>
            <w:tcBorders/>
            <w:vAlign w:val="center"/>
            <w:hideMark/>
          </w:tcPr>
          <w:p w14:paraId="42D07149">
            <w:pPr>
              <w:pStyle w:val="style0"/>
              <w:spacing w:after="0" w:lineRule="auto" w:line="360"/>
              <w:jc w:val="both"/>
              <w:rPr>
                <w:rFonts w:ascii="Times New Roman" w:cs="Times New Roman" w:hAnsi="Times New Roman"/>
                <w:sz w:val="24"/>
              </w:rPr>
            </w:pPr>
            <w:r>
              <w:rPr>
                <w:rFonts w:ascii="Times New Roman" w:cs="Times New Roman" w:hAnsi="Times New Roman"/>
                <w:sz w:val="24"/>
              </w:rPr>
              <w:t>5.364</w:t>
            </w:r>
          </w:p>
        </w:tc>
        <w:tc>
          <w:tcPr>
            <w:tcW w:w="0" w:type="auto"/>
            <w:tcBorders/>
            <w:vAlign w:val="center"/>
            <w:hideMark/>
          </w:tcPr>
          <w:p w14:paraId="D0FA0D2F">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4E2BA423">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r w14:paraId="5D59E03B">
        <w:tblPrEx/>
        <w:trPr>
          <w:tblCellSpacing w:w="15" w:type="dxa"/>
        </w:trPr>
        <w:tc>
          <w:tcPr>
            <w:tcW w:w="0" w:type="auto"/>
            <w:tcBorders/>
            <w:vAlign w:val="center"/>
            <w:hideMark/>
          </w:tcPr>
          <w:p w14:paraId="AD6B27F2">
            <w:pPr>
              <w:pStyle w:val="style0"/>
              <w:spacing w:after="0" w:lineRule="auto" w:line="360"/>
              <w:jc w:val="both"/>
              <w:rPr>
                <w:rFonts w:ascii="Times New Roman" w:cs="Times New Roman" w:hAnsi="Times New Roman"/>
                <w:sz w:val="24"/>
              </w:rPr>
            </w:pPr>
            <w:r>
              <w:rPr>
                <w:rFonts w:ascii="Times New Roman" w:cs="Times New Roman" w:hAnsi="Times New Roman"/>
                <w:sz w:val="24"/>
              </w:rPr>
              <w:t>Professional competence of library personnel</w:t>
            </w:r>
          </w:p>
        </w:tc>
        <w:tc>
          <w:tcPr>
            <w:tcW w:w="0" w:type="auto"/>
            <w:tcBorders/>
            <w:vAlign w:val="center"/>
            <w:hideMark/>
          </w:tcPr>
          <w:p w14:paraId="FF501275">
            <w:pPr>
              <w:pStyle w:val="style0"/>
              <w:spacing w:after="0" w:lineRule="auto" w:line="360"/>
              <w:jc w:val="both"/>
              <w:rPr>
                <w:rFonts w:ascii="Times New Roman" w:cs="Times New Roman" w:hAnsi="Times New Roman"/>
                <w:sz w:val="24"/>
              </w:rPr>
            </w:pPr>
            <w:r>
              <w:rPr>
                <w:rFonts w:ascii="Times New Roman" w:cs="Times New Roman" w:hAnsi="Times New Roman"/>
                <w:sz w:val="24"/>
              </w:rPr>
              <w:t>.314</w:t>
            </w:r>
          </w:p>
        </w:tc>
        <w:tc>
          <w:tcPr>
            <w:tcW w:w="0" w:type="auto"/>
            <w:tcBorders/>
            <w:vAlign w:val="center"/>
            <w:hideMark/>
          </w:tcPr>
          <w:p w14:paraId="82323C35">
            <w:pPr>
              <w:pStyle w:val="style0"/>
              <w:spacing w:after="0" w:lineRule="auto" w:line="360"/>
              <w:jc w:val="both"/>
              <w:rPr>
                <w:rFonts w:ascii="Times New Roman" w:cs="Times New Roman" w:hAnsi="Times New Roman"/>
                <w:sz w:val="24"/>
              </w:rPr>
            </w:pPr>
            <w:r>
              <w:rPr>
                <w:rFonts w:ascii="Times New Roman" w:cs="Times New Roman" w:hAnsi="Times New Roman"/>
                <w:sz w:val="24"/>
              </w:rPr>
              <w:t>6.711</w:t>
            </w:r>
          </w:p>
        </w:tc>
        <w:tc>
          <w:tcPr>
            <w:tcW w:w="0" w:type="auto"/>
            <w:tcBorders/>
            <w:vAlign w:val="center"/>
            <w:hideMark/>
          </w:tcPr>
          <w:p w14:paraId="311EE51A">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5FB8DFC7">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r w14:paraId="B2BA3DDC">
        <w:tblPrEx/>
        <w:trPr>
          <w:tblCellSpacing w:w="15" w:type="dxa"/>
        </w:trPr>
        <w:tc>
          <w:tcPr>
            <w:tcW w:w="0" w:type="auto"/>
            <w:tcBorders/>
            <w:vAlign w:val="center"/>
            <w:hideMark/>
          </w:tcPr>
          <w:p w14:paraId="710F155A">
            <w:pPr>
              <w:pStyle w:val="style0"/>
              <w:spacing w:after="0" w:lineRule="auto" w:line="360"/>
              <w:jc w:val="both"/>
              <w:rPr>
                <w:rFonts w:ascii="Times New Roman" w:cs="Times New Roman" w:hAnsi="Times New Roman"/>
                <w:sz w:val="24"/>
              </w:rPr>
            </w:pPr>
            <w:r>
              <w:rPr>
                <w:rFonts w:ascii="Times New Roman" w:cs="Times New Roman" w:hAnsi="Times New Roman"/>
                <w:sz w:val="24"/>
              </w:rPr>
              <w:t>Prompt guidance and support from library staff</w:t>
            </w:r>
          </w:p>
        </w:tc>
        <w:tc>
          <w:tcPr>
            <w:tcW w:w="0" w:type="auto"/>
            <w:tcBorders/>
            <w:vAlign w:val="center"/>
            <w:hideMark/>
          </w:tcPr>
          <w:p w14:paraId="20DAEB94">
            <w:pPr>
              <w:pStyle w:val="style0"/>
              <w:spacing w:after="0" w:lineRule="auto" w:line="360"/>
              <w:jc w:val="both"/>
              <w:rPr>
                <w:rFonts w:ascii="Times New Roman" w:cs="Times New Roman" w:hAnsi="Times New Roman"/>
                <w:sz w:val="24"/>
              </w:rPr>
            </w:pPr>
            <w:r>
              <w:rPr>
                <w:rFonts w:ascii="Times New Roman" w:cs="Times New Roman" w:hAnsi="Times New Roman"/>
                <w:sz w:val="24"/>
              </w:rPr>
              <w:t>.283</w:t>
            </w:r>
          </w:p>
        </w:tc>
        <w:tc>
          <w:tcPr>
            <w:tcW w:w="0" w:type="auto"/>
            <w:tcBorders/>
            <w:vAlign w:val="center"/>
            <w:hideMark/>
          </w:tcPr>
          <w:p w14:paraId="A6D23934">
            <w:pPr>
              <w:pStyle w:val="style0"/>
              <w:spacing w:after="0" w:lineRule="auto" w:line="360"/>
              <w:jc w:val="both"/>
              <w:rPr>
                <w:rFonts w:ascii="Times New Roman" w:cs="Times New Roman" w:hAnsi="Times New Roman"/>
                <w:sz w:val="24"/>
              </w:rPr>
            </w:pPr>
            <w:r>
              <w:rPr>
                <w:rFonts w:ascii="Times New Roman" w:cs="Times New Roman" w:hAnsi="Times New Roman"/>
                <w:sz w:val="24"/>
              </w:rPr>
              <w:t>6.084</w:t>
            </w:r>
          </w:p>
        </w:tc>
        <w:tc>
          <w:tcPr>
            <w:tcW w:w="0" w:type="auto"/>
            <w:tcBorders/>
            <w:vAlign w:val="center"/>
            <w:hideMark/>
          </w:tcPr>
          <w:p w14:paraId="3D61D0A8">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C1D23D9E">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r w14:paraId="5AF9679A">
        <w:tblPrEx/>
        <w:trPr>
          <w:tblCellSpacing w:w="15" w:type="dxa"/>
        </w:trPr>
        <w:tc>
          <w:tcPr>
            <w:tcW w:w="0" w:type="auto"/>
            <w:tcBorders/>
            <w:vAlign w:val="center"/>
            <w:hideMark/>
          </w:tcPr>
          <w:p w14:paraId="AE7F99F6">
            <w:pPr>
              <w:pStyle w:val="style0"/>
              <w:spacing w:after="0" w:lineRule="auto" w:line="360"/>
              <w:jc w:val="both"/>
              <w:rPr>
                <w:rFonts w:ascii="Times New Roman" w:cs="Times New Roman" w:hAnsi="Times New Roman"/>
                <w:sz w:val="24"/>
              </w:rPr>
            </w:pPr>
            <w:r>
              <w:rPr>
                <w:rFonts w:ascii="Times New Roman" w:cs="Times New Roman" w:hAnsi="Times New Roman"/>
                <w:sz w:val="24"/>
              </w:rPr>
              <w:t>Accessibility of digital resources facilitated by library personnel</w:t>
            </w:r>
          </w:p>
        </w:tc>
        <w:tc>
          <w:tcPr>
            <w:tcW w:w="0" w:type="auto"/>
            <w:tcBorders/>
            <w:vAlign w:val="center"/>
            <w:hideMark/>
          </w:tcPr>
          <w:p w14:paraId="C04E0AD1">
            <w:pPr>
              <w:pStyle w:val="style0"/>
              <w:spacing w:after="0" w:lineRule="auto" w:line="360"/>
              <w:jc w:val="both"/>
              <w:rPr>
                <w:rFonts w:ascii="Times New Roman" w:cs="Times New Roman" w:hAnsi="Times New Roman"/>
                <w:sz w:val="24"/>
              </w:rPr>
            </w:pPr>
            <w:r>
              <w:rPr>
                <w:rFonts w:ascii="Times New Roman" w:cs="Times New Roman" w:hAnsi="Times New Roman"/>
                <w:sz w:val="24"/>
              </w:rPr>
              <w:t>.297</w:t>
            </w:r>
          </w:p>
        </w:tc>
        <w:tc>
          <w:tcPr>
            <w:tcW w:w="0" w:type="auto"/>
            <w:tcBorders/>
            <w:vAlign w:val="center"/>
            <w:hideMark/>
          </w:tcPr>
          <w:p w14:paraId="DF933CC4">
            <w:pPr>
              <w:pStyle w:val="style0"/>
              <w:spacing w:after="0" w:lineRule="auto" w:line="360"/>
              <w:jc w:val="both"/>
              <w:rPr>
                <w:rFonts w:ascii="Times New Roman" w:cs="Times New Roman" w:hAnsi="Times New Roman"/>
                <w:sz w:val="24"/>
              </w:rPr>
            </w:pPr>
            <w:r>
              <w:rPr>
                <w:rFonts w:ascii="Times New Roman" w:cs="Times New Roman" w:hAnsi="Times New Roman"/>
                <w:sz w:val="24"/>
              </w:rPr>
              <w:t>6.458</w:t>
            </w:r>
          </w:p>
        </w:tc>
        <w:tc>
          <w:tcPr>
            <w:tcW w:w="0" w:type="auto"/>
            <w:tcBorders/>
            <w:vAlign w:val="center"/>
            <w:hideMark/>
          </w:tcPr>
          <w:p w14:paraId="50E9AED0">
            <w:pPr>
              <w:pStyle w:val="style0"/>
              <w:spacing w:after="0" w:lineRule="auto" w:line="360"/>
              <w:jc w:val="both"/>
              <w:rPr>
                <w:rFonts w:ascii="Times New Roman" w:cs="Times New Roman" w:hAnsi="Times New Roman"/>
                <w:sz w:val="24"/>
              </w:rPr>
            </w:pPr>
            <w:r>
              <w:rPr>
                <w:rFonts w:ascii="Times New Roman" w:cs="Times New Roman" w:hAnsi="Times New Roman"/>
                <w:sz w:val="24"/>
              </w:rPr>
              <w:t>.000</w:t>
            </w:r>
          </w:p>
        </w:tc>
        <w:tc>
          <w:tcPr>
            <w:tcW w:w="0" w:type="auto"/>
            <w:tcBorders/>
            <w:vAlign w:val="center"/>
            <w:hideMark/>
          </w:tcPr>
          <w:p w14:paraId="8DDE5CED">
            <w:pPr>
              <w:pStyle w:val="style0"/>
              <w:spacing w:after="0" w:lineRule="auto" w:line="360"/>
              <w:jc w:val="both"/>
              <w:rPr>
                <w:rFonts w:ascii="Times New Roman" w:cs="Times New Roman" w:hAnsi="Times New Roman"/>
                <w:sz w:val="24"/>
              </w:rPr>
            </w:pPr>
            <w:r>
              <w:rPr>
                <w:rFonts w:ascii="Times New Roman" w:cs="Times New Roman" w:hAnsi="Times New Roman"/>
                <w:sz w:val="24"/>
              </w:rPr>
              <w:t>Significant</w:t>
            </w:r>
          </w:p>
        </w:tc>
      </w:tr>
    </w:tbl>
    <w:p w14:paraId="BDC73105">
      <w:pPr>
        <w:pStyle w:val="style0"/>
        <w:spacing w:lineRule="auto" w:line="360"/>
        <w:jc w:val="both"/>
        <w:rPr>
          <w:rFonts w:ascii="Times New Roman" w:cs="Times New Roman" w:hAnsi="Times New Roman"/>
          <w:sz w:val="24"/>
        </w:rPr>
      </w:pPr>
      <w:r>
        <w:rPr>
          <w:rFonts w:ascii="Times New Roman" w:cs="Times New Roman" w:hAnsi="Times New Roman"/>
          <w:b/>
          <w:bCs/>
          <w:sz w:val="24"/>
        </w:rPr>
        <w:t>Model Summary:</w:t>
      </w:r>
      <w:r>
        <w:rPr>
          <w:rFonts w:ascii="Times New Roman" w:cs="Times New Roman" w:hAnsi="Times New Roman"/>
          <w:sz w:val="24"/>
        </w:rPr>
        <w:t xml:space="preserve"> R = .801; R² = .642; Adjusted R² = .638; </w:t>
      </w:r>
      <w:r>
        <w:rPr>
          <w:rFonts w:ascii="Times New Roman" w:cs="Times New Roman" w:hAnsi="Times New Roman"/>
          <w:sz w:val="24"/>
        </w:rPr>
        <w:t>F(</w:t>
      </w:r>
      <w:r>
        <w:rPr>
          <w:rFonts w:ascii="Times New Roman" w:cs="Times New Roman" w:hAnsi="Times New Roman"/>
          <w:sz w:val="24"/>
        </w:rPr>
        <w:t>2,417) = 373.84; p = .000.</w:t>
      </w:r>
    </w:p>
    <w:p w14:paraId="B3208656">
      <w:pPr>
        <w:pStyle w:val="style0"/>
        <w:spacing w:lineRule="auto" w:line="360"/>
        <w:jc w:val="both"/>
        <w:rPr>
          <w:rFonts w:ascii="Times New Roman" w:cs="Times New Roman" w:hAnsi="Times New Roman"/>
          <w:sz w:val="24"/>
        </w:rPr>
      </w:pPr>
      <w:r>
        <w:rPr>
          <w:rFonts w:ascii="Times New Roman" w:cs="Times New Roman" w:hAnsi="Times New Roman"/>
          <w:b/>
          <w:bCs/>
          <w:sz w:val="24"/>
        </w:rPr>
        <w:t>Source: Field Report, 2026</w:t>
      </w:r>
    </w:p>
    <w:p w14:paraId="E17418A4">
      <w:pPr>
        <w:pStyle w:val="style0"/>
        <w:spacing w:lineRule="auto" w:line="360"/>
        <w:jc w:val="both"/>
        <w:rPr>
          <w:rFonts w:ascii="Times New Roman" w:cs="Times New Roman" w:hAnsi="Times New Roman"/>
          <w:sz w:val="24"/>
        </w:rPr>
      </w:pPr>
      <w:r>
        <w:rPr>
          <w:rFonts w:ascii="Times New Roman" w:cs="Times New Roman" w:hAnsi="Times New Roman"/>
          <w:sz w:val="24"/>
        </w:rPr>
        <w:t>Table 4 presents the combined influence of library service environment and personnel competence on postgraduates' continuous intention to use library resources. The multiple correlation coefficient (R = .801) indicates a very strong positive relationship between the predictor variables and the criterion variable. The coefficient of determination (R² = .642) implies that the two predictor variables jointly explained approximately 64.2% of the variation in postgraduates' continuous intention to use library resources. The F-value of 373.84 and p-value of .000 indicate that the regression model was highly significant. The beta coefficients further show that both environmental and personnel-related variables significantly contributed to predicting continuous intention to use library resources. The findings suggest that postgraduate students are more likely to sustain their utilisation of library resources when they experience conducive library environments and receive competent professional support from library personnel. Consequently, the null hypothesis was rejected.</w:t>
      </w:r>
    </w:p>
    <w:p w14:paraId="9D914B03">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Discussion of Findings</w:t>
      </w:r>
    </w:p>
    <w:p w14:paraId="BA0E649B">
      <w:pPr>
        <w:pStyle w:val="style0"/>
        <w:spacing w:lineRule="auto" w:line="360"/>
        <w:jc w:val="both"/>
        <w:rPr>
          <w:rFonts w:ascii="Times New Roman" w:cs="Times New Roman" w:hAnsi="Times New Roman"/>
          <w:sz w:val="24"/>
        </w:rPr>
      </w:pPr>
      <w:r>
        <w:rPr>
          <w:rFonts w:ascii="Times New Roman" w:cs="Times New Roman" w:hAnsi="Times New Roman"/>
          <w:b/>
          <w:bCs/>
          <w:sz w:val="24"/>
        </w:rPr>
        <w:tab/>
      </w:r>
      <w:r>
        <w:rPr>
          <w:rFonts w:ascii="Times New Roman" w:cs="Times New Roman" w:hAnsi="Times New Roman"/>
          <w:sz w:val="24"/>
        </w:rPr>
        <w:t xml:space="preserve">The findings of Hypothesis One revealed that library service environment significantly influenced postgraduates' continuous intention to use library resources in public universities in Lagos and Ogun States, Nigeria. The strong positive relationship obtained from the regression </w:t>
      </w:r>
      <w:r>
        <w:rPr>
          <w:rFonts w:ascii="Times New Roman" w:cs="Times New Roman" w:hAnsi="Times New Roman"/>
          <w:sz w:val="24"/>
        </w:rPr>
        <w:t xml:space="preserve">analysis indicates that conducive reading spaces, reliable internet connectivity, accessibility of electronic databases, environmental comfort, and modern information technology facilities enhanced students' willingness to continuously </w:t>
      </w:r>
      <w:r>
        <w:rPr>
          <w:rFonts w:ascii="Times New Roman" w:cs="Times New Roman" w:hAnsi="Times New Roman"/>
          <w:sz w:val="24"/>
        </w:rPr>
        <w:t>utilise</w:t>
      </w:r>
      <w:r>
        <w:rPr>
          <w:rFonts w:ascii="Times New Roman" w:cs="Times New Roman" w:hAnsi="Times New Roman"/>
          <w:sz w:val="24"/>
        </w:rPr>
        <w:t xml:space="preserve"> library resources. The finding corroborates the study of </w:t>
      </w:r>
      <w:r>
        <w:rPr>
          <w:rFonts w:ascii="Times New Roman" w:cs="Times New Roman" w:hAnsi="Times New Roman"/>
          <w:sz w:val="24"/>
        </w:rPr>
        <w:t>Yeboah</w:t>
      </w:r>
      <w:r>
        <w:rPr>
          <w:rFonts w:ascii="Times New Roman" w:cs="Times New Roman" w:hAnsi="Times New Roman"/>
          <w:sz w:val="24"/>
        </w:rPr>
        <w:t xml:space="preserve"> et al. (2026), who reported that technological infrastructure and supportive learning environments significantly promoted postgraduate students' sustained utilisation of electronic library services in Ghanaian universities. The result is also consistent with the findings of </w:t>
      </w:r>
      <w:r>
        <w:rPr>
          <w:rFonts w:ascii="Times New Roman" w:cs="Times New Roman" w:hAnsi="Times New Roman"/>
          <w:sz w:val="24"/>
        </w:rPr>
        <w:t>Ifijeh</w:t>
      </w:r>
      <w:r>
        <w:rPr>
          <w:rFonts w:ascii="Times New Roman" w:cs="Times New Roman" w:hAnsi="Times New Roman"/>
          <w:sz w:val="24"/>
        </w:rPr>
        <w:t xml:space="preserve"> and Yusuf (2020), who established that digital readiness and conducive library environments were indispensable for maintaining users' engagement with library services in Nigerian universities. However, the finding contradicts the study of </w:t>
      </w:r>
      <w:r>
        <w:rPr>
          <w:rFonts w:ascii="Times New Roman" w:cs="Times New Roman" w:hAnsi="Times New Roman"/>
          <w:sz w:val="24"/>
        </w:rPr>
        <w:t>Masele</w:t>
      </w:r>
      <w:r>
        <w:rPr>
          <w:rFonts w:ascii="Times New Roman" w:cs="Times New Roman" w:hAnsi="Times New Roman"/>
          <w:sz w:val="24"/>
        </w:rPr>
        <w:t xml:space="preserve"> and </w:t>
      </w:r>
      <w:r>
        <w:rPr>
          <w:rFonts w:ascii="Times New Roman" w:cs="Times New Roman" w:hAnsi="Times New Roman"/>
          <w:sz w:val="24"/>
        </w:rPr>
        <w:t>Rwehikiza</w:t>
      </w:r>
      <w:r>
        <w:rPr>
          <w:rFonts w:ascii="Times New Roman" w:cs="Times New Roman" w:hAnsi="Times New Roman"/>
          <w:sz w:val="24"/>
        </w:rPr>
        <w:t xml:space="preserve"> (2021), which found that environmental conditions exerted only a marginal influence on postgraduate students' information-seeking behaviour because users were more concerned with resource availability than physical surroundings. The present finding therefore suggests that library service environment has become a strategic factor in sustaining continuous library utilisation among postgraduate students.</w:t>
      </w:r>
    </w:p>
    <w:p w14:paraId="C9D3AAEB">
      <w:pPr>
        <w:pStyle w:val="style0"/>
        <w:spacing w:lineRule="auto" w:line="360"/>
        <w:jc w:val="both"/>
        <w:rPr>
          <w:rFonts w:ascii="Times New Roman" w:cs="Times New Roman" w:hAnsi="Times New Roman"/>
          <w:sz w:val="24"/>
        </w:rPr>
      </w:pPr>
      <w:r>
        <w:rPr>
          <w:rFonts w:ascii="Times New Roman" w:cs="Times New Roman" w:hAnsi="Times New Roman"/>
          <w:b/>
          <w:bCs/>
          <w:sz w:val="24"/>
        </w:rPr>
        <w:tab/>
      </w:r>
      <w:r>
        <w:rPr>
          <w:rFonts w:ascii="Times New Roman" w:cs="Times New Roman" w:hAnsi="Times New Roman"/>
          <w:sz w:val="24"/>
        </w:rPr>
        <w:t xml:space="preserve">The findings of Hypothesis Two showed that personnel competence significantly influenced postgraduates' continuous intention to use library resources. The result demonstrates that professional expertise, effective communication skills, prompt assistance, and guidance from library personnel significantly encouraged postgraduate students to repeatedly use library resources. This finding supports the study of </w:t>
      </w:r>
      <w:r>
        <w:rPr>
          <w:rFonts w:ascii="Times New Roman" w:cs="Times New Roman" w:hAnsi="Times New Roman"/>
          <w:sz w:val="24"/>
        </w:rPr>
        <w:t>Ogunmodede</w:t>
      </w:r>
      <w:r>
        <w:rPr>
          <w:rFonts w:ascii="Times New Roman" w:cs="Times New Roman" w:hAnsi="Times New Roman"/>
          <w:sz w:val="24"/>
        </w:rPr>
        <w:t xml:space="preserve"> et al. (2023), which reported that competent academic librarians significantly enhanced users' satisfaction and information access experiences in Nigerian universities. Similarly, the finding corroborates </w:t>
      </w:r>
      <w:r>
        <w:rPr>
          <w:rFonts w:ascii="Times New Roman" w:cs="Times New Roman" w:hAnsi="Times New Roman"/>
          <w:sz w:val="24"/>
        </w:rPr>
        <w:t>Arinola</w:t>
      </w:r>
      <w:r>
        <w:rPr>
          <w:rFonts w:ascii="Times New Roman" w:cs="Times New Roman" w:hAnsi="Times New Roman"/>
          <w:sz w:val="24"/>
        </w:rPr>
        <w:t xml:space="preserve"> et al. (2025), who found that responsive and professionally competent library personnel positively influenced the utilisation of library resources among postgraduate students. Nevertheless, the finding disagrees with </w:t>
      </w:r>
      <w:r>
        <w:rPr>
          <w:rFonts w:ascii="Times New Roman" w:cs="Times New Roman" w:hAnsi="Times New Roman"/>
          <w:sz w:val="24"/>
        </w:rPr>
        <w:t>Nugroho</w:t>
      </w:r>
      <w:r>
        <w:rPr>
          <w:rFonts w:ascii="Times New Roman" w:cs="Times New Roman" w:hAnsi="Times New Roman"/>
          <w:sz w:val="24"/>
        </w:rPr>
        <w:t xml:space="preserve"> et al. (2022), who concluded that users' continuance intentions in online library environments were largely determined by technological factors rather than staff competencies. The discrepancy may be attributed to contextual differences between developed and developing information environments where professional guidance remains critical in facilitating access to complex information systems. The finding therefore underscores the indispensable role of human competencies in sustaining postgraduate students' engagement with library resources.</w:t>
      </w:r>
    </w:p>
    <w:p w14:paraId="BD0A0E51">
      <w:pPr>
        <w:pStyle w:val="style0"/>
        <w:spacing w:lineRule="auto" w:line="360"/>
        <w:jc w:val="both"/>
        <w:rPr>
          <w:rFonts w:ascii="Times New Roman" w:cs="Times New Roman" w:hAnsi="Times New Roman"/>
          <w:sz w:val="24"/>
        </w:rPr>
      </w:pPr>
      <w:r>
        <w:rPr>
          <w:rFonts w:ascii="Times New Roman" w:cs="Times New Roman" w:hAnsi="Times New Roman"/>
          <w:b/>
          <w:bCs/>
          <w:sz w:val="24"/>
        </w:rPr>
        <w:tab/>
      </w:r>
      <w:r>
        <w:rPr>
          <w:rFonts w:ascii="Times New Roman" w:cs="Times New Roman" w:hAnsi="Times New Roman"/>
          <w:sz w:val="24"/>
        </w:rPr>
        <w:t xml:space="preserve">The findings of Hypothesis Three revealed that library service environment and personnel competence jointly exerted a significant influence on postgraduates' continuous intention to use library resources. The high coefficient of determination indicates that the combined effect of conducive environments and competent personnel substantially predicted sustained library utilisation behaviours among postgraduate students. This finding agrees with </w:t>
      </w:r>
      <w:r>
        <w:rPr>
          <w:rFonts w:ascii="Times New Roman" w:cs="Times New Roman" w:hAnsi="Times New Roman"/>
          <w:sz w:val="24"/>
        </w:rPr>
        <w:t>Yeboah</w:t>
      </w:r>
      <w:r>
        <w:rPr>
          <w:rFonts w:ascii="Times New Roman" w:cs="Times New Roman" w:hAnsi="Times New Roman"/>
          <w:sz w:val="24"/>
        </w:rPr>
        <w:t xml:space="preserve"> et al. (2026), who reported that technological infrastructure and professional support jointly enhanced users' intentions to continuously engage with electronic information services. The finding also supports the position of </w:t>
      </w:r>
      <w:r>
        <w:rPr>
          <w:rFonts w:ascii="Times New Roman" w:cs="Times New Roman" w:hAnsi="Times New Roman"/>
          <w:sz w:val="24"/>
        </w:rPr>
        <w:t>Arinola</w:t>
      </w:r>
      <w:r>
        <w:rPr>
          <w:rFonts w:ascii="Times New Roman" w:cs="Times New Roman" w:hAnsi="Times New Roman"/>
          <w:sz w:val="24"/>
        </w:rPr>
        <w:t xml:space="preserve"> et al. (2025), which showed that environmental and service-related variables collectively influenced library resource utilisation among postgraduate students in Nigeria. Conversely, the finding contradicts </w:t>
      </w:r>
      <w:r>
        <w:rPr>
          <w:rFonts w:ascii="Times New Roman" w:cs="Times New Roman" w:hAnsi="Times New Roman"/>
          <w:sz w:val="24"/>
        </w:rPr>
        <w:t>Olatokun</w:t>
      </w:r>
      <w:r>
        <w:rPr>
          <w:rFonts w:ascii="Times New Roman" w:cs="Times New Roman" w:hAnsi="Times New Roman"/>
          <w:sz w:val="24"/>
        </w:rPr>
        <w:t xml:space="preserve"> and </w:t>
      </w:r>
      <w:r>
        <w:rPr>
          <w:rFonts w:ascii="Times New Roman" w:cs="Times New Roman" w:hAnsi="Times New Roman"/>
          <w:sz w:val="24"/>
        </w:rPr>
        <w:t>Aina</w:t>
      </w:r>
      <w:r>
        <w:rPr>
          <w:rFonts w:ascii="Times New Roman" w:cs="Times New Roman" w:hAnsi="Times New Roman"/>
          <w:sz w:val="24"/>
        </w:rPr>
        <w:t xml:space="preserve"> (2023), who observed that research productivity and information resource utilisation were primarily influenced by individual motivation and information literacy competencies rather than institutional factors. The present study therefore establishes that library service environment and personnel competence function synergistically to shape continuous intention to use library resources. Libraries that simultaneously provide conducive service environments and competent professional support are more likely to sustain postgraduate students' patronage and strengthen research productivity within public universities.</w:t>
      </w:r>
    </w:p>
    <w:p w14:paraId="DAE37999">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Conclusion</w:t>
      </w:r>
    </w:p>
    <w:p w14:paraId="687341DF">
      <w:pPr>
        <w:pStyle w:val="style0"/>
        <w:spacing w:lineRule="auto" w:line="360"/>
        <w:jc w:val="both"/>
        <w:rPr>
          <w:rFonts w:ascii="Times New Roman" w:cs="Times New Roman" w:hAnsi="Times New Roman"/>
          <w:sz w:val="24"/>
        </w:rPr>
      </w:pPr>
      <w:r>
        <w:rPr>
          <w:rFonts w:ascii="Times New Roman" w:cs="Times New Roman" w:hAnsi="Times New Roman"/>
          <w:sz w:val="24"/>
        </w:rPr>
        <w:t>The study concluded that postgraduates' continuous intention to use library resources in public universities in Lagos and Ogun States is significantly influenced by both environmental and human service factors within the university library system. The findings demonstrated that library service environment exerted a significant positive influence on continuous intention to use library resources, accounting for 45.4% of the variance in the criterion variable (R² = .454; p &lt; .05). This implies that reliable internet connectivity, conducive reading spaces, accessibility of electronic databases, and adequate technological infrastructure are essential determinants of sustained library patronage among postgraduate students. The study also established that personnel competence significantly influenced postgraduates' continuous intention to use library resources, explaining 50.7% of the variance (R² = .507; p &lt; .05). The result indicates that professional expertise, prompt assistance, effective communication, and information guidance provided by library personnel encourage repeated utilisation of library resources.</w:t>
      </w:r>
    </w:p>
    <w:p w14:paraId="BA69FA71">
      <w:pPr>
        <w:pStyle w:val="style0"/>
        <w:spacing w:lineRule="auto" w:line="360"/>
        <w:jc w:val="both"/>
        <w:rPr>
          <w:rFonts w:ascii="Times New Roman" w:cs="Times New Roman" w:hAnsi="Times New Roman"/>
          <w:sz w:val="24"/>
        </w:rPr>
      </w:pPr>
      <w:r>
        <w:rPr>
          <w:rFonts w:ascii="Times New Roman" w:cs="Times New Roman" w:hAnsi="Times New Roman"/>
          <w:sz w:val="24"/>
        </w:rPr>
        <w:t>Furthermore, the study revealed that library service environment and personnel competence jointly exerted a stronger predictive influence on postgraduates' continuous intention to use library resources, accounting for 64.2% of the variance in the outcome variable (R² = .642; p &lt; .05). The study therefore concluded that the sustainability of postgraduate library utilisation depends on the simultaneous provision of conducive library environments and professionally competent personnel. Universities that strategically invest in both dimensions are more likely to enhance continuous library patronage, strengthen research productivity, and improve the quality of postgraduate scholarship and knowledge production.</w:t>
      </w:r>
    </w:p>
    <w:p w14:paraId="C18CF9E6">
      <w:pPr>
        <w:pStyle w:val="style0"/>
        <w:spacing w:lineRule="auto" w:line="360"/>
        <w:jc w:val="both"/>
        <w:rPr>
          <w:rFonts w:ascii="Times New Roman" w:cs="Times New Roman" w:hAnsi="Times New Roman"/>
          <w:b/>
          <w:bCs/>
          <w:sz w:val="24"/>
        </w:rPr>
      </w:pPr>
      <w:r>
        <w:rPr>
          <w:rFonts w:ascii="Times New Roman" w:cs="Times New Roman" w:hAnsi="Times New Roman"/>
          <w:b/>
          <w:bCs/>
          <w:sz w:val="24"/>
        </w:rPr>
        <w:t>Recommendations</w:t>
      </w:r>
    </w:p>
    <w:p w14:paraId="FBF732D0">
      <w:pPr>
        <w:pStyle w:val="style0"/>
        <w:spacing w:lineRule="auto" w:line="360"/>
        <w:jc w:val="both"/>
        <w:rPr>
          <w:rFonts w:ascii="Times New Roman" w:cs="Times New Roman" w:hAnsi="Times New Roman"/>
          <w:sz w:val="24"/>
        </w:rPr>
      </w:pPr>
      <w:r>
        <w:rPr>
          <w:rFonts w:ascii="Times New Roman" w:cs="Times New Roman" w:hAnsi="Times New Roman"/>
          <w:sz w:val="24"/>
        </w:rPr>
        <w:t>The findings of this study have significant implications for university management, library administrators, policymakers, and professional librarians. Since continuous utilisation of library resources is crucial to postgraduate research productivity and academic success, concerted efforts should be directed towards improving environmental conditions and strengthening human resource capabilities within university libraries. Based on the findings of the study, the following recommendations are made:</w:t>
      </w:r>
    </w:p>
    <w:p w14:paraId="2C58FBE8">
      <w:pPr>
        <w:pStyle w:val="style0"/>
        <w:numPr>
          <w:ilvl w:val="0"/>
          <w:numId w:val="3"/>
        </w:numPr>
        <w:spacing w:lineRule="auto" w:line="360"/>
        <w:jc w:val="both"/>
        <w:rPr>
          <w:rFonts w:ascii="Times New Roman" w:cs="Times New Roman" w:hAnsi="Times New Roman"/>
          <w:sz w:val="24"/>
        </w:rPr>
      </w:pPr>
      <w:r>
        <w:rPr>
          <w:rFonts w:ascii="Times New Roman" w:cs="Times New Roman" w:hAnsi="Times New Roman"/>
          <w:sz w:val="24"/>
        </w:rPr>
        <w:t>University management should provide modern and technologically responsive library environments through the installation of reliable internet facilities, improved digital infrastructure, adequate seating arrangements, and conducive study spaces that encourage continuous utilisation of library resources.</w:t>
      </w:r>
    </w:p>
    <w:p w14:paraId="A97A236F">
      <w:pPr>
        <w:pStyle w:val="style0"/>
        <w:numPr>
          <w:ilvl w:val="0"/>
          <w:numId w:val="3"/>
        </w:numPr>
        <w:spacing w:lineRule="auto" w:line="360"/>
        <w:jc w:val="both"/>
        <w:rPr>
          <w:rFonts w:ascii="Times New Roman" w:cs="Times New Roman" w:hAnsi="Times New Roman"/>
          <w:sz w:val="24"/>
        </w:rPr>
      </w:pPr>
      <w:r>
        <w:rPr>
          <w:rFonts w:ascii="Times New Roman" w:cs="Times New Roman" w:hAnsi="Times New Roman"/>
          <w:sz w:val="24"/>
        </w:rPr>
        <w:t>Public universities should prioritise regular upgrading and subscription to electronic databases, institutional repositories, and remote access platforms to facilitate easy accessibility of scholarly information resources by postgraduate students.</w:t>
      </w:r>
    </w:p>
    <w:p w14:paraId="E2B23037">
      <w:pPr>
        <w:pStyle w:val="style0"/>
        <w:numPr>
          <w:ilvl w:val="0"/>
          <w:numId w:val="3"/>
        </w:numPr>
        <w:spacing w:lineRule="auto" w:line="360"/>
        <w:jc w:val="both"/>
        <w:rPr>
          <w:rFonts w:ascii="Times New Roman" w:cs="Times New Roman" w:hAnsi="Times New Roman"/>
          <w:sz w:val="24"/>
        </w:rPr>
      </w:pPr>
      <w:r>
        <w:rPr>
          <w:rFonts w:ascii="Times New Roman" w:cs="Times New Roman" w:hAnsi="Times New Roman"/>
          <w:sz w:val="24"/>
        </w:rPr>
        <w:t>Library personnel should be provided with periodic professional development programmes, workshops, conferences, and training on emerging information technologies and digital reference services to enhance their professional competence and service delivery capacities.</w:t>
      </w:r>
    </w:p>
    <w:p w14:paraId="A5ABB74B">
      <w:pPr>
        <w:pStyle w:val="style0"/>
        <w:numPr>
          <w:ilvl w:val="0"/>
          <w:numId w:val="3"/>
        </w:numPr>
        <w:spacing w:lineRule="auto" w:line="360"/>
        <w:jc w:val="both"/>
        <w:rPr>
          <w:rFonts w:ascii="Times New Roman" w:cs="Times New Roman" w:hAnsi="Times New Roman"/>
          <w:sz w:val="24"/>
        </w:rPr>
      </w:pPr>
      <w:r>
        <w:rPr>
          <w:rFonts w:ascii="Times New Roman" w:cs="Times New Roman" w:hAnsi="Times New Roman"/>
          <w:sz w:val="24"/>
        </w:rPr>
        <w:t>University libraries should institutionalise user-centred service practices by ensuring that library personnel provide prompt information assistance, effective communication, and personalised research support to postgraduate students.</w:t>
      </w:r>
    </w:p>
    <w:p w14:paraId="CC071CD2">
      <w:pPr>
        <w:pStyle w:val="style0"/>
        <w:numPr>
          <w:ilvl w:val="0"/>
          <w:numId w:val="3"/>
        </w:numPr>
        <w:spacing w:lineRule="auto" w:line="360"/>
        <w:jc w:val="both"/>
        <w:rPr>
          <w:rFonts w:ascii="Times New Roman" w:cs="Times New Roman" w:hAnsi="Times New Roman"/>
          <w:sz w:val="24"/>
        </w:rPr>
      </w:pPr>
      <w:r>
        <w:rPr>
          <w:rFonts w:ascii="Times New Roman" w:cs="Times New Roman" w:hAnsi="Times New Roman"/>
          <w:sz w:val="24"/>
        </w:rPr>
        <w:t>University administrators should adopt integrated library improvement strategies that simultaneously strengthen library service environments and personnel competencies because the study established that both variables jointly produce the greatest influence on postgraduates' continuous intention to use library resources.</w:t>
      </w:r>
    </w:p>
    <w:p w14:paraId="F6AC3FB0">
      <w:pPr>
        <w:pStyle w:val="style0"/>
        <w:spacing w:lineRule="auto" w:line="360"/>
        <w:jc w:val="both"/>
        <w:rPr>
          <w:rFonts w:ascii="Times New Roman" w:cs="Times New Roman" w:hAnsi="Times New Roman"/>
          <w:sz w:val="24"/>
        </w:rPr>
      </w:pPr>
    </w:p>
    <w:p w14:paraId="955E0AD5">
      <w:pPr>
        <w:pStyle w:val="style0"/>
        <w:spacing w:after="0" w:lineRule="auto" w:line="360"/>
        <w:jc w:val="both"/>
        <w:rPr>
          <w:rFonts w:ascii="Times New Roman" w:cs="Times New Roman" w:hAnsi="Times New Roman"/>
          <w:b/>
          <w:bCs/>
          <w:sz w:val="24"/>
        </w:rPr>
      </w:pPr>
      <w:r>
        <w:rPr>
          <w:rFonts w:ascii="Times New Roman" w:cs="Times New Roman" w:hAnsi="Times New Roman"/>
          <w:b/>
          <w:bCs/>
          <w:sz w:val="24"/>
        </w:rPr>
        <w:t>References</w:t>
      </w:r>
    </w:p>
    <w:p w14:paraId="68FCCD41">
      <w:pPr>
        <w:pStyle w:val="style0"/>
        <w:spacing w:after="0" w:lineRule="auto" w:line="360"/>
        <w:jc w:val="both"/>
        <w:rPr>
          <w:rFonts w:ascii="Times New Roman" w:cs="Times New Roman" w:hAnsi="Times New Roman"/>
          <w:sz w:val="24"/>
        </w:rPr>
      </w:pPr>
      <w:r>
        <w:rPr>
          <w:rFonts w:ascii="Times New Roman" w:cs="Times New Roman" w:hAnsi="Times New Roman"/>
          <w:sz w:val="24"/>
        </w:rPr>
        <w:t>Aina</w:t>
      </w:r>
      <w:r>
        <w:rPr>
          <w:rFonts w:ascii="Times New Roman" w:cs="Times New Roman" w:hAnsi="Times New Roman"/>
          <w:sz w:val="24"/>
        </w:rPr>
        <w:t xml:space="preserve">, L. O., </w:t>
      </w:r>
      <w:r>
        <w:rPr>
          <w:rFonts w:ascii="Times New Roman" w:cs="Times New Roman" w:hAnsi="Times New Roman"/>
          <w:sz w:val="24"/>
        </w:rPr>
        <w:t>Mooko</w:t>
      </w:r>
      <w:r>
        <w:rPr>
          <w:rFonts w:ascii="Times New Roman" w:cs="Times New Roman" w:hAnsi="Times New Roman"/>
          <w:sz w:val="24"/>
        </w:rPr>
        <w:t xml:space="preserve">, N. P., &amp; </w:t>
      </w:r>
      <w:r>
        <w:rPr>
          <w:rFonts w:ascii="Times New Roman" w:cs="Times New Roman" w:hAnsi="Times New Roman"/>
          <w:sz w:val="24"/>
        </w:rPr>
        <w:t>Mabawonku</w:t>
      </w:r>
      <w:r>
        <w:rPr>
          <w:rFonts w:ascii="Times New Roman" w:cs="Times New Roman" w:hAnsi="Times New Roman"/>
          <w:sz w:val="24"/>
        </w:rPr>
        <w:t xml:space="preserve">, I. M. (2021). Information and knowledge management </w:t>
      </w:r>
      <w:r>
        <w:rPr>
          <w:rFonts w:ascii="Times New Roman" w:cs="Times New Roman" w:hAnsi="Times New Roman"/>
          <w:sz w:val="24"/>
        </w:rPr>
        <w:tab/>
      </w:r>
      <w:r>
        <w:rPr>
          <w:rFonts w:ascii="Times New Roman" w:cs="Times New Roman" w:hAnsi="Times New Roman"/>
          <w:sz w:val="24"/>
        </w:rPr>
        <w:t xml:space="preserve">in digital library environments in Africa. </w:t>
      </w:r>
      <w:r>
        <w:rPr>
          <w:rFonts w:ascii="Times New Roman" w:cs="Times New Roman" w:hAnsi="Times New Roman"/>
          <w:i/>
          <w:iCs/>
          <w:sz w:val="24"/>
        </w:rPr>
        <w:t xml:space="preserve">African Journal of Library, Archives and </w:t>
      </w:r>
      <w:r>
        <w:rPr>
          <w:rFonts w:ascii="Times New Roman" w:cs="Times New Roman" w:hAnsi="Times New Roman"/>
          <w:i/>
          <w:iCs/>
          <w:sz w:val="24"/>
        </w:rPr>
        <w:tab/>
      </w:r>
      <w:r>
        <w:rPr>
          <w:rFonts w:ascii="Times New Roman" w:cs="Times New Roman" w:hAnsi="Times New Roman"/>
          <w:i/>
          <w:iCs/>
          <w:sz w:val="24"/>
        </w:rPr>
        <w:t>Information Science, 31</w:t>
      </w:r>
      <w:r>
        <w:rPr>
          <w:rFonts w:ascii="Times New Roman" w:cs="Times New Roman" w:hAnsi="Times New Roman"/>
          <w:sz w:val="24"/>
        </w:rPr>
        <w:t>(2), 111–126.</w:t>
      </w:r>
    </w:p>
    <w:p w14:paraId="38ADA85F">
      <w:pPr>
        <w:pStyle w:val="style0"/>
        <w:spacing w:after="0" w:lineRule="auto" w:line="360"/>
        <w:jc w:val="both"/>
        <w:rPr>
          <w:rFonts w:ascii="Times New Roman" w:cs="Times New Roman" w:hAnsi="Times New Roman"/>
          <w:sz w:val="24"/>
        </w:rPr>
      </w:pPr>
      <w:r>
        <w:rPr>
          <w:rFonts w:ascii="Times New Roman" w:cs="Times New Roman" w:hAnsi="Times New Roman"/>
          <w:sz w:val="24"/>
        </w:rPr>
        <w:t>Al-</w:t>
      </w:r>
      <w:r>
        <w:rPr>
          <w:rFonts w:ascii="Times New Roman" w:cs="Times New Roman" w:hAnsi="Times New Roman"/>
          <w:sz w:val="24"/>
        </w:rPr>
        <w:t>Mamary</w:t>
      </w:r>
      <w:r>
        <w:rPr>
          <w:rFonts w:ascii="Times New Roman" w:cs="Times New Roman" w:hAnsi="Times New Roman"/>
          <w:sz w:val="24"/>
        </w:rPr>
        <w:t xml:space="preserve">, Y. H. S., </w:t>
      </w:r>
      <w:r>
        <w:rPr>
          <w:rFonts w:ascii="Times New Roman" w:cs="Times New Roman" w:hAnsi="Times New Roman"/>
          <w:sz w:val="24"/>
        </w:rPr>
        <w:t>Shamsuddin</w:t>
      </w:r>
      <w:r>
        <w:rPr>
          <w:rFonts w:ascii="Times New Roman" w:cs="Times New Roman" w:hAnsi="Times New Roman"/>
          <w:sz w:val="24"/>
        </w:rPr>
        <w:t xml:space="preserve">, A., &amp; </w:t>
      </w:r>
      <w:r>
        <w:rPr>
          <w:rFonts w:ascii="Times New Roman" w:cs="Times New Roman" w:hAnsi="Times New Roman"/>
          <w:sz w:val="24"/>
        </w:rPr>
        <w:t>Aziati</w:t>
      </w:r>
      <w:r>
        <w:rPr>
          <w:rFonts w:ascii="Times New Roman" w:cs="Times New Roman" w:hAnsi="Times New Roman"/>
          <w:sz w:val="24"/>
        </w:rPr>
        <w:t xml:space="preserve">, N. (2022). The role of human capital resources </w:t>
      </w:r>
      <w:r>
        <w:rPr>
          <w:rFonts w:ascii="Times New Roman" w:cs="Times New Roman" w:hAnsi="Times New Roman"/>
          <w:sz w:val="24"/>
        </w:rPr>
        <w:tab/>
      </w:r>
      <w:r>
        <w:rPr>
          <w:rFonts w:ascii="Times New Roman" w:cs="Times New Roman" w:hAnsi="Times New Roman"/>
          <w:sz w:val="24"/>
        </w:rPr>
        <w:t xml:space="preserve">in organisational performance: A resource-based perspective. </w:t>
      </w:r>
      <w:r>
        <w:rPr>
          <w:rFonts w:ascii="Times New Roman" w:cs="Times New Roman" w:hAnsi="Times New Roman"/>
          <w:i/>
          <w:iCs/>
          <w:sz w:val="24"/>
        </w:rPr>
        <w:t xml:space="preserve">Journal of Management </w:t>
      </w:r>
      <w:r>
        <w:rPr>
          <w:rFonts w:ascii="Times New Roman" w:cs="Times New Roman" w:hAnsi="Times New Roman"/>
          <w:i/>
          <w:iCs/>
          <w:sz w:val="24"/>
        </w:rPr>
        <w:tab/>
      </w:r>
      <w:r>
        <w:rPr>
          <w:rFonts w:ascii="Times New Roman" w:cs="Times New Roman" w:hAnsi="Times New Roman"/>
          <w:i/>
          <w:iCs/>
          <w:sz w:val="24"/>
        </w:rPr>
        <w:t>Information and Decision Sciences, 25</w:t>
      </w:r>
      <w:r>
        <w:rPr>
          <w:rFonts w:ascii="Times New Roman" w:cs="Times New Roman" w:hAnsi="Times New Roman"/>
          <w:sz w:val="24"/>
        </w:rPr>
        <w:t>(1), 1–13.</w:t>
      </w:r>
    </w:p>
    <w:p w14:paraId="D80198D2">
      <w:pPr>
        <w:pStyle w:val="style0"/>
        <w:spacing w:after="0" w:lineRule="auto" w:line="360"/>
        <w:jc w:val="both"/>
        <w:rPr>
          <w:rFonts w:ascii="Times New Roman" w:cs="Times New Roman" w:hAnsi="Times New Roman"/>
          <w:sz w:val="24"/>
        </w:rPr>
      </w:pPr>
      <w:r>
        <w:rPr>
          <w:rFonts w:ascii="Times New Roman" w:cs="Times New Roman" w:hAnsi="Times New Roman"/>
          <w:sz w:val="24"/>
        </w:rPr>
        <w:t>Arinola</w:t>
      </w:r>
      <w:r>
        <w:rPr>
          <w:rFonts w:ascii="Times New Roman" w:cs="Times New Roman" w:hAnsi="Times New Roman"/>
          <w:sz w:val="24"/>
        </w:rPr>
        <w:t xml:space="preserve">, A. A., </w:t>
      </w:r>
      <w:r>
        <w:rPr>
          <w:rFonts w:ascii="Times New Roman" w:cs="Times New Roman" w:hAnsi="Times New Roman"/>
          <w:sz w:val="24"/>
        </w:rPr>
        <w:t>Oyewumi</w:t>
      </w:r>
      <w:r>
        <w:rPr>
          <w:rFonts w:ascii="Times New Roman" w:cs="Times New Roman" w:hAnsi="Times New Roman"/>
          <w:sz w:val="24"/>
        </w:rPr>
        <w:t xml:space="preserve">, O. O., </w:t>
      </w:r>
      <w:r>
        <w:rPr>
          <w:rFonts w:ascii="Times New Roman" w:cs="Times New Roman" w:hAnsi="Times New Roman"/>
          <w:sz w:val="24"/>
        </w:rPr>
        <w:t>Kolajo</w:t>
      </w:r>
      <w:r>
        <w:rPr>
          <w:rFonts w:ascii="Times New Roman" w:cs="Times New Roman" w:hAnsi="Times New Roman"/>
          <w:sz w:val="24"/>
        </w:rPr>
        <w:t xml:space="preserve">, F. S., &amp; </w:t>
      </w:r>
      <w:r>
        <w:rPr>
          <w:rFonts w:ascii="Times New Roman" w:cs="Times New Roman" w:hAnsi="Times New Roman"/>
          <w:sz w:val="24"/>
        </w:rPr>
        <w:t>Sodipe</w:t>
      </w:r>
      <w:r>
        <w:rPr>
          <w:rFonts w:ascii="Times New Roman" w:cs="Times New Roman" w:hAnsi="Times New Roman"/>
          <w:sz w:val="24"/>
        </w:rPr>
        <w:t xml:space="preserve">, O. M. (2025). </w:t>
      </w:r>
      <w:r>
        <w:rPr>
          <w:rFonts w:ascii="Times New Roman" w:cs="Times New Roman" w:hAnsi="Times New Roman"/>
          <w:i/>
          <w:iCs/>
          <w:sz w:val="24"/>
        </w:rPr>
        <w:t xml:space="preserve">An empirical study of the </w:t>
      </w:r>
      <w:r>
        <w:rPr>
          <w:rFonts w:ascii="Times New Roman" w:cs="Times New Roman" w:hAnsi="Times New Roman"/>
          <w:i/>
          <w:iCs/>
          <w:sz w:val="24"/>
        </w:rPr>
        <w:tab/>
      </w:r>
      <w:r>
        <w:rPr>
          <w:rFonts w:ascii="Times New Roman" w:cs="Times New Roman" w:hAnsi="Times New Roman"/>
          <w:i/>
          <w:iCs/>
          <w:sz w:val="24"/>
        </w:rPr>
        <w:t xml:space="preserve">use of library resources and services among postgraduate students in selected universities </w:t>
      </w:r>
      <w:r>
        <w:rPr>
          <w:rFonts w:ascii="Times New Roman" w:cs="Times New Roman" w:hAnsi="Times New Roman"/>
          <w:i/>
          <w:iCs/>
          <w:sz w:val="24"/>
        </w:rPr>
        <w:tab/>
      </w:r>
      <w:r>
        <w:rPr>
          <w:rFonts w:ascii="Times New Roman" w:cs="Times New Roman" w:hAnsi="Times New Roman"/>
          <w:i/>
          <w:iCs/>
          <w:sz w:val="24"/>
        </w:rPr>
        <w:t>in Nigeria</w:t>
      </w:r>
      <w:r>
        <w:rPr>
          <w:rFonts w:ascii="Times New Roman" w:cs="Times New Roman" w:hAnsi="Times New Roman"/>
          <w:sz w:val="24"/>
        </w:rPr>
        <w:t>. BIJLIS, 1(2), 1–20.</w:t>
      </w:r>
    </w:p>
    <w:p w14:paraId="E6DE9F6D">
      <w:pPr>
        <w:pStyle w:val="style0"/>
        <w:spacing w:after="0" w:lineRule="auto" w:line="360"/>
        <w:jc w:val="both"/>
        <w:rPr>
          <w:rFonts w:ascii="Times New Roman" w:cs="Times New Roman" w:hAnsi="Times New Roman"/>
          <w:sz w:val="24"/>
        </w:rPr>
      </w:pPr>
      <w:r>
        <w:rPr>
          <w:rFonts w:ascii="Times New Roman" w:cs="Times New Roman" w:hAnsi="Times New Roman"/>
          <w:sz w:val="24"/>
        </w:rPr>
        <w:t xml:space="preserve">Barney, J. B. (1991). Firm resources and sustained competitive advantage. </w:t>
      </w:r>
      <w:r>
        <w:rPr>
          <w:rFonts w:ascii="Times New Roman" w:cs="Times New Roman" w:hAnsi="Times New Roman"/>
          <w:i/>
          <w:iCs/>
          <w:sz w:val="24"/>
        </w:rPr>
        <w:t xml:space="preserve">Journal of </w:t>
      </w:r>
      <w:r>
        <w:rPr>
          <w:rFonts w:ascii="Times New Roman" w:cs="Times New Roman" w:hAnsi="Times New Roman"/>
          <w:i/>
          <w:iCs/>
          <w:sz w:val="24"/>
        </w:rPr>
        <w:tab/>
      </w:r>
      <w:r>
        <w:rPr>
          <w:rFonts w:ascii="Times New Roman" w:cs="Times New Roman" w:hAnsi="Times New Roman"/>
          <w:i/>
          <w:iCs/>
          <w:sz w:val="24"/>
        </w:rPr>
        <w:t>Management, 17</w:t>
      </w:r>
      <w:r>
        <w:rPr>
          <w:rFonts w:ascii="Times New Roman" w:cs="Times New Roman" w:hAnsi="Times New Roman"/>
          <w:sz w:val="24"/>
        </w:rPr>
        <w:t xml:space="preserve">(1), 99–120. </w:t>
      </w:r>
      <w:r>
        <w:rPr/>
        <w:fldChar w:fldCharType="begin"/>
      </w:r>
      <w:r>
        <w:instrText xml:space="preserve"> HYPERLINK "https://doi.org/10.1177/014920639101700108" \t "_new" </w:instrText>
      </w:r>
      <w:r>
        <w:rPr/>
        <w:fldChar w:fldCharType="separate"/>
      </w:r>
      <w:r>
        <w:rPr>
          <w:rStyle w:val="style85"/>
          <w:rFonts w:ascii="Times New Roman" w:cs="Times New Roman" w:hAnsi="Times New Roman"/>
          <w:sz w:val="24"/>
        </w:rPr>
        <w:t>https://doi.org/10.1177/014920639101700108</w:t>
      </w:r>
      <w:r>
        <w:rPr/>
        <w:fldChar w:fldCharType="end"/>
      </w:r>
    </w:p>
    <w:p w14:paraId="DFC50E5A">
      <w:pPr>
        <w:pStyle w:val="style0"/>
        <w:spacing w:after="0" w:lineRule="auto" w:line="360"/>
        <w:jc w:val="both"/>
        <w:rPr>
          <w:rFonts w:ascii="Times New Roman" w:cs="Times New Roman" w:hAnsi="Times New Roman"/>
          <w:sz w:val="24"/>
        </w:rPr>
      </w:pPr>
      <w:r>
        <w:rPr>
          <w:rFonts w:ascii="Times New Roman" w:cs="Times New Roman" w:hAnsi="Times New Roman"/>
          <w:sz w:val="24"/>
        </w:rPr>
        <w:t>Bhattacherjee</w:t>
      </w:r>
      <w:r>
        <w:rPr>
          <w:rFonts w:ascii="Times New Roman" w:cs="Times New Roman" w:hAnsi="Times New Roman"/>
          <w:sz w:val="24"/>
        </w:rPr>
        <w:t>, A. (2001). Understanding information systems continuance: An expectation-</w:t>
      </w:r>
      <w:r>
        <w:rPr>
          <w:rFonts w:ascii="Times New Roman" w:cs="Times New Roman" w:hAnsi="Times New Roman"/>
          <w:sz w:val="24"/>
        </w:rPr>
        <w:tab/>
      </w:r>
      <w:r>
        <w:rPr>
          <w:rFonts w:ascii="Times New Roman" w:cs="Times New Roman" w:hAnsi="Times New Roman"/>
          <w:sz w:val="24"/>
        </w:rPr>
        <w:t xml:space="preserve">confirmation model. </w:t>
      </w:r>
      <w:r>
        <w:rPr>
          <w:rFonts w:ascii="Times New Roman" w:cs="Times New Roman" w:hAnsi="Times New Roman"/>
          <w:i/>
          <w:iCs/>
          <w:sz w:val="24"/>
        </w:rPr>
        <w:t>MIS Quarterly, 25</w:t>
      </w:r>
      <w:r>
        <w:rPr>
          <w:rFonts w:ascii="Times New Roman" w:cs="Times New Roman" w:hAnsi="Times New Roman"/>
          <w:sz w:val="24"/>
        </w:rPr>
        <w:t xml:space="preserve">(3), 351–370. </w:t>
      </w:r>
      <w:r>
        <w:rPr/>
        <w:fldChar w:fldCharType="begin"/>
      </w:r>
      <w:r>
        <w:instrText xml:space="preserve"> HYPERLINK "https://doi.org/10.2307/3250921" \t "_new" </w:instrText>
      </w:r>
      <w:r>
        <w:rPr/>
        <w:fldChar w:fldCharType="separate"/>
      </w:r>
      <w:r>
        <w:rPr>
          <w:rStyle w:val="style85"/>
          <w:rFonts w:ascii="Times New Roman" w:cs="Times New Roman" w:hAnsi="Times New Roman"/>
          <w:sz w:val="24"/>
        </w:rPr>
        <w:t>https://doi.org/10.2307/3250921</w:t>
      </w:r>
      <w:r>
        <w:rPr/>
        <w:fldChar w:fldCharType="end"/>
      </w:r>
    </w:p>
    <w:p w14:paraId="6C205C85">
      <w:pPr>
        <w:pStyle w:val="style0"/>
        <w:spacing w:after="0" w:lineRule="auto" w:line="360"/>
        <w:jc w:val="both"/>
        <w:rPr>
          <w:rFonts w:ascii="Times New Roman" w:cs="Times New Roman" w:hAnsi="Times New Roman"/>
          <w:sz w:val="24"/>
        </w:rPr>
      </w:pPr>
      <w:r>
        <w:rPr>
          <w:rFonts w:ascii="Times New Roman" w:cs="Times New Roman" w:hAnsi="Times New Roman"/>
          <w:sz w:val="24"/>
        </w:rPr>
        <w:t>Bitner</w:t>
      </w:r>
      <w:r>
        <w:rPr>
          <w:rFonts w:ascii="Times New Roman" w:cs="Times New Roman" w:hAnsi="Times New Roman"/>
          <w:sz w:val="24"/>
        </w:rPr>
        <w:t xml:space="preserve">, M. J. (1992). </w:t>
      </w:r>
      <w:r>
        <w:rPr>
          <w:rFonts w:ascii="Times New Roman" w:cs="Times New Roman" w:hAnsi="Times New Roman"/>
          <w:sz w:val="24"/>
        </w:rPr>
        <w:t>Servicescapes</w:t>
      </w:r>
      <w:r>
        <w:rPr>
          <w:rFonts w:ascii="Times New Roman" w:cs="Times New Roman" w:hAnsi="Times New Roman"/>
          <w:sz w:val="24"/>
        </w:rPr>
        <w:t xml:space="preserve">: The impact of physical surroundings on customers and </w:t>
      </w:r>
      <w:r>
        <w:rPr>
          <w:rFonts w:ascii="Times New Roman" w:cs="Times New Roman" w:hAnsi="Times New Roman"/>
          <w:sz w:val="24"/>
        </w:rPr>
        <w:tab/>
      </w:r>
      <w:r>
        <w:rPr>
          <w:rFonts w:ascii="Times New Roman" w:cs="Times New Roman" w:hAnsi="Times New Roman"/>
          <w:sz w:val="24"/>
        </w:rPr>
        <w:t xml:space="preserve">employees. </w:t>
      </w:r>
      <w:r>
        <w:rPr>
          <w:rFonts w:ascii="Times New Roman" w:cs="Times New Roman" w:hAnsi="Times New Roman"/>
          <w:i/>
          <w:iCs/>
          <w:sz w:val="24"/>
        </w:rPr>
        <w:t>Journal of Marketing, 56</w:t>
      </w:r>
      <w:r>
        <w:rPr>
          <w:rFonts w:ascii="Times New Roman" w:cs="Times New Roman" w:hAnsi="Times New Roman"/>
          <w:sz w:val="24"/>
        </w:rPr>
        <w:t xml:space="preserve">(2), 57–71. </w:t>
      </w:r>
      <w:r>
        <w:rPr>
          <w:rFonts w:ascii="Times New Roman" w:cs="Times New Roman" w:hAnsi="Times New Roman"/>
          <w:sz w:val="24"/>
        </w:rPr>
        <w:tab/>
      </w:r>
      <w:r>
        <w:rPr/>
        <w:fldChar w:fldCharType="begin"/>
      </w:r>
      <w:r>
        <w:instrText xml:space="preserve"> HYPERLINK "https://doi.org/10.1177/002224299205600205" \t "_new" </w:instrText>
      </w:r>
      <w:r>
        <w:rPr/>
        <w:fldChar w:fldCharType="separate"/>
      </w:r>
      <w:r>
        <w:rPr>
          <w:rStyle w:val="style85"/>
          <w:rFonts w:ascii="Times New Roman" w:cs="Times New Roman" w:hAnsi="Times New Roman"/>
          <w:sz w:val="24"/>
        </w:rPr>
        <w:t>https://doi.org/10.1177/002224299205600205</w:t>
      </w:r>
      <w:r>
        <w:rPr/>
        <w:fldChar w:fldCharType="end"/>
      </w:r>
    </w:p>
    <w:p w14:paraId="DBC1D6C3">
      <w:pPr>
        <w:pStyle w:val="style0"/>
        <w:spacing w:after="0" w:lineRule="auto" w:line="360"/>
        <w:jc w:val="both"/>
        <w:rPr>
          <w:rFonts w:ascii="Times New Roman" w:cs="Times New Roman" w:hAnsi="Times New Roman"/>
          <w:sz w:val="24"/>
        </w:rPr>
      </w:pPr>
      <w:r>
        <w:rPr>
          <w:rFonts w:ascii="Times New Roman" w:cs="Times New Roman" w:hAnsi="Times New Roman"/>
          <w:sz w:val="24"/>
        </w:rPr>
        <w:t xml:space="preserve">Chandra, T., &amp; </w:t>
      </w:r>
      <w:r>
        <w:rPr>
          <w:rFonts w:ascii="Times New Roman" w:cs="Times New Roman" w:hAnsi="Times New Roman"/>
          <w:sz w:val="24"/>
        </w:rPr>
        <w:t>Juliani</w:t>
      </w:r>
      <w:r>
        <w:rPr>
          <w:rFonts w:ascii="Times New Roman" w:cs="Times New Roman" w:hAnsi="Times New Roman"/>
          <w:sz w:val="24"/>
        </w:rPr>
        <w:t xml:space="preserve">, T. (2022). Servicescape and customer behavioural intentions: A systematic </w:t>
      </w:r>
      <w:r>
        <w:rPr>
          <w:rFonts w:ascii="Times New Roman" w:cs="Times New Roman" w:hAnsi="Times New Roman"/>
          <w:sz w:val="24"/>
        </w:rPr>
        <w:tab/>
      </w:r>
      <w:r>
        <w:rPr>
          <w:rFonts w:ascii="Times New Roman" w:cs="Times New Roman" w:hAnsi="Times New Roman"/>
          <w:sz w:val="24"/>
        </w:rPr>
        <w:t xml:space="preserve">review. </w:t>
      </w:r>
      <w:r>
        <w:rPr>
          <w:rFonts w:ascii="Times New Roman" w:cs="Times New Roman" w:hAnsi="Times New Roman"/>
          <w:i/>
          <w:iCs/>
          <w:sz w:val="24"/>
        </w:rPr>
        <w:t>Journal of Service Science Research, 14</w:t>
      </w:r>
      <w:r>
        <w:rPr>
          <w:rFonts w:ascii="Times New Roman" w:cs="Times New Roman" w:hAnsi="Times New Roman"/>
          <w:sz w:val="24"/>
        </w:rPr>
        <w:t>(1), 53–78.</w:t>
      </w:r>
    </w:p>
    <w:p w14:paraId="B98BA6A9">
      <w:pPr>
        <w:pStyle w:val="style0"/>
        <w:spacing w:after="0" w:lineRule="auto" w:line="360"/>
        <w:jc w:val="both"/>
        <w:rPr>
          <w:rFonts w:ascii="Times New Roman" w:cs="Times New Roman" w:hAnsi="Times New Roman"/>
          <w:sz w:val="24"/>
        </w:rPr>
      </w:pPr>
      <w:r>
        <w:rPr>
          <w:rFonts w:ascii="Times New Roman" w:cs="Times New Roman" w:hAnsi="Times New Roman"/>
          <w:sz w:val="24"/>
        </w:rPr>
        <w:t>Cropanzano</w:t>
      </w:r>
      <w:r>
        <w:rPr>
          <w:rFonts w:ascii="Times New Roman" w:cs="Times New Roman" w:hAnsi="Times New Roman"/>
          <w:sz w:val="24"/>
        </w:rPr>
        <w:t xml:space="preserve">, R., Anthony, E. L., Daniels, S. R., &amp; Hall, A. V. (2017). Social exchange theory: A </w:t>
      </w:r>
      <w:r>
        <w:rPr>
          <w:rFonts w:ascii="Times New Roman" w:cs="Times New Roman" w:hAnsi="Times New Roman"/>
          <w:sz w:val="24"/>
        </w:rPr>
        <w:tab/>
      </w:r>
      <w:r>
        <w:rPr>
          <w:rFonts w:ascii="Times New Roman" w:cs="Times New Roman" w:hAnsi="Times New Roman"/>
          <w:sz w:val="24"/>
        </w:rPr>
        <w:t xml:space="preserve">critical review with theoretical remedies. </w:t>
      </w:r>
      <w:r>
        <w:rPr>
          <w:rFonts w:ascii="Times New Roman" w:cs="Times New Roman" w:hAnsi="Times New Roman"/>
          <w:i/>
          <w:iCs/>
          <w:sz w:val="24"/>
        </w:rPr>
        <w:t>Academy of Management Annals, 11</w:t>
      </w:r>
      <w:r>
        <w:rPr>
          <w:rFonts w:ascii="Times New Roman" w:cs="Times New Roman" w:hAnsi="Times New Roman"/>
          <w:sz w:val="24"/>
        </w:rPr>
        <w:t>(1), 479–</w:t>
      </w:r>
      <w:r>
        <w:rPr>
          <w:rFonts w:ascii="Times New Roman" w:cs="Times New Roman" w:hAnsi="Times New Roman"/>
          <w:sz w:val="24"/>
        </w:rPr>
        <w:tab/>
      </w:r>
      <w:r>
        <w:rPr>
          <w:rFonts w:ascii="Times New Roman" w:cs="Times New Roman" w:hAnsi="Times New Roman"/>
          <w:sz w:val="24"/>
        </w:rPr>
        <w:t xml:space="preserve">516. </w:t>
      </w:r>
      <w:r>
        <w:rPr/>
        <w:fldChar w:fldCharType="begin"/>
      </w:r>
      <w:r>
        <w:instrText xml:space="preserve"> HYPERLINK "https://doi.org/10.5465/annals.2015.0099" \t "_new" </w:instrText>
      </w:r>
      <w:r>
        <w:rPr/>
        <w:fldChar w:fldCharType="separate"/>
      </w:r>
      <w:r>
        <w:rPr>
          <w:rStyle w:val="style85"/>
          <w:rFonts w:ascii="Times New Roman" w:cs="Times New Roman" w:hAnsi="Times New Roman"/>
          <w:sz w:val="24"/>
        </w:rPr>
        <w:t>https://doi.org/10.5465/annals.2015.0099</w:t>
      </w:r>
      <w:r>
        <w:rPr/>
        <w:fldChar w:fldCharType="end"/>
      </w:r>
    </w:p>
    <w:p w14:paraId="1489C017">
      <w:pPr>
        <w:pStyle w:val="style0"/>
        <w:spacing w:after="0" w:lineRule="auto" w:line="360"/>
        <w:jc w:val="both"/>
        <w:rPr>
          <w:rFonts w:ascii="Times New Roman" w:cs="Times New Roman" w:hAnsi="Times New Roman"/>
          <w:sz w:val="24"/>
        </w:rPr>
      </w:pPr>
      <w:r>
        <w:rPr>
          <w:rFonts w:ascii="Times New Roman" w:cs="Times New Roman" w:hAnsi="Times New Roman"/>
          <w:sz w:val="24"/>
        </w:rPr>
        <w:t>Ifijeh</w:t>
      </w:r>
      <w:r>
        <w:rPr>
          <w:rFonts w:ascii="Times New Roman" w:cs="Times New Roman" w:hAnsi="Times New Roman"/>
          <w:sz w:val="24"/>
        </w:rPr>
        <w:t xml:space="preserve">, G., &amp; Yusuf, F. (2020). Covid-19 pandemic and the future of Nigeria's university system: </w:t>
      </w:r>
      <w:r>
        <w:rPr>
          <w:rFonts w:ascii="Times New Roman" w:cs="Times New Roman" w:hAnsi="Times New Roman"/>
          <w:sz w:val="24"/>
        </w:rPr>
        <w:tab/>
      </w:r>
      <w:r>
        <w:rPr>
          <w:rFonts w:ascii="Times New Roman" w:cs="Times New Roman" w:hAnsi="Times New Roman"/>
          <w:sz w:val="24"/>
        </w:rPr>
        <w:t xml:space="preserve">The quest for libraries' relevance. </w:t>
      </w:r>
      <w:r>
        <w:rPr>
          <w:rFonts w:ascii="Times New Roman" w:cs="Times New Roman" w:hAnsi="Times New Roman"/>
          <w:i/>
          <w:iCs/>
          <w:sz w:val="24"/>
        </w:rPr>
        <w:t>The Journal of Academic Librarianship, 46</w:t>
      </w:r>
      <w:r>
        <w:rPr>
          <w:rFonts w:ascii="Times New Roman" w:cs="Times New Roman" w:hAnsi="Times New Roman"/>
          <w:sz w:val="24"/>
        </w:rPr>
        <w:t xml:space="preserve">(6), Article </w:t>
      </w:r>
      <w:r>
        <w:rPr>
          <w:rFonts w:ascii="Times New Roman" w:cs="Times New Roman" w:hAnsi="Times New Roman"/>
          <w:sz w:val="24"/>
        </w:rPr>
        <w:tab/>
      </w:r>
      <w:r>
        <w:rPr>
          <w:rFonts w:ascii="Times New Roman" w:cs="Times New Roman" w:hAnsi="Times New Roman"/>
          <w:sz w:val="24"/>
        </w:rPr>
        <w:t xml:space="preserve">102226. </w:t>
      </w:r>
      <w:r>
        <w:rPr/>
        <w:fldChar w:fldCharType="begin"/>
      </w:r>
      <w:r>
        <w:instrText xml:space="preserve"> HYPERLINK "https://doi.org/10.1016/j.acalib.2020.102226" </w:instrText>
      </w:r>
      <w:r>
        <w:rPr/>
        <w:fldChar w:fldCharType="separate"/>
      </w:r>
      <w:r>
        <w:rPr>
          <w:rStyle w:val="style85"/>
          <w:rFonts w:ascii="Times New Roman" w:cs="Times New Roman" w:hAnsi="Times New Roman"/>
          <w:sz w:val="24"/>
        </w:rPr>
        <w:t>https://doi.org/10.1016/j.acalib.2020.102226</w:t>
      </w:r>
      <w:r>
        <w:rPr/>
        <w:fldChar w:fldCharType="end"/>
      </w:r>
    </w:p>
    <w:p w14:paraId="B5A13172">
      <w:pPr>
        <w:pStyle w:val="style0"/>
        <w:spacing w:after="0" w:lineRule="auto" w:line="360"/>
        <w:jc w:val="both"/>
        <w:rPr>
          <w:rFonts w:ascii="Times New Roman" w:cs="Times New Roman" w:hAnsi="Times New Roman"/>
          <w:sz w:val="24"/>
        </w:rPr>
      </w:pPr>
      <w:r>
        <w:rPr>
          <w:rFonts w:ascii="Times New Roman" w:cs="Times New Roman" w:hAnsi="Times New Roman"/>
          <w:sz w:val="24"/>
        </w:rPr>
        <w:t>Ladhari</w:t>
      </w:r>
      <w:r>
        <w:rPr>
          <w:rFonts w:ascii="Times New Roman" w:cs="Times New Roman" w:hAnsi="Times New Roman"/>
          <w:sz w:val="24"/>
        </w:rPr>
        <w:t xml:space="preserve">, R., </w:t>
      </w:r>
      <w:r>
        <w:rPr>
          <w:rFonts w:ascii="Times New Roman" w:cs="Times New Roman" w:hAnsi="Times New Roman"/>
          <w:sz w:val="24"/>
        </w:rPr>
        <w:t>Souiden</w:t>
      </w:r>
      <w:r>
        <w:rPr>
          <w:rFonts w:ascii="Times New Roman" w:cs="Times New Roman" w:hAnsi="Times New Roman"/>
          <w:sz w:val="24"/>
        </w:rPr>
        <w:t xml:space="preserve">, N., &amp; </w:t>
      </w:r>
      <w:r>
        <w:rPr>
          <w:rFonts w:ascii="Times New Roman" w:cs="Times New Roman" w:hAnsi="Times New Roman"/>
          <w:sz w:val="24"/>
        </w:rPr>
        <w:t>Dufour</w:t>
      </w:r>
      <w:r>
        <w:rPr>
          <w:rFonts w:ascii="Times New Roman" w:cs="Times New Roman" w:hAnsi="Times New Roman"/>
          <w:sz w:val="24"/>
        </w:rPr>
        <w:t xml:space="preserve">, B. (2020). The role of emotions in utilitarian service settings: </w:t>
      </w:r>
      <w:r>
        <w:rPr>
          <w:rFonts w:ascii="Times New Roman" w:cs="Times New Roman" w:hAnsi="Times New Roman"/>
          <w:sz w:val="24"/>
        </w:rPr>
        <w:tab/>
      </w:r>
      <w:r>
        <w:rPr>
          <w:rFonts w:ascii="Times New Roman" w:cs="Times New Roman" w:hAnsi="Times New Roman"/>
          <w:sz w:val="24"/>
        </w:rPr>
        <w:t xml:space="preserve">The effects of emotional satisfaction on behavioural intentions. </w:t>
      </w:r>
      <w:r>
        <w:rPr>
          <w:rFonts w:ascii="Times New Roman" w:cs="Times New Roman" w:hAnsi="Times New Roman"/>
          <w:i/>
          <w:iCs/>
          <w:sz w:val="24"/>
        </w:rPr>
        <w:t xml:space="preserve">Journal of Retailing and </w:t>
      </w:r>
      <w:r>
        <w:rPr>
          <w:rFonts w:ascii="Times New Roman" w:cs="Times New Roman" w:hAnsi="Times New Roman"/>
          <w:i/>
          <w:iCs/>
          <w:sz w:val="24"/>
        </w:rPr>
        <w:tab/>
      </w:r>
      <w:r>
        <w:rPr>
          <w:rFonts w:ascii="Times New Roman" w:cs="Times New Roman" w:hAnsi="Times New Roman"/>
          <w:i/>
          <w:iCs/>
          <w:sz w:val="24"/>
        </w:rPr>
        <w:t>Consumer Services, 52</w:t>
      </w:r>
      <w:r>
        <w:rPr>
          <w:rFonts w:ascii="Times New Roman" w:cs="Times New Roman" w:hAnsi="Times New Roman"/>
          <w:sz w:val="24"/>
        </w:rPr>
        <w:t>, Article 101908.</w:t>
      </w:r>
    </w:p>
    <w:p w14:paraId="37B4E2B3">
      <w:pPr>
        <w:pStyle w:val="style0"/>
        <w:spacing w:after="0" w:lineRule="auto" w:line="360"/>
        <w:jc w:val="both"/>
        <w:rPr>
          <w:rFonts w:ascii="Times New Roman" w:cs="Times New Roman" w:hAnsi="Times New Roman"/>
          <w:sz w:val="24"/>
        </w:rPr>
      </w:pPr>
      <w:r>
        <w:rPr>
          <w:rFonts w:ascii="Times New Roman" w:cs="Times New Roman" w:hAnsi="Times New Roman"/>
          <w:sz w:val="24"/>
        </w:rPr>
        <w:t>Masele</w:t>
      </w:r>
      <w:r>
        <w:rPr>
          <w:rFonts w:ascii="Times New Roman" w:cs="Times New Roman" w:hAnsi="Times New Roman"/>
          <w:sz w:val="24"/>
        </w:rPr>
        <w:t xml:space="preserve">, J. J., &amp; </w:t>
      </w:r>
      <w:r>
        <w:rPr>
          <w:rFonts w:ascii="Times New Roman" w:cs="Times New Roman" w:hAnsi="Times New Roman"/>
          <w:sz w:val="24"/>
        </w:rPr>
        <w:t>Rwehikiza</w:t>
      </w:r>
      <w:r>
        <w:rPr>
          <w:rFonts w:ascii="Times New Roman" w:cs="Times New Roman" w:hAnsi="Times New Roman"/>
          <w:sz w:val="24"/>
        </w:rPr>
        <w:t xml:space="preserve">, D. P. (2021). Information seeking behaviour and utilisation of </w:t>
      </w:r>
      <w:r>
        <w:rPr>
          <w:rFonts w:ascii="Times New Roman" w:cs="Times New Roman" w:hAnsi="Times New Roman"/>
          <w:sz w:val="24"/>
        </w:rPr>
        <w:tab/>
      </w:r>
      <w:r>
        <w:rPr>
          <w:rFonts w:ascii="Times New Roman" w:cs="Times New Roman" w:hAnsi="Times New Roman"/>
          <w:sz w:val="24"/>
        </w:rPr>
        <w:t xml:space="preserve">electronic information resources among postgraduate students in African universities. </w:t>
      </w:r>
      <w:r>
        <w:rPr>
          <w:rFonts w:ascii="Times New Roman" w:cs="Times New Roman" w:hAnsi="Times New Roman"/>
          <w:sz w:val="24"/>
        </w:rPr>
        <w:tab/>
      </w:r>
      <w:r>
        <w:rPr>
          <w:rFonts w:ascii="Times New Roman" w:cs="Times New Roman" w:hAnsi="Times New Roman"/>
          <w:i/>
          <w:iCs/>
          <w:sz w:val="24"/>
        </w:rPr>
        <w:t xml:space="preserve">University of Dar </w:t>
      </w:r>
      <w:r>
        <w:rPr>
          <w:rFonts w:ascii="Times New Roman" w:cs="Times New Roman" w:hAnsi="Times New Roman"/>
          <w:i/>
          <w:iCs/>
          <w:sz w:val="24"/>
        </w:rPr>
        <w:t>es</w:t>
      </w:r>
      <w:r>
        <w:rPr>
          <w:rFonts w:ascii="Times New Roman" w:cs="Times New Roman" w:hAnsi="Times New Roman"/>
          <w:i/>
          <w:iCs/>
          <w:sz w:val="24"/>
        </w:rPr>
        <w:t xml:space="preserve"> Salaam Library Journal, 16</w:t>
      </w:r>
      <w:r>
        <w:rPr>
          <w:rFonts w:ascii="Times New Roman" w:cs="Times New Roman" w:hAnsi="Times New Roman"/>
          <w:sz w:val="24"/>
        </w:rPr>
        <w:t>(2), 45–61.</w:t>
      </w:r>
    </w:p>
    <w:p w14:paraId="DE80BA69">
      <w:pPr>
        <w:pStyle w:val="style0"/>
        <w:spacing w:after="0" w:lineRule="auto" w:line="360"/>
        <w:jc w:val="both"/>
        <w:rPr>
          <w:rFonts w:ascii="Times New Roman" w:cs="Times New Roman" w:hAnsi="Times New Roman"/>
          <w:sz w:val="24"/>
        </w:rPr>
      </w:pPr>
      <w:r>
        <w:rPr>
          <w:rFonts w:ascii="Times New Roman" w:cs="Times New Roman" w:hAnsi="Times New Roman"/>
          <w:sz w:val="24"/>
        </w:rPr>
        <w:t>Mavodza</w:t>
      </w:r>
      <w:r>
        <w:rPr>
          <w:rFonts w:ascii="Times New Roman" w:cs="Times New Roman" w:hAnsi="Times New Roman"/>
          <w:sz w:val="24"/>
        </w:rPr>
        <w:t xml:space="preserve">, J. (2021). Competencies for librarians in the digital environment: A review of emerging </w:t>
      </w:r>
      <w:r>
        <w:rPr>
          <w:rFonts w:ascii="Times New Roman" w:cs="Times New Roman" w:hAnsi="Times New Roman"/>
          <w:sz w:val="24"/>
        </w:rPr>
        <w:tab/>
      </w:r>
      <w:r>
        <w:rPr>
          <w:rFonts w:ascii="Times New Roman" w:cs="Times New Roman" w:hAnsi="Times New Roman"/>
          <w:sz w:val="24"/>
        </w:rPr>
        <w:t xml:space="preserve">issues and challenges. </w:t>
      </w:r>
      <w:r>
        <w:rPr>
          <w:rFonts w:ascii="Times New Roman" w:cs="Times New Roman" w:hAnsi="Times New Roman"/>
          <w:i/>
          <w:iCs/>
          <w:sz w:val="24"/>
        </w:rPr>
        <w:t>Library Management, 42</w:t>
      </w:r>
      <w:r>
        <w:rPr>
          <w:rFonts w:ascii="Times New Roman" w:cs="Times New Roman" w:hAnsi="Times New Roman"/>
          <w:sz w:val="24"/>
        </w:rPr>
        <w:t>(8/9), 531–545.</w:t>
      </w:r>
    </w:p>
    <w:p w14:paraId="D4C1960B">
      <w:pPr>
        <w:pStyle w:val="style0"/>
        <w:spacing w:after="0" w:lineRule="auto" w:line="360"/>
        <w:jc w:val="both"/>
        <w:rPr>
          <w:rFonts w:ascii="Times New Roman" w:cs="Times New Roman" w:hAnsi="Times New Roman"/>
          <w:sz w:val="24"/>
        </w:rPr>
      </w:pPr>
      <w:r>
        <w:rPr>
          <w:rFonts w:ascii="Times New Roman" w:cs="Times New Roman" w:hAnsi="Times New Roman"/>
          <w:sz w:val="24"/>
        </w:rPr>
        <w:t>Nugroho</w:t>
      </w:r>
      <w:r>
        <w:rPr>
          <w:rFonts w:ascii="Times New Roman" w:cs="Times New Roman" w:hAnsi="Times New Roman"/>
          <w:sz w:val="24"/>
        </w:rPr>
        <w:t xml:space="preserve">, A., </w:t>
      </w:r>
      <w:r>
        <w:rPr>
          <w:rFonts w:ascii="Times New Roman" w:cs="Times New Roman" w:hAnsi="Times New Roman"/>
          <w:sz w:val="24"/>
        </w:rPr>
        <w:t>Sihombing</w:t>
      </w:r>
      <w:r>
        <w:rPr>
          <w:rFonts w:ascii="Times New Roman" w:cs="Times New Roman" w:hAnsi="Times New Roman"/>
          <w:sz w:val="24"/>
        </w:rPr>
        <w:t xml:space="preserve">, S. O., &amp; </w:t>
      </w:r>
      <w:r>
        <w:rPr>
          <w:rFonts w:ascii="Times New Roman" w:cs="Times New Roman" w:hAnsi="Times New Roman"/>
          <w:sz w:val="24"/>
        </w:rPr>
        <w:t>Wirawan</w:t>
      </w:r>
      <w:r>
        <w:rPr>
          <w:rFonts w:ascii="Times New Roman" w:cs="Times New Roman" w:hAnsi="Times New Roman"/>
          <w:sz w:val="24"/>
        </w:rPr>
        <w:t xml:space="preserve">, E. D. (2022). Factors affecting the continuation to </w:t>
      </w:r>
      <w:r>
        <w:rPr>
          <w:rFonts w:ascii="Times New Roman" w:cs="Times New Roman" w:hAnsi="Times New Roman"/>
          <w:sz w:val="24"/>
        </w:rPr>
        <w:tab/>
      </w:r>
      <w:r>
        <w:rPr>
          <w:rFonts w:ascii="Times New Roman" w:cs="Times New Roman" w:hAnsi="Times New Roman"/>
          <w:sz w:val="24"/>
        </w:rPr>
        <w:t xml:space="preserve">use and electronic word-of-mouth intention of online library resources by university </w:t>
      </w:r>
      <w:r>
        <w:rPr>
          <w:rFonts w:ascii="Times New Roman" w:cs="Times New Roman" w:hAnsi="Times New Roman"/>
          <w:sz w:val="24"/>
        </w:rPr>
        <w:tab/>
      </w:r>
      <w:r>
        <w:rPr>
          <w:rFonts w:ascii="Times New Roman" w:cs="Times New Roman" w:hAnsi="Times New Roman"/>
          <w:sz w:val="24"/>
        </w:rPr>
        <w:t xml:space="preserve">students. </w:t>
      </w:r>
      <w:r>
        <w:rPr>
          <w:rFonts w:ascii="Times New Roman" w:cs="Times New Roman" w:hAnsi="Times New Roman"/>
          <w:i/>
          <w:iCs/>
          <w:sz w:val="24"/>
        </w:rPr>
        <w:t>The Journal of Academic Librarianship, 48</w:t>
      </w:r>
      <w:r>
        <w:rPr>
          <w:rFonts w:ascii="Times New Roman" w:cs="Times New Roman" w:hAnsi="Times New Roman"/>
          <w:sz w:val="24"/>
        </w:rPr>
        <w:t xml:space="preserve">(6), Article 102592. </w:t>
      </w:r>
      <w:r>
        <w:rPr>
          <w:rFonts w:ascii="Times New Roman" w:cs="Times New Roman" w:hAnsi="Times New Roman"/>
          <w:sz w:val="24"/>
        </w:rPr>
        <w:tab/>
      </w:r>
      <w:r>
        <w:rPr/>
        <w:fldChar w:fldCharType="begin"/>
      </w:r>
      <w:r>
        <w:instrText xml:space="preserve"> HYPERLINK "https://doi.org/10.1016/j.acalib.2022.102592" </w:instrText>
      </w:r>
      <w:r>
        <w:rPr/>
        <w:fldChar w:fldCharType="separate"/>
      </w:r>
      <w:r>
        <w:rPr>
          <w:rStyle w:val="style85"/>
          <w:rFonts w:ascii="Times New Roman" w:cs="Times New Roman" w:hAnsi="Times New Roman"/>
          <w:sz w:val="24"/>
        </w:rPr>
        <w:t>https://doi.org/10.1016/j.acalib.2022.102592</w:t>
      </w:r>
      <w:r>
        <w:rPr/>
        <w:fldChar w:fldCharType="end"/>
      </w:r>
    </w:p>
    <w:p w14:paraId="18E1AF5D">
      <w:pPr>
        <w:pStyle w:val="style0"/>
        <w:spacing w:after="0" w:lineRule="auto" w:line="360"/>
        <w:jc w:val="both"/>
        <w:rPr>
          <w:rFonts w:ascii="Times New Roman" w:cs="Times New Roman" w:hAnsi="Times New Roman"/>
          <w:sz w:val="24"/>
        </w:rPr>
      </w:pPr>
      <w:r>
        <w:rPr>
          <w:rFonts w:ascii="Times New Roman" w:cs="Times New Roman" w:hAnsi="Times New Roman"/>
          <w:sz w:val="24"/>
        </w:rPr>
        <w:t>Ogunmodede</w:t>
      </w:r>
      <w:r>
        <w:rPr>
          <w:rFonts w:ascii="Times New Roman" w:cs="Times New Roman" w:hAnsi="Times New Roman"/>
          <w:sz w:val="24"/>
        </w:rPr>
        <w:t xml:space="preserve">, T. A., </w:t>
      </w:r>
      <w:r>
        <w:rPr>
          <w:rFonts w:ascii="Times New Roman" w:cs="Times New Roman" w:hAnsi="Times New Roman"/>
          <w:sz w:val="24"/>
        </w:rPr>
        <w:t>Adio</w:t>
      </w:r>
      <w:r>
        <w:rPr>
          <w:rFonts w:ascii="Times New Roman" w:cs="Times New Roman" w:hAnsi="Times New Roman"/>
          <w:sz w:val="24"/>
        </w:rPr>
        <w:t xml:space="preserve">, G., &amp; </w:t>
      </w:r>
      <w:r>
        <w:rPr>
          <w:rFonts w:ascii="Times New Roman" w:cs="Times New Roman" w:hAnsi="Times New Roman"/>
          <w:sz w:val="24"/>
        </w:rPr>
        <w:t>Olasina</w:t>
      </w:r>
      <w:r>
        <w:rPr>
          <w:rFonts w:ascii="Times New Roman" w:cs="Times New Roman" w:hAnsi="Times New Roman"/>
          <w:sz w:val="24"/>
        </w:rPr>
        <w:t xml:space="preserve">, G. (2023). Professional competencies and service </w:t>
      </w:r>
      <w:r>
        <w:rPr>
          <w:rFonts w:ascii="Times New Roman" w:cs="Times New Roman" w:hAnsi="Times New Roman"/>
          <w:sz w:val="24"/>
        </w:rPr>
        <w:tab/>
      </w:r>
      <w:r>
        <w:rPr>
          <w:rFonts w:ascii="Times New Roman" w:cs="Times New Roman" w:hAnsi="Times New Roman"/>
          <w:sz w:val="24"/>
        </w:rPr>
        <w:t xml:space="preserve">delivery effectiveness among academic librarians in Nigerian universities. </w:t>
      </w:r>
      <w:r>
        <w:rPr>
          <w:rFonts w:ascii="Times New Roman" w:cs="Times New Roman" w:hAnsi="Times New Roman"/>
          <w:i/>
          <w:iCs/>
          <w:sz w:val="24"/>
        </w:rPr>
        <w:t xml:space="preserve">Library </w:t>
      </w:r>
      <w:r>
        <w:rPr>
          <w:rFonts w:ascii="Times New Roman" w:cs="Times New Roman" w:hAnsi="Times New Roman"/>
          <w:i/>
          <w:iCs/>
          <w:sz w:val="24"/>
        </w:rPr>
        <w:tab/>
      </w:r>
      <w:r>
        <w:rPr>
          <w:rFonts w:ascii="Times New Roman" w:cs="Times New Roman" w:hAnsi="Times New Roman"/>
          <w:i/>
          <w:iCs/>
          <w:sz w:val="24"/>
        </w:rPr>
        <w:t>Philosophy and Practice</w:t>
      </w:r>
      <w:r>
        <w:rPr>
          <w:rFonts w:ascii="Times New Roman" w:cs="Times New Roman" w:hAnsi="Times New Roman"/>
          <w:sz w:val="24"/>
        </w:rPr>
        <w:t>, 1–18.</w:t>
      </w:r>
    </w:p>
    <w:p w14:paraId="BFD3812C">
      <w:pPr>
        <w:pStyle w:val="style0"/>
        <w:spacing w:after="0" w:lineRule="auto" w:line="360"/>
        <w:jc w:val="both"/>
        <w:rPr>
          <w:rFonts w:ascii="Times New Roman" w:cs="Times New Roman" w:hAnsi="Times New Roman"/>
          <w:sz w:val="24"/>
        </w:rPr>
      </w:pPr>
      <w:r>
        <w:rPr>
          <w:rFonts w:ascii="Times New Roman" w:cs="Times New Roman" w:hAnsi="Times New Roman"/>
          <w:sz w:val="24"/>
        </w:rPr>
        <w:t>Olatokun</w:t>
      </w:r>
      <w:r>
        <w:rPr>
          <w:rFonts w:ascii="Times New Roman" w:cs="Times New Roman" w:hAnsi="Times New Roman"/>
          <w:sz w:val="24"/>
        </w:rPr>
        <w:t xml:space="preserve">, W. M., &amp; </w:t>
      </w:r>
      <w:r>
        <w:rPr>
          <w:rFonts w:ascii="Times New Roman" w:cs="Times New Roman" w:hAnsi="Times New Roman"/>
          <w:sz w:val="24"/>
        </w:rPr>
        <w:t>Aina</w:t>
      </w:r>
      <w:r>
        <w:rPr>
          <w:rFonts w:ascii="Times New Roman" w:cs="Times New Roman" w:hAnsi="Times New Roman"/>
          <w:sz w:val="24"/>
        </w:rPr>
        <w:t xml:space="preserve">, L. O. (2023). Electronic information resource utilisation and research </w:t>
      </w:r>
      <w:r>
        <w:rPr>
          <w:rFonts w:ascii="Times New Roman" w:cs="Times New Roman" w:hAnsi="Times New Roman"/>
          <w:sz w:val="24"/>
        </w:rPr>
        <w:tab/>
      </w:r>
      <w:r>
        <w:rPr>
          <w:rFonts w:ascii="Times New Roman" w:cs="Times New Roman" w:hAnsi="Times New Roman"/>
          <w:sz w:val="24"/>
        </w:rPr>
        <w:t xml:space="preserve">productivity among postgraduate students in Nigerian universities. </w:t>
      </w:r>
      <w:r>
        <w:rPr>
          <w:rFonts w:ascii="Times New Roman" w:cs="Times New Roman" w:hAnsi="Times New Roman"/>
          <w:i/>
          <w:iCs/>
          <w:sz w:val="24"/>
        </w:rPr>
        <w:t xml:space="preserve">African Journal of </w:t>
      </w:r>
      <w:r>
        <w:rPr>
          <w:rFonts w:ascii="Times New Roman" w:cs="Times New Roman" w:hAnsi="Times New Roman"/>
          <w:i/>
          <w:iCs/>
          <w:sz w:val="24"/>
        </w:rPr>
        <w:tab/>
      </w:r>
      <w:r>
        <w:rPr>
          <w:rFonts w:ascii="Times New Roman" w:cs="Times New Roman" w:hAnsi="Times New Roman"/>
          <w:i/>
          <w:iCs/>
          <w:sz w:val="24"/>
        </w:rPr>
        <w:t>Library, Archives and Information Science, 33</w:t>
      </w:r>
      <w:r>
        <w:rPr>
          <w:rFonts w:ascii="Times New Roman" w:cs="Times New Roman" w:hAnsi="Times New Roman"/>
          <w:sz w:val="24"/>
        </w:rPr>
        <w:t>(1), 27–42.</w:t>
      </w:r>
    </w:p>
    <w:p w14:paraId="2673C900">
      <w:pPr>
        <w:pStyle w:val="style0"/>
        <w:spacing w:after="0" w:lineRule="auto" w:line="360"/>
        <w:jc w:val="both"/>
        <w:rPr>
          <w:rFonts w:ascii="Times New Roman" w:cs="Times New Roman" w:hAnsi="Times New Roman"/>
          <w:sz w:val="24"/>
        </w:rPr>
      </w:pPr>
      <w:r>
        <w:rPr>
          <w:rFonts w:ascii="Times New Roman" w:cs="Times New Roman" w:hAnsi="Times New Roman"/>
          <w:sz w:val="24"/>
        </w:rPr>
        <w:t xml:space="preserve">Tai, L. A., </w:t>
      </w:r>
      <w:r>
        <w:rPr>
          <w:rFonts w:ascii="Times New Roman" w:cs="Times New Roman" w:hAnsi="Times New Roman"/>
          <w:sz w:val="24"/>
        </w:rPr>
        <w:t>Oby</w:t>
      </w:r>
      <w:r>
        <w:rPr>
          <w:rFonts w:ascii="Times New Roman" w:cs="Times New Roman" w:hAnsi="Times New Roman"/>
          <w:sz w:val="24"/>
        </w:rPr>
        <w:t xml:space="preserve">, G. O., </w:t>
      </w:r>
      <w:r>
        <w:rPr>
          <w:rFonts w:ascii="Times New Roman" w:cs="Times New Roman" w:hAnsi="Times New Roman"/>
          <w:sz w:val="24"/>
        </w:rPr>
        <w:t>Fasina</w:t>
      </w:r>
      <w:r>
        <w:rPr>
          <w:rFonts w:ascii="Times New Roman" w:cs="Times New Roman" w:hAnsi="Times New Roman"/>
          <w:sz w:val="24"/>
        </w:rPr>
        <w:t xml:space="preserve">, J. E., &amp; </w:t>
      </w:r>
      <w:r>
        <w:rPr>
          <w:rFonts w:ascii="Times New Roman" w:cs="Times New Roman" w:hAnsi="Times New Roman"/>
          <w:sz w:val="24"/>
        </w:rPr>
        <w:t>Adetola</w:t>
      </w:r>
      <w:r>
        <w:rPr>
          <w:rFonts w:ascii="Times New Roman" w:cs="Times New Roman" w:hAnsi="Times New Roman"/>
          <w:sz w:val="24"/>
        </w:rPr>
        <w:t xml:space="preserve">, A. (2026). Perceived accessibility and postgraduate </w:t>
      </w:r>
      <w:r>
        <w:rPr>
          <w:rFonts w:ascii="Times New Roman" w:cs="Times New Roman" w:hAnsi="Times New Roman"/>
          <w:sz w:val="24"/>
        </w:rPr>
        <w:tab/>
      </w:r>
      <w:r>
        <w:rPr>
          <w:rFonts w:ascii="Times New Roman" w:cs="Times New Roman" w:hAnsi="Times New Roman"/>
          <w:sz w:val="24"/>
        </w:rPr>
        <w:t xml:space="preserve">students' intention to use library e-resources for research. </w:t>
      </w:r>
      <w:r>
        <w:rPr>
          <w:rFonts w:ascii="Times New Roman" w:cs="Times New Roman" w:hAnsi="Times New Roman"/>
          <w:i/>
          <w:iCs/>
          <w:sz w:val="24"/>
        </w:rPr>
        <w:t xml:space="preserve">Educational Technology Journal, </w:t>
      </w:r>
      <w:r>
        <w:rPr>
          <w:rFonts w:ascii="Times New Roman" w:cs="Times New Roman" w:hAnsi="Times New Roman"/>
          <w:i/>
          <w:iCs/>
          <w:sz w:val="24"/>
        </w:rPr>
        <w:tab/>
      </w:r>
      <w:r>
        <w:rPr>
          <w:rFonts w:ascii="Times New Roman" w:cs="Times New Roman" w:hAnsi="Times New Roman"/>
          <w:i/>
          <w:iCs/>
          <w:sz w:val="24"/>
        </w:rPr>
        <w:t>6</w:t>
      </w:r>
      <w:r>
        <w:rPr>
          <w:rFonts w:ascii="Times New Roman" w:cs="Times New Roman" w:hAnsi="Times New Roman"/>
          <w:sz w:val="24"/>
        </w:rPr>
        <w:t>(1), 95–114.</w:t>
      </w:r>
    </w:p>
    <w:p w14:paraId="A176F20B">
      <w:pPr>
        <w:pStyle w:val="style0"/>
        <w:spacing w:after="0" w:lineRule="auto" w:line="360"/>
        <w:jc w:val="both"/>
        <w:rPr>
          <w:rFonts w:ascii="Times New Roman" w:cs="Times New Roman" w:hAnsi="Times New Roman"/>
          <w:sz w:val="24"/>
        </w:rPr>
      </w:pPr>
      <w:r>
        <w:rPr>
          <w:rFonts w:ascii="Times New Roman" w:cs="Times New Roman" w:hAnsi="Times New Roman"/>
          <w:sz w:val="24"/>
        </w:rPr>
        <w:t>Yeboah</w:t>
      </w:r>
      <w:r>
        <w:rPr>
          <w:rFonts w:ascii="Times New Roman" w:cs="Times New Roman" w:hAnsi="Times New Roman"/>
          <w:sz w:val="24"/>
        </w:rPr>
        <w:t xml:space="preserve">, P., </w:t>
      </w:r>
      <w:r>
        <w:rPr>
          <w:rFonts w:ascii="Times New Roman" w:cs="Times New Roman" w:hAnsi="Times New Roman"/>
          <w:sz w:val="24"/>
        </w:rPr>
        <w:t>Msonge</w:t>
      </w:r>
      <w:r>
        <w:rPr>
          <w:rFonts w:ascii="Times New Roman" w:cs="Times New Roman" w:hAnsi="Times New Roman"/>
          <w:sz w:val="24"/>
        </w:rPr>
        <w:t xml:space="preserve">, V., &amp; </w:t>
      </w:r>
      <w:r>
        <w:rPr>
          <w:rFonts w:ascii="Times New Roman" w:cs="Times New Roman" w:hAnsi="Times New Roman"/>
          <w:sz w:val="24"/>
        </w:rPr>
        <w:t>Muneja</w:t>
      </w:r>
      <w:r>
        <w:rPr>
          <w:rFonts w:ascii="Times New Roman" w:cs="Times New Roman" w:hAnsi="Times New Roman"/>
          <w:sz w:val="24"/>
        </w:rPr>
        <w:t xml:space="preserve">, P. (2026). Assessing postgraduate students' awareness and </w:t>
      </w:r>
      <w:r>
        <w:rPr>
          <w:rFonts w:ascii="Times New Roman" w:cs="Times New Roman" w:hAnsi="Times New Roman"/>
          <w:sz w:val="24"/>
        </w:rPr>
        <w:tab/>
      </w:r>
      <w:r>
        <w:rPr>
          <w:rFonts w:ascii="Times New Roman" w:cs="Times New Roman" w:hAnsi="Times New Roman"/>
          <w:sz w:val="24"/>
        </w:rPr>
        <w:t xml:space="preserve">usage of electronic library services in selected universities in Ghana. </w:t>
      </w:r>
      <w:r>
        <w:rPr>
          <w:rFonts w:ascii="Times New Roman" w:cs="Times New Roman" w:hAnsi="Times New Roman"/>
          <w:i/>
          <w:iCs/>
          <w:sz w:val="24"/>
        </w:rPr>
        <w:t xml:space="preserve">Social Sciences &amp; </w:t>
      </w:r>
      <w:r>
        <w:rPr>
          <w:rFonts w:ascii="Times New Roman" w:cs="Times New Roman" w:hAnsi="Times New Roman"/>
          <w:i/>
          <w:iCs/>
          <w:sz w:val="24"/>
        </w:rPr>
        <w:tab/>
      </w:r>
      <w:r>
        <w:rPr>
          <w:rFonts w:ascii="Times New Roman" w:cs="Times New Roman" w:hAnsi="Times New Roman"/>
          <w:i/>
          <w:iCs/>
          <w:sz w:val="24"/>
        </w:rPr>
        <w:t>Humanities Open, 13</w:t>
      </w:r>
      <w:r>
        <w:rPr>
          <w:rFonts w:ascii="Times New Roman" w:cs="Times New Roman" w:hAnsi="Times New Roman"/>
          <w:sz w:val="24"/>
        </w:rPr>
        <w:t xml:space="preserve">, Article 102563. </w:t>
      </w:r>
      <w:r>
        <w:rPr/>
        <w:fldChar w:fldCharType="begin"/>
      </w:r>
      <w:r>
        <w:instrText xml:space="preserve"> HYPERLINK "https://doi.org/10.1016/j.ssaho.2026.102563" </w:instrText>
      </w:r>
      <w:r>
        <w:rPr/>
        <w:fldChar w:fldCharType="separate"/>
      </w:r>
      <w:r>
        <w:rPr>
          <w:rStyle w:val="style85"/>
          <w:rFonts w:ascii="Times New Roman" w:cs="Times New Roman" w:hAnsi="Times New Roman"/>
          <w:sz w:val="24"/>
        </w:rPr>
        <w:t>https://doi.org/10.1016/j.ssaho.2026.102563</w:t>
      </w:r>
      <w:r>
        <w:rPr/>
        <w:fldChar w:fldCharType="end"/>
      </w:r>
    </w:p>
    <w:bookmarkStart w:id="0" w:name="_GoBack"/>
    <w:bookmarkEnd w:id="0"/>
    <w:p w14:paraId="B47CCBAA">
      <w:pPr>
        <w:pStyle w:val="style0"/>
        <w:spacing w:after="0" w:lineRule="auto" w:line="360"/>
        <w:jc w:val="both"/>
        <w:rPr>
          <w:rFonts w:ascii="Times New Roman" w:cs="Times New Roman" w:hAnsi="Times New Roman"/>
          <w:sz w:val="24"/>
        </w:rPr>
      </w:pPr>
    </w:p>
    <w:sectPr>
      <w:foot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8A61A59">
    <w:pPr>
      <w:pStyle w:val="style32"/>
      <w:jc w:val="center"/>
      <w:rPr/>
    </w:pPr>
    <w:r>
      <w:rPr/>
      <w:fldChar w:fldCharType="begin"/>
    </w:r>
    <w:r>
      <w:instrText xml:space="preserve"> PAGE   \* MERGEFORMAT </w:instrText>
    </w:r>
    <w:r>
      <w:rPr/>
      <w:fldChar w:fldCharType="separate"/>
    </w:r>
    <w:r>
      <w:rPr>
        <w:noProof/>
      </w:rPr>
      <w:t>19</w:t>
    </w:r>
    <w:r>
      <w:rPr>
        <w:noProof/>
      </w:rPr>
      <w:fldChar w:fldCharType="end"/>
    </w:r>
  </w:p>
  <w:p w14:paraId="3464653D">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8358584C"/>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
    <w:nsid w:val="00000001"/>
    <w:multiLevelType w:val="multilevel"/>
    <w:tmpl w:val="1B609FF2"/>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
    <w:nsid w:val="00000002"/>
    <w:multiLevelType w:val="multilevel"/>
    <w:tmpl w:val="111E2F7A"/>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num w:numId="1">
    <w:abstractNumId w:val="2"/>
  </w:num>
  <w:num w:numId="2">
    <w:abstractNumId w:val="1"/>
  </w:num>
  <w:num w:numId="3">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563c1"/>
      <w:u w:val="single"/>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299390a7-27ee-479d-9ba1-face5aa95160"/>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0ede19df-47d3-452c-a131-874a529b0a2c"/>
    <w:basedOn w:val="style65"/>
    <w:next w:val="style4098"/>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Words>5964</Words>
  <Pages>20</Pages>
  <Characters>40671</Characters>
  <Application>WPS Office</Application>
  <DocSecurity>0</DocSecurity>
  <Paragraphs>309</Paragraphs>
  <ScaleCrop>false</ScaleCrop>
  <LinksUpToDate>false</LinksUpToDate>
  <CharactersWithSpaces>46406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2026-06-16T08:58:00Z</dcterms:created>
  <dc:creator>Engr Julius Otitolaiye</dc:creator>
  <lastModifiedBy>Infinix X6525</lastModifiedBy>
  <dcterms:modified xsi:type="dcterms:W3CDTF">2026-07-03T10:59:36Z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cdaf31c1c4894ff196b841832a3f5c9a_23</vt:lpwstr>
  </property>
</Properties>
</file>