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9B870" w14:textId="77777777" w:rsidR="002A2EBD" w:rsidRPr="002A2EBD" w:rsidRDefault="002A2EBD" w:rsidP="002A2EBD">
      <w:pPr>
        <w:spacing w:line="360" w:lineRule="auto"/>
        <w:jc w:val="center"/>
        <w:rPr>
          <w:rFonts w:ascii="Times New Roman" w:eastAsia="Calibri" w:hAnsi="Times New Roman" w:cs="Times New Roman"/>
          <w:b/>
          <w:bCs/>
          <w:sz w:val="24"/>
          <w:szCs w:val="24"/>
          <w:lang w:val="en-US"/>
        </w:rPr>
      </w:pPr>
      <w:r w:rsidRPr="002A2EBD">
        <w:rPr>
          <w:rFonts w:ascii="Times New Roman" w:eastAsia="Calibri" w:hAnsi="Times New Roman" w:cs="Times New Roman"/>
          <w:b/>
          <w:bCs/>
          <w:sz w:val="24"/>
          <w:szCs w:val="24"/>
          <w:lang w:val="en-US"/>
        </w:rPr>
        <w:t>Gender Differentiation as Correlates of Electronic Information Resources Utilization by Medical Students in Federal Universities in South-west, Nigeria</w:t>
      </w:r>
    </w:p>
    <w:p w14:paraId="08056A1F" w14:textId="77777777" w:rsidR="002A2EBD" w:rsidRDefault="002A2EBD" w:rsidP="002A2EBD">
      <w:pPr>
        <w:spacing w:line="360" w:lineRule="auto"/>
        <w:jc w:val="center"/>
        <w:rPr>
          <w:rFonts w:ascii="Times New Roman" w:eastAsia="Calibri" w:hAnsi="Times New Roman" w:cs="Times New Roman"/>
          <w:b/>
          <w:bCs/>
          <w:sz w:val="24"/>
          <w:szCs w:val="24"/>
          <w:lang w:val="en-US"/>
        </w:rPr>
      </w:pPr>
      <w:r w:rsidRPr="002A2EBD">
        <w:rPr>
          <w:rFonts w:ascii="Times New Roman" w:eastAsia="Calibri" w:hAnsi="Times New Roman" w:cs="Times New Roman"/>
          <w:b/>
          <w:bCs/>
          <w:sz w:val="24"/>
          <w:szCs w:val="24"/>
          <w:lang w:val="en-US"/>
        </w:rPr>
        <w:t>By</w:t>
      </w:r>
    </w:p>
    <w:p w14:paraId="416E11DC" w14:textId="7E8405FF" w:rsidR="00DD2895" w:rsidRPr="00460BB8" w:rsidRDefault="00DD2895" w:rsidP="00DD2895">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4"/>
          <w:szCs w:val="24"/>
          <w:lang w:val="en-US"/>
        </w:rPr>
        <w:t xml:space="preserve">          </w:t>
      </w:r>
      <w:r w:rsidR="00207725">
        <w:rPr>
          <w:rFonts w:ascii="Times New Roman" w:eastAsia="Calibri" w:hAnsi="Times New Roman" w:cs="Times New Roman"/>
          <w:b/>
          <w:bCs/>
          <w:sz w:val="24"/>
          <w:szCs w:val="24"/>
          <w:lang w:val="en-US"/>
        </w:rPr>
        <w:t xml:space="preserve">DR. </w:t>
      </w:r>
      <w:r w:rsidR="00E871B8">
        <w:rPr>
          <w:rFonts w:ascii="Times New Roman" w:eastAsia="Calibri" w:hAnsi="Times New Roman" w:cs="Times New Roman"/>
          <w:b/>
          <w:bCs/>
          <w:sz w:val="24"/>
          <w:szCs w:val="24"/>
          <w:lang w:val="en-US"/>
        </w:rPr>
        <w:t xml:space="preserve">OLADEJI, YETUNDE OLADOYIN </w:t>
      </w:r>
      <w:r>
        <w:rPr>
          <w:rFonts w:ascii="Times New Roman" w:eastAsia="Calibri" w:hAnsi="Times New Roman" w:cs="Times New Roman"/>
          <w:b/>
          <w:bCs/>
          <w:sz w:val="24"/>
          <w:szCs w:val="24"/>
          <w:lang w:val="en-US"/>
        </w:rPr>
        <w:t xml:space="preserve">&amp; </w:t>
      </w:r>
      <w:r w:rsidRPr="00460BB8">
        <w:rPr>
          <w:rFonts w:ascii="Times New Roman" w:eastAsia="Calibri" w:hAnsi="Times New Roman" w:cs="Times New Roman"/>
          <w:b/>
          <w:bCs/>
          <w:sz w:val="28"/>
          <w:szCs w:val="28"/>
        </w:rPr>
        <w:t>DR. OWOLABI, R. O.</w:t>
      </w:r>
    </w:p>
    <w:p w14:paraId="740A6110" w14:textId="4238FF6D" w:rsidR="00E871B8" w:rsidRPr="003D42B7" w:rsidRDefault="00DD2895" w:rsidP="00DD2895">
      <w:pPr>
        <w:spacing w:after="0" w:line="276" w:lineRule="auto"/>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 xml:space="preserve">                                     </w:t>
      </w:r>
      <w:r w:rsidR="00E871B8" w:rsidRPr="003D42B7">
        <w:rPr>
          <w:rFonts w:ascii="Times New Roman" w:eastAsia="Calibri" w:hAnsi="Times New Roman" w:cs="Times New Roman"/>
          <w:b/>
          <w:bCs/>
          <w:sz w:val="24"/>
          <w:szCs w:val="24"/>
          <w:lang w:val="en-US"/>
        </w:rPr>
        <w:t xml:space="preserve">Department of Information Resources Management  </w:t>
      </w:r>
    </w:p>
    <w:p w14:paraId="4D3AA410" w14:textId="1F755030" w:rsidR="00E871B8" w:rsidRPr="003D42B7" w:rsidRDefault="00DD2895" w:rsidP="00E871B8">
      <w:pPr>
        <w:spacing w:after="0" w:line="276" w:lineRule="auto"/>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 xml:space="preserve">  </w:t>
      </w:r>
      <w:r w:rsidR="00E871B8" w:rsidRPr="003D42B7">
        <w:rPr>
          <w:rFonts w:ascii="Times New Roman" w:eastAsia="Calibri" w:hAnsi="Times New Roman" w:cs="Times New Roman"/>
          <w:b/>
          <w:bCs/>
          <w:sz w:val="24"/>
          <w:szCs w:val="24"/>
          <w:lang w:val="en-US"/>
        </w:rPr>
        <w:t xml:space="preserve">Babcock University, Ilishan, Remo, </w:t>
      </w:r>
    </w:p>
    <w:p w14:paraId="5DB4E063" w14:textId="77777777" w:rsidR="00E871B8" w:rsidRDefault="00E871B8" w:rsidP="00E871B8">
      <w:pPr>
        <w:spacing w:after="0" w:line="276" w:lineRule="auto"/>
        <w:jc w:val="center"/>
        <w:rPr>
          <w:rFonts w:ascii="Times New Roman" w:eastAsia="Calibri" w:hAnsi="Times New Roman" w:cs="Times New Roman"/>
          <w:b/>
          <w:bCs/>
          <w:sz w:val="24"/>
          <w:szCs w:val="24"/>
          <w:lang w:val="en-US"/>
        </w:rPr>
      </w:pPr>
      <w:r w:rsidRPr="003D42B7">
        <w:rPr>
          <w:rFonts w:ascii="Times New Roman" w:eastAsia="Calibri" w:hAnsi="Times New Roman" w:cs="Times New Roman"/>
          <w:b/>
          <w:bCs/>
          <w:sz w:val="24"/>
          <w:szCs w:val="24"/>
          <w:lang w:val="en-US"/>
        </w:rPr>
        <w:t>Ogun State, Nigeria.</w:t>
      </w:r>
    </w:p>
    <w:p w14:paraId="6513D5D0" w14:textId="77777777" w:rsidR="00586934" w:rsidRPr="00586934" w:rsidRDefault="00586934" w:rsidP="002A2EBD">
      <w:pPr>
        <w:spacing w:line="360" w:lineRule="auto"/>
        <w:rPr>
          <w:rFonts w:ascii="Times New Roman" w:eastAsia="Calibri" w:hAnsi="Times New Roman" w:cs="Times New Roman"/>
          <w:b/>
          <w:bCs/>
          <w:sz w:val="24"/>
          <w:szCs w:val="24"/>
          <w:lang w:val="en-US"/>
        </w:rPr>
      </w:pPr>
      <w:r w:rsidRPr="00586934">
        <w:rPr>
          <w:rFonts w:ascii="Times New Roman" w:eastAsia="Calibri" w:hAnsi="Times New Roman" w:cs="Times New Roman"/>
          <w:b/>
          <w:bCs/>
          <w:sz w:val="24"/>
          <w:szCs w:val="24"/>
          <w:lang w:val="en-US"/>
        </w:rPr>
        <w:t>Abstract</w:t>
      </w:r>
    </w:p>
    <w:p w14:paraId="44FE7BD5" w14:textId="77777777" w:rsidR="002575D3" w:rsidRPr="00D479BC" w:rsidRDefault="002575D3" w:rsidP="002575D3">
      <w:pPr>
        <w:spacing w:line="240" w:lineRule="auto"/>
        <w:jc w:val="both"/>
        <w:rPr>
          <w:rFonts w:ascii="Times New Roman" w:hAnsi="Times New Roman" w:cs="Times New Roman"/>
          <w:i/>
          <w:iCs/>
          <w:sz w:val="24"/>
          <w:szCs w:val="24"/>
          <w:lang w:bidi="en-US"/>
        </w:rPr>
      </w:pPr>
      <w:r w:rsidRPr="00D479BC">
        <w:rPr>
          <w:rFonts w:ascii="Times New Roman" w:hAnsi="Times New Roman" w:cs="Times New Roman"/>
          <w:i/>
          <w:iCs/>
          <w:sz w:val="24"/>
          <w:szCs w:val="24"/>
        </w:rPr>
        <w:t xml:space="preserve">This study investigated gender differentiation as correlates of electronic information resources utilisation by medical students in Federal Universities in South-west, Nigeria. </w:t>
      </w:r>
      <w:r w:rsidRPr="00D479BC">
        <w:rPr>
          <w:rFonts w:ascii="Times New Roman" w:hAnsi="Times New Roman" w:cs="Times New Roman"/>
          <w:i/>
          <w:iCs/>
          <w:sz w:val="24"/>
          <w:szCs w:val="24"/>
          <w:lang w:bidi="en-US"/>
        </w:rPr>
        <w:t xml:space="preserve">Descriptive survey design was adopted and a sample of 324 </w:t>
      </w:r>
      <w:r w:rsidR="007E1463">
        <w:rPr>
          <w:rFonts w:ascii="Times New Roman" w:hAnsi="Times New Roman" w:cs="Times New Roman"/>
          <w:i/>
          <w:iCs/>
          <w:sz w:val="24"/>
          <w:szCs w:val="24"/>
          <w:lang w:bidi="en-US"/>
        </w:rPr>
        <w:t>medical students</w:t>
      </w:r>
      <w:r w:rsidRPr="00D479BC">
        <w:rPr>
          <w:rFonts w:ascii="Times New Roman" w:hAnsi="Times New Roman" w:cs="Times New Roman"/>
          <w:i/>
          <w:iCs/>
          <w:sz w:val="24"/>
          <w:szCs w:val="24"/>
          <w:lang w:bidi="en-US"/>
        </w:rPr>
        <w:t xml:space="preserve"> were selected using stratified sampling technique. A self-developed questionnaire was used to collect data from 324 respondents, of which 301 copies were filled and returned. Data collected for the three research questions were analyzed using frequency counts, percentages and mean while inferential statistics of multiple linear regression was used to test the only null hypothesis of the study. The study found that </w:t>
      </w:r>
      <w:r w:rsidRPr="00D479BC">
        <w:rPr>
          <w:rFonts w:ascii="Times New Roman" w:eastAsia="Calibri" w:hAnsi="Times New Roman" w:cs="Times New Roman"/>
          <w:bCs/>
          <w:i/>
          <w:iCs/>
          <w:sz w:val="24"/>
          <w:szCs w:val="24"/>
        </w:rPr>
        <w:t>the overall extent of EIRs utilization by medical students is high (overall average mean = 2.98, SD = 0.41)</w:t>
      </w:r>
      <w:r w:rsidRPr="00D479BC">
        <w:rPr>
          <w:rFonts w:ascii="Times New Roman" w:hAnsi="Times New Roman" w:cs="Times New Roman"/>
          <w:i/>
          <w:iCs/>
          <w:sz w:val="24"/>
          <w:szCs w:val="24"/>
        </w:rPr>
        <w:t xml:space="preserve">. The results further showed that </w:t>
      </w:r>
      <w:r w:rsidRPr="00D479BC">
        <w:rPr>
          <w:rFonts w:ascii="Times New Roman" w:eastAsia="Calibri" w:hAnsi="Times New Roman" w:cs="Times New Roman"/>
          <w:bCs/>
          <w:i/>
          <w:iCs/>
          <w:sz w:val="24"/>
          <w:szCs w:val="24"/>
          <w:lang w:val="en-US"/>
        </w:rPr>
        <w:t xml:space="preserve">medical students perceive a moderate level of gender differentiation in their utilization of EIRs (overall average mean = 2.51, SD = 0.38). </w:t>
      </w:r>
      <w:r w:rsidRPr="00D479BC">
        <w:rPr>
          <w:rFonts w:ascii="Times New Roman" w:hAnsi="Times New Roman" w:cs="Times New Roman"/>
          <w:i/>
          <w:iCs/>
          <w:sz w:val="24"/>
          <w:szCs w:val="24"/>
        </w:rPr>
        <w:t xml:space="preserve"> Also, the results revealed that </w:t>
      </w:r>
      <w:r w:rsidRPr="00D479BC">
        <w:rPr>
          <w:rFonts w:ascii="Times New Roman" w:eastAsia="Calibri" w:hAnsi="Times New Roman" w:cs="Times New Roman"/>
          <w:bCs/>
          <w:i/>
          <w:iCs/>
          <w:sz w:val="24"/>
          <w:szCs w:val="24"/>
          <w:lang w:val="en-US"/>
        </w:rPr>
        <w:t xml:space="preserve">there are several </w:t>
      </w:r>
      <w:r w:rsidRPr="00D479BC">
        <w:rPr>
          <w:rFonts w:ascii="Times New Roman" w:eastAsia="Calibri" w:hAnsi="Times New Roman" w:cs="Times New Roman"/>
          <w:bCs/>
          <w:i/>
          <w:iCs/>
          <w:sz w:val="24"/>
          <w:szCs w:val="24"/>
        </w:rPr>
        <w:t>factors militating against electronic information resource utilization by medical students in federal universities in South-West, Nigeria</w:t>
      </w:r>
      <w:r w:rsidRPr="00D479BC">
        <w:rPr>
          <w:rFonts w:ascii="Times New Roman" w:eastAsia="Calibri" w:hAnsi="Times New Roman" w:cs="Times New Roman"/>
          <w:bCs/>
          <w:i/>
          <w:iCs/>
          <w:sz w:val="24"/>
          <w:szCs w:val="24"/>
          <w:lang w:val="en-US"/>
        </w:rPr>
        <w:t xml:space="preserve"> such as unavailability of latest computers, lack of printing facility, login problems encountered when accessing online platforms; and frequent power outages</w:t>
      </w:r>
      <w:r w:rsidRPr="00D479BC">
        <w:rPr>
          <w:rFonts w:ascii="Times New Roman" w:hAnsi="Times New Roman" w:cs="Times New Roman"/>
          <w:i/>
          <w:iCs/>
          <w:sz w:val="24"/>
          <w:szCs w:val="24"/>
        </w:rPr>
        <w:t>.</w:t>
      </w:r>
      <w:r w:rsidRPr="00D479BC">
        <w:rPr>
          <w:rFonts w:ascii="Times New Roman" w:hAnsi="Times New Roman" w:cs="Times New Roman"/>
          <w:i/>
          <w:iCs/>
          <w:sz w:val="24"/>
          <w:szCs w:val="24"/>
          <w:lang w:bidi="en-US"/>
        </w:rPr>
        <w:t xml:space="preserve"> The results of the hypothesis confirmed that gender differentiation </w:t>
      </w:r>
      <w:r w:rsidRPr="00D479BC">
        <w:rPr>
          <w:rFonts w:ascii="Times New Roman" w:eastAsia="Calibri" w:hAnsi="Times New Roman" w:cs="Times New Roman"/>
          <w:bCs/>
          <w:i/>
          <w:iCs/>
          <w:sz w:val="24"/>
          <w:szCs w:val="24"/>
          <w:lang w:val="en-US"/>
        </w:rPr>
        <w:t xml:space="preserve">has no significant influence on electronic information resources utilization by medical students in federal universities in South-West, Nigeria </w:t>
      </w:r>
      <w:r w:rsidRPr="00D479BC">
        <w:rPr>
          <w:rFonts w:ascii="Times New Roman" w:eastAsia="Calibri" w:hAnsi="Times New Roman" w:cs="Times New Roman"/>
          <w:bCs/>
          <w:i/>
          <w:iCs/>
          <w:sz w:val="24"/>
          <w:szCs w:val="24"/>
        </w:rPr>
        <w:t>(Adj. R</w:t>
      </w:r>
      <w:r w:rsidRPr="00D479BC">
        <w:rPr>
          <w:rFonts w:ascii="Times New Roman" w:eastAsia="Calibri" w:hAnsi="Times New Roman" w:cs="Times New Roman"/>
          <w:bCs/>
          <w:i/>
          <w:iCs/>
          <w:sz w:val="24"/>
          <w:szCs w:val="24"/>
          <w:vertAlign w:val="superscript"/>
        </w:rPr>
        <w:t xml:space="preserve">2 </w:t>
      </w:r>
      <w:r w:rsidRPr="00D479BC">
        <w:rPr>
          <w:rFonts w:ascii="Times New Roman" w:eastAsia="Calibri" w:hAnsi="Times New Roman" w:cs="Times New Roman"/>
          <w:bCs/>
          <w:i/>
          <w:iCs/>
          <w:sz w:val="24"/>
          <w:szCs w:val="24"/>
        </w:rPr>
        <w:t>= .</w:t>
      </w:r>
      <w:r w:rsidRPr="00D479BC">
        <w:rPr>
          <w:rFonts w:ascii="Times New Roman" w:eastAsia="Calibri" w:hAnsi="Times New Roman" w:cs="Times New Roman"/>
          <w:bCs/>
          <w:i/>
          <w:iCs/>
          <w:sz w:val="24"/>
          <w:szCs w:val="24"/>
          <w:lang w:val="en-US"/>
        </w:rPr>
        <w:t>001</w:t>
      </w:r>
      <w:r w:rsidRPr="00D479BC">
        <w:rPr>
          <w:rFonts w:ascii="Times New Roman" w:eastAsia="Calibri" w:hAnsi="Times New Roman" w:cs="Times New Roman"/>
          <w:bCs/>
          <w:i/>
          <w:iCs/>
          <w:sz w:val="24"/>
          <w:szCs w:val="24"/>
        </w:rPr>
        <w:t>, F (</w:t>
      </w:r>
      <w:r w:rsidRPr="00D479BC">
        <w:rPr>
          <w:rFonts w:ascii="Times New Roman" w:eastAsia="Calibri" w:hAnsi="Times New Roman" w:cs="Times New Roman"/>
          <w:bCs/>
          <w:i/>
          <w:iCs/>
          <w:sz w:val="24"/>
          <w:szCs w:val="24"/>
          <w:lang w:val="en-US"/>
        </w:rPr>
        <w:t>5</w:t>
      </w:r>
      <w:r w:rsidRPr="00D479BC">
        <w:rPr>
          <w:rFonts w:ascii="Times New Roman" w:eastAsia="Calibri" w:hAnsi="Times New Roman" w:cs="Times New Roman"/>
          <w:bCs/>
          <w:i/>
          <w:iCs/>
          <w:sz w:val="24"/>
          <w:szCs w:val="24"/>
        </w:rPr>
        <w:t xml:space="preserve">, </w:t>
      </w:r>
      <w:r w:rsidRPr="00D479BC">
        <w:rPr>
          <w:rFonts w:ascii="Times New Roman" w:eastAsia="Calibri" w:hAnsi="Times New Roman" w:cs="Times New Roman"/>
          <w:bCs/>
          <w:i/>
          <w:iCs/>
          <w:sz w:val="24"/>
          <w:szCs w:val="24"/>
          <w:lang w:val="en-US"/>
        </w:rPr>
        <w:t>295</w:t>
      </w:r>
      <w:r w:rsidRPr="00D479BC">
        <w:rPr>
          <w:rFonts w:ascii="Times New Roman" w:eastAsia="Calibri" w:hAnsi="Times New Roman" w:cs="Times New Roman"/>
          <w:bCs/>
          <w:i/>
          <w:iCs/>
          <w:sz w:val="24"/>
          <w:szCs w:val="24"/>
        </w:rPr>
        <w:t xml:space="preserve">) = </w:t>
      </w:r>
      <w:r w:rsidRPr="00D479BC">
        <w:rPr>
          <w:rFonts w:ascii="Times New Roman" w:eastAsia="Calibri" w:hAnsi="Times New Roman" w:cs="Times New Roman"/>
          <w:bCs/>
          <w:i/>
          <w:iCs/>
          <w:sz w:val="24"/>
          <w:szCs w:val="24"/>
          <w:lang w:val="en-US"/>
        </w:rPr>
        <w:t>1.053</w:t>
      </w:r>
      <w:r w:rsidRPr="00D479BC">
        <w:rPr>
          <w:rFonts w:ascii="Times New Roman" w:eastAsia="Calibri" w:hAnsi="Times New Roman" w:cs="Times New Roman"/>
          <w:bCs/>
          <w:i/>
          <w:iCs/>
          <w:sz w:val="24"/>
          <w:szCs w:val="24"/>
        </w:rPr>
        <w:t>, p</w:t>
      </w:r>
      <w:r w:rsidRPr="00D479BC">
        <w:rPr>
          <w:rFonts w:ascii="Times New Roman" w:eastAsia="Calibri" w:hAnsi="Times New Roman" w:cs="Times New Roman"/>
          <w:bCs/>
          <w:i/>
          <w:iCs/>
          <w:sz w:val="24"/>
          <w:szCs w:val="24"/>
          <w:lang w:val="en-US"/>
        </w:rPr>
        <w:t>&gt;</w:t>
      </w:r>
      <w:r w:rsidRPr="00D479BC">
        <w:rPr>
          <w:rFonts w:ascii="Times New Roman" w:eastAsia="Calibri" w:hAnsi="Times New Roman" w:cs="Times New Roman"/>
          <w:bCs/>
          <w:i/>
          <w:iCs/>
          <w:sz w:val="24"/>
          <w:szCs w:val="24"/>
        </w:rPr>
        <w:t>0.05)</w:t>
      </w:r>
      <w:r w:rsidRPr="00D479BC">
        <w:rPr>
          <w:rFonts w:ascii="Times New Roman" w:eastAsia="Calibri" w:hAnsi="Times New Roman" w:cs="Times New Roman"/>
          <w:bCs/>
          <w:i/>
          <w:iCs/>
          <w:sz w:val="24"/>
          <w:szCs w:val="24"/>
          <w:lang w:val="en-US"/>
        </w:rPr>
        <w:t xml:space="preserve">. </w:t>
      </w:r>
      <w:r w:rsidRPr="00D479BC">
        <w:rPr>
          <w:rFonts w:ascii="Times New Roman" w:hAnsi="Times New Roman" w:cs="Times New Roman"/>
          <w:i/>
          <w:iCs/>
          <w:sz w:val="24"/>
          <w:szCs w:val="24"/>
          <w:lang w:bidi="en-US"/>
        </w:rPr>
        <w:t xml:space="preserve"> The study recommends that </w:t>
      </w:r>
      <w:r w:rsidRPr="00D479BC">
        <w:rPr>
          <w:rFonts w:ascii="Times New Roman" w:eastAsia="Calibri" w:hAnsi="Times New Roman" w:cs="Times New Roman"/>
          <w:bCs/>
          <w:i/>
          <w:iCs/>
          <w:sz w:val="24"/>
          <w:szCs w:val="24"/>
          <w:lang w:val="en-US"/>
        </w:rPr>
        <w:t>universities should prioritize improving the technological infrastructure to facilitate better access to electronic information resources (EIR). This includes ensuring reliable internet connectivity, providing adequate computer facilities, and establishing uninterrupted power supply systems to enhance students' ability to access and utilize EIR effectively</w:t>
      </w:r>
      <w:r w:rsidRPr="00D479BC">
        <w:rPr>
          <w:rFonts w:ascii="Times New Roman" w:hAnsi="Times New Roman" w:cs="Times New Roman"/>
          <w:i/>
          <w:iCs/>
          <w:sz w:val="24"/>
          <w:szCs w:val="24"/>
          <w:lang w:bidi="en-US"/>
        </w:rPr>
        <w:t>.</w:t>
      </w:r>
    </w:p>
    <w:p w14:paraId="71E16A1A" w14:textId="5D304CB1" w:rsidR="00044601" w:rsidRDefault="00044601" w:rsidP="00044601">
      <w:pPr>
        <w:spacing w:line="240" w:lineRule="auto"/>
        <w:jc w:val="both"/>
        <w:rPr>
          <w:rFonts w:ascii="Times New Roman" w:hAnsi="Times New Roman" w:cs="Times New Roman"/>
          <w:iCs/>
          <w:sz w:val="24"/>
          <w:szCs w:val="24"/>
          <w:lang w:bidi="en-US"/>
        </w:rPr>
      </w:pPr>
      <w:r>
        <w:rPr>
          <w:rFonts w:ascii="Times New Roman" w:hAnsi="Times New Roman" w:cs="Times New Roman"/>
          <w:b/>
          <w:bCs/>
          <w:iCs/>
          <w:sz w:val="24"/>
          <w:szCs w:val="24"/>
          <w:lang w:bidi="en-US"/>
        </w:rPr>
        <w:t>Keywords:</w:t>
      </w:r>
      <w:r>
        <w:rPr>
          <w:rFonts w:ascii="Times New Roman" w:hAnsi="Times New Roman" w:cs="Times New Roman"/>
          <w:iCs/>
          <w:sz w:val="24"/>
          <w:szCs w:val="24"/>
          <w:lang w:bidi="en-US"/>
        </w:rPr>
        <w:t xml:space="preserve"> </w:t>
      </w:r>
      <w:r w:rsidR="006333B1">
        <w:rPr>
          <w:rFonts w:ascii="Times New Roman" w:hAnsi="Times New Roman" w:cs="Times New Roman"/>
          <w:i/>
          <w:sz w:val="24"/>
          <w:szCs w:val="24"/>
          <w:lang w:bidi="en-US"/>
        </w:rPr>
        <w:t>Gender</w:t>
      </w:r>
      <w:r>
        <w:rPr>
          <w:rFonts w:ascii="Times New Roman" w:hAnsi="Times New Roman" w:cs="Times New Roman"/>
          <w:i/>
          <w:sz w:val="24"/>
          <w:szCs w:val="24"/>
          <w:lang w:bidi="en-US"/>
        </w:rPr>
        <w:t xml:space="preserve">; </w:t>
      </w:r>
      <w:r w:rsidR="006333B1">
        <w:rPr>
          <w:rFonts w:ascii="Times New Roman" w:hAnsi="Times New Roman" w:cs="Times New Roman"/>
          <w:i/>
          <w:sz w:val="24"/>
          <w:szCs w:val="24"/>
          <w:lang w:bidi="en-US"/>
        </w:rPr>
        <w:t>Gender Differentiation</w:t>
      </w:r>
      <w:r>
        <w:rPr>
          <w:rFonts w:ascii="Times New Roman" w:hAnsi="Times New Roman" w:cs="Times New Roman"/>
          <w:i/>
          <w:sz w:val="24"/>
          <w:szCs w:val="24"/>
          <w:lang w:bidi="en-US"/>
        </w:rPr>
        <w:t xml:space="preserve">; </w:t>
      </w:r>
      <w:r w:rsidR="006333B1">
        <w:rPr>
          <w:rFonts w:ascii="Times New Roman" w:hAnsi="Times New Roman" w:cs="Times New Roman"/>
          <w:i/>
          <w:sz w:val="24"/>
          <w:szCs w:val="24"/>
          <w:lang w:bidi="en-US"/>
        </w:rPr>
        <w:t>EIR</w:t>
      </w:r>
      <w:r w:rsidR="00D35E8E">
        <w:rPr>
          <w:rFonts w:ascii="Times New Roman" w:hAnsi="Times New Roman" w:cs="Times New Roman"/>
          <w:i/>
          <w:sz w:val="24"/>
          <w:szCs w:val="24"/>
          <w:lang w:bidi="en-US"/>
        </w:rPr>
        <w:t>s</w:t>
      </w:r>
      <w:r>
        <w:rPr>
          <w:rFonts w:ascii="Times New Roman" w:hAnsi="Times New Roman" w:cs="Times New Roman"/>
          <w:i/>
          <w:sz w:val="24"/>
          <w:szCs w:val="24"/>
          <w:lang w:bidi="en-US"/>
        </w:rPr>
        <w:t xml:space="preserve">; </w:t>
      </w:r>
      <w:r w:rsidR="006333B1">
        <w:rPr>
          <w:rFonts w:ascii="Times New Roman" w:hAnsi="Times New Roman" w:cs="Times New Roman"/>
          <w:i/>
          <w:sz w:val="24"/>
          <w:szCs w:val="24"/>
          <w:lang w:bidi="en-US"/>
        </w:rPr>
        <w:t>Medical Students</w:t>
      </w:r>
    </w:p>
    <w:p w14:paraId="6FB04B79" w14:textId="77777777" w:rsidR="002A2EBD" w:rsidRPr="002A2EBD" w:rsidRDefault="002A2EBD" w:rsidP="002A2EBD">
      <w:pPr>
        <w:spacing w:line="360" w:lineRule="auto"/>
        <w:rPr>
          <w:rFonts w:ascii="Times New Roman" w:eastAsia="Calibri" w:hAnsi="Times New Roman" w:cs="Times New Roman"/>
          <w:b/>
          <w:bCs/>
          <w:sz w:val="24"/>
          <w:szCs w:val="24"/>
          <w:lang w:val="en-US"/>
        </w:rPr>
      </w:pPr>
      <w:r w:rsidRPr="002A2EBD">
        <w:rPr>
          <w:rFonts w:ascii="Times New Roman" w:eastAsia="Calibri" w:hAnsi="Times New Roman" w:cs="Times New Roman"/>
          <w:b/>
          <w:bCs/>
          <w:sz w:val="24"/>
          <w:szCs w:val="24"/>
          <w:lang w:val="en-US"/>
        </w:rPr>
        <w:t>Introduction</w:t>
      </w:r>
    </w:p>
    <w:p w14:paraId="594C4DAD" w14:textId="3C4E0322" w:rsidR="002E1CF4" w:rsidRDefault="002C0F58" w:rsidP="002E1CF4">
      <w:pPr>
        <w:spacing w:line="276" w:lineRule="auto"/>
        <w:jc w:val="both"/>
        <w:rPr>
          <w:rFonts w:ascii="Times New Roman" w:eastAsia="Calibri" w:hAnsi="Times New Roman" w:cs="Times New Roman"/>
          <w:sz w:val="24"/>
          <w:szCs w:val="24"/>
        </w:rPr>
      </w:pPr>
      <w:r w:rsidRPr="00C543ED">
        <w:rPr>
          <w:rFonts w:ascii="Times New Roman" w:eastAsia="Calibri" w:hAnsi="Times New Roman" w:cs="Times New Roman"/>
          <w:sz w:val="24"/>
          <w:szCs w:val="24"/>
          <w:lang w:val="en-US"/>
        </w:rPr>
        <w:t xml:space="preserve">The </w:t>
      </w:r>
      <w:r w:rsidRPr="00C543ED">
        <w:rPr>
          <w:rFonts w:ascii="Times New Roman" w:eastAsia="Calibri" w:hAnsi="Times New Roman" w:cs="Times New Roman"/>
          <w:sz w:val="24"/>
          <w:szCs w:val="24"/>
        </w:rPr>
        <w:t>development of ICT</w:t>
      </w:r>
      <w:r w:rsidR="00C226F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has </w:t>
      </w:r>
      <w:r w:rsidR="00C226F6">
        <w:rPr>
          <w:rFonts w:ascii="Times New Roman" w:eastAsia="Calibri" w:hAnsi="Times New Roman" w:cs="Times New Roman"/>
          <w:sz w:val="24"/>
          <w:szCs w:val="24"/>
        </w:rPr>
        <w:t>given birth to Electronic Information Resources</w:t>
      </w:r>
      <w:r w:rsidR="00C226F6" w:rsidRPr="00C543ED">
        <w:rPr>
          <w:rFonts w:ascii="Times New Roman" w:eastAsia="Calibri" w:hAnsi="Times New Roman" w:cs="Times New Roman"/>
          <w:sz w:val="24"/>
          <w:szCs w:val="24"/>
        </w:rPr>
        <w:t xml:space="preserve"> (EIR</w:t>
      </w:r>
      <w:r w:rsidR="00C226F6">
        <w:rPr>
          <w:rFonts w:ascii="Times New Roman" w:eastAsia="Calibri" w:hAnsi="Times New Roman" w:cs="Times New Roman"/>
          <w:sz w:val="24"/>
          <w:szCs w:val="24"/>
        </w:rPr>
        <w:t xml:space="preserve">s) which </w:t>
      </w:r>
      <w:r w:rsidRPr="00C543ED">
        <w:rPr>
          <w:rFonts w:ascii="Times New Roman" w:eastAsia="Calibri" w:hAnsi="Times New Roman" w:cs="Times New Roman"/>
          <w:sz w:val="24"/>
          <w:szCs w:val="24"/>
        </w:rPr>
        <w:t>brought changes to teaching, learning</w:t>
      </w:r>
      <w:r w:rsidR="00C226F6">
        <w:rPr>
          <w:rFonts w:ascii="Times New Roman" w:eastAsia="Calibri" w:hAnsi="Times New Roman" w:cs="Times New Roman"/>
          <w:sz w:val="24"/>
          <w:szCs w:val="24"/>
        </w:rPr>
        <w:t>,</w:t>
      </w:r>
      <w:r w:rsidRPr="00C543ED">
        <w:rPr>
          <w:rFonts w:ascii="Times New Roman" w:eastAsia="Calibri" w:hAnsi="Times New Roman" w:cs="Times New Roman"/>
          <w:sz w:val="24"/>
          <w:szCs w:val="24"/>
        </w:rPr>
        <w:t xml:space="preserve"> and research activities in Nigerian Universities. Due to the specific benefits derived by users for teaching and research purposes, academic librari</w:t>
      </w:r>
      <w:r>
        <w:rPr>
          <w:rFonts w:ascii="Times New Roman" w:eastAsia="Calibri" w:hAnsi="Times New Roman" w:cs="Times New Roman"/>
          <w:sz w:val="24"/>
          <w:szCs w:val="24"/>
        </w:rPr>
        <w:t>es must subscribe to EIRs</w:t>
      </w:r>
      <w:r w:rsidRPr="00C543ED">
        <w:rPr>
          <w:rFonts w:ascii="Times New Roman" w:eastAsia="Calibri" w:hAnsi="Times New Roman" w:cs="Times New Roman"/>
          <w:sz w:val="24"/>
          <w:szCs w:val="24"/>
        </w:rPr>
        <w:t xml:space="preserve"> (Yebowaa</w:t>
      </w:r>
      <w:r>
        <w:rPr>
          <w:rFonts w:ascii="Times New Roman" w:eastAsia="Calibri" w:hAnsi="Times New Roman" w:cs="Times New Roman"/>
          <w:sz w:val="24"/>
          <w:szCs w:val="24"/>
        </w:rPr>
        <w:t>h &amp; Plockey, 2017).  EIRs</w:t>
      </w:r>
      <w:r w:rsidRPr="00C543ED">
        <w:rPr>
          <w:rFonts w:ascii="Times New Roman" w:eastAsia="Calibri" w:hAnsi="Times New Roman" w:cs="Times New Roman"/>
          <w:sz w:val="24"/>
          <w:szCs w:val="24"/>
        </w:rPr>
        <w:t xml:space="preserve"> have grown in popularity in academic contexts due to their appealing qualities such as real-time delivery, primarily remote access, ease of access, content, and flexibility. Many academic, commercial, and government institutions have integrated and utilised electronic </w:t>
      </w:r>
      <w:r>
        <w:rPr>
          <w:rFonts w:ascii="Times New Roman" w:eastAsia="Calibri" w:hAnsi="Times New Roman" w:cs="Times New Roman"/>
          <w:sz w:val="24"/>
          <w:szCs w:val="24"/>
        </w:rPr>
        <w:t>information re</w:t>
      </w:r>
      <w:r w:rsidRPr="00C543ED">
        <w:rPr>
          <w:rFonts w:ascii="Times New Roman" w:eastAsia="Calibri" w:hAnsi="Times New Roman" w:cs="Times New Roman"/>
          <w:sz w:val="24"/>
          <w:szCs w:val="24"/>
        </w:rPr>
        <w:t xml:space="preserve">sources </w:t>
      </w:r>
      <w:r>
        <w:rPr>
          <w:rFonts w:ascii="Times New Roman" w:eastAsia="Calibri" w:hAnsi="Times New Roman" w:cs="Times New Roman"/>
          <w:sz w:val="24"/>
          <w:szCs w:val="24"/>
        </w:rPr>
        <w:t xml:space="preserve">into their library collections </w:t>
      </w:r>
      <w:r w:rsidRPr="00C543ED">
        <w:rPr>
          <w:rFonts w:ascii="Times New Roman" w:eastAsia="Calibri" w:hAnsi="Times New Roman" w:cs="Times New Roman"/>
          <w:sz w:val="24"/>
          <w:szCs w:val="24"/>
        </w:rPr>
        <w:t xml:space="preserve">Amankwah, </w:t>
      </w:r>
      <w:r>
        <w:rPr>
          <w:rFonts w:ascii="Times New Roman" w:eastAsia="Calibri" w:hAnsi="Times New Roman" w:cs="Times New Roman"/>
          <w:sz w:val="24"/>
          <w:szCs w:val="24"/>
        </w:rPr>
        <w:t>(</w:t>
      </w:r>
      <w:r w:rsidRPr="00C543ED">
        <w:rPr>
          <w:rFonts w:ascii="Times New Roman" w:eastAsia="Calibri" w:hAnsi="Times New Roman" w:cs="Times New Roman"/>
          <w:sz w:val="24"/>
          <w:szCs w:val="24"/>
        </w:rPr>
        <w:t xml:space="preserve">2014). </w:t>
      </w:r>
      <w:r w:rsidR="00C226F6" w:rsidRPr="00C543ED">
        <w:rPr>
          <w:rFonts w:ascii="Times New Roman" w:eastAsia="Calibri" w:hAnsi="Times New Roman" w:cs="Times New Roman"/>
          <w:sz w:val="24"/>
          <w:szCs w:val="24"/>
        </w:rPr>
        <w:t>Because of</w:t>
      </w:r>
      <w:r w:rsidRPr="00C543ED">
        <w:rPr>
          <w:rFonts w:ascii="Times New Roman" w:eastAsia="Calibri" w:hAnsi="Times New Roman" w:cs="Times New Roman"/>
          <w:sz w:val="24"/>
          <w:szCs w:val="24"/>
        </w:rPr>
        <w:t xml:space="preserve"> this, </w:t>
      </w:r>
      <w:r>
        <w:rPr>
          <w:rFonts w:ascii="Times New Roman" w:eastAsia="Calibri" w:hAnsi="Times New Roman" w:cs="Times New Roman"/>
          <w:sz w:val="24"/>
          <w:szCs w:val="24"/>
        </w:rPr>
        <w:t>EIRs</w:t>
      </w:r>
      <w:r w:rsidRPr="00C543ED">
        <w:rPr>
          <w:rFonts w:ascii="Times New Roman" w:eastAsia="Calibri" w:hAnsi="Times New Roman" w:cs="Times New Roman"/>
          <w:sz w:val="24"/>
          <w:szCs w:val="24"/>
        </w:rPr>
        <w:t xml:space="preserve"> are now a standard part of research in almost every field</w:t>
      </w:r>
      <w:r w:rsidR="002A2EBD">
        <w:rPr>
          <w:rFonts w:ascii="Times New Roman" w:eastAsia="Calibri" w:hAnsi="Times New Roman" w:cs="Times New Roman"/>
          <w:sz w:val="24"/>
          <w:szCs w:val="24"/>
        </w:rPr>
        <w:t xml:space="preserve"> including </w:t>
      </w:r>
      <w:r w:rsidR="002A2EBD">
        <w:rPr>
          <w:rFonts w:ascii="Times New Roman" w:eastAsia="Calibri" w:hAnsi="Times New Roman" w:cs="Times New Roman"/>
          <w:sz w:val="24"/>
          <w:szCs w:val="24"/>
        </w:rPr>
        <w:lastRenderedPageBreak/>
        <w:t>medical science</w:t>
      </w:r>
      <w:r w:rsidRPr="00C543ED">
        <w:rPr>
          <w:rFonts w:ascii="Times New Roman" w:eastAsia="Calibri" w:hAnsi="Times New Roman" w:cs="Times New Roman"/>
          <w:sz w:val="24"/>
          <w:szCs w:val="24"/>
        </w:rPr>
        <w:t xml:space="preserve">. There are </w:t>
      </w:r>
      <w:r w:rsidR="00C226F6" w:rsidRPr="00C543ED">
        <w:rPr>
          <w:rFonts w:ascii="Times New Roman" w:eastAsia="Calibri" w:hAnsi="Times New Roman" w:cs="Times New Roman"/>
          <w:sz w:val="24"/>
          <w:szCs w:val="24"/>
        </w:rPr>
        <w:t>several</w:t>
      </w:r>
      <w:r w:rsidRPr="00C543ED">
        <w:rPr>
          <w:rFonts w:ascii="Times New Roman" w:eastAsia="Calibri" w:hAnsi="Times New Roman" w:cs="Times New Roman"/>
          <w:sz w:val="24"/>
          <w:szCs w:val="24"/>
        </w:rPr>
        <w:t xml:space="preserve"> ways for users to get the information they </w:t>
      </w:r>
      <w:r>
        <w:rPr>
          <w:rFonts w:ascii="Times New Roman" w:eastAsia="Calibri" w:hAnsi="Times New Roman" w:cs="Times New Roman"/>
          <w:sz w:val="24"/>
          <w:szCs w:val="24"/>
        </w:rPr>
        <w:t xml:space="preserve">need. </w:t>
      </w:r>
      <w:r w:rsidR="002A2EBD">
        <w:rPr>
          <w:rFonts w:ascii="Times New Roman" w:eastAsia="Calibri" w:hAnsi="Times New Roman" w:cs="Times New Roman"/>
          <w:sz w:val="24"/>
          <w:szCs w:val="24"/>
        </w:rPr>
        <w:t>Information users</w:t>
      </w:r>
      <w:r>
        <w:rPr>
          <w:rFonts w:ascii="Times New Roman" w:eastAsia="Calibri" w:hAnsi="Times New Roman" w:cs="Times New Roman"/>
          <w:sz w:val="24"/>
          <w:szCs w:val="24"/>
        </w:rPr>
        <w:t xml:space="preserve"> do not have to visit </w:t>
      </w:r>
      <w:r w:rsidRPr="00C543ED">
        <w:rPr>
          <w:rFonts w:ascii="Times New Roman" w:eastAsia="Calibri" w:hAnsi="Times New Roman" w:cs="Times New Roman"/>
          <w:sz w:val="24"/>
          <w:szCs w:val="24"/>
        </w:rPr>
        <w:t xml:space="preserve">the library to use </w:t>
      </w:r>
      <w:r>
        <w:rPr>
          <w:rFonts w:ascii="Times New Roman" w:eastAsia="Calibri" w:hAnsi="Times New Roman" w:cs="Times New Roman"/>
          <w:sz w:val="24"/>
          <w:szCs w:val="24"/>
        </w:rPr>
        <w:t>non-</w:t>
      </w:r>
      <w:r w:rsidRPr="00C543ED">
        <w:rPr>
          <w:rFonts w:ascii="Times New Roman" w:eastAsia="Calibri" w:hAnsi="Times New Roman" w:cs="Times New Roman"/>
          <w:sz w:val="24"/>
          <w:szCs w:val="24"/>
        </w:rPr>
        <w:t>print formats. Instead, they can stay at home or at the office and use networks or authentication methods to access online library resources and services at any time.</w:t>
      </w:r>
      <w:r w:rsidRPr="00366E80">
        <w:rPr>
          <w:rFonts w:ascii="Times New Roman" w:eastAsia="Calibri" w:hAnsi="Times New Roman" w:cs="Times New Roman"/>
          <w:sz w:val="24"/>
          <w:szCs w:val="24"/>
        </w:rPr>
        <w:t xml:space="preserve"> </w:t>
      </w:r>
      <w:r w:rsidR="002A2EBD">
        <w:rPr>
          <w:rFonts w:ascii="Times New Roman" w:eastAsia="Calibri" w:hAnsi="Times New Roman" w:cs="Times New Roman"/>
          <w:sz w:val="24"/>
          <w:szCs w:val="24"/>
        </w:rPr>
        <w:t xml:space="preserve">The utilization of </w:t>
      </w:r>
      <w:r w:rsidR="002A2EBD" w:rsidRPr="00C543ED">
        <w:rPr>
          <w:rFonts w:ascii="Times New Roman" w:eastAsia="Calibri" w:hAnsi="Times New Roman" w:cs="Times New Roman"/>
          <w:sz w:val="24"/>
          <w:szCs w:val="24"/>
        </w:rPr>
        <w:t>EIR</w:t>
      </w:r>
      <w:r w:rsidR="002A2EBD">
        <w:rPr>
          <w:rFonts w:ascii="Times New Roman" w:eastAsia="Calibri" w:hAnsi="Times New Roman" w:cs="Times New Roman"/>
          <w:sz w:val="24"/>
          <w:szCs w:val="24"/>
        </w:rPr>
        <w:t>s</w:t>
      </w:r>
      <w:r w:rsidR="002A2EBD" w:rsidRPr="00C543ED">
        <w:rPr>
          <w:rFonts w:ascii="Times New Roman" w:eastAsia="Calibri" w:hAnsi="Times New Roman" w:cs="Times New Roman"/>
          <w:sz w:val="24"/>
          <w:szCs w:val="24"/>
        </w:rPr>
        <w:t xml:space="preserve"> by </w:t>
      </w:r>
      <w:r w:rsidR="002A2EBD">
        <w:rPr>
          <w:rFonts w:ascii="Times New Roman" w:eastAsia="Calibri" w:hAnsi="Times New Roman" w:cs="Times New Roman"/>
          <w:sz w:val="24"/>
          <w:szCs w:val="24"/>
        </w:rPr>
        <w:t>medical students</w:t>
      </w:r>
      <w:r w:rsidR="002A2EBD" w:rsidRPr="00C543ED">
        <w:rPr>
          <w:rFonts w:ascii="Times New Roman" w:eastAsia="Calibri" w:hAnsi="Times New Roman" w:cs="Times New Roman"/>
          <w:sz w:val="24"/>
          <w:szCs w:val="24"/>
        </w:rPr>
        <w:t xml:space="preserve"> is essential for producing high-quality research output and providing effective and qualitativ</w:t>
      </w:r>
      <w:r w:rsidR="002A2EBD">
        <w:rPr>
          <w:rFonts w:ascii="Times New Roman" w:eastAsia="Calibri" w:hAnsi="Times New Roman" w:cs="Times New Roman"/>
          <w:sz w:val="24"/>
          <w:szCs w:val="24"/>
        </w:rPr>
        <w:t>e service delivery. In addition, medical l</w:t>
      </w:r>
      <w:r w:rsidR="002A2EBD" w:rsidRPr="00C543ED">
        <w:rPr>
          <w:rFonts w:ascii="Times New Roman" w:eastAsia="Calibri" w:hAnsi="Times New Roman" w:cs="Times New Roman"/>
          <w:sz w:val="24"/>
          <w:szCs w:val="24"/>
        </w:rPr>
        <w:t xml:space="preserve">ibraries would have greater need of </w:t>
      </w:r>
      <w:r w:rsidR="002A2EBD">
        <w:rPr>
          <w:rFonts w:ascii="Times New Roman" w:eastAsia="Calibri" w:hAnsi="Times New Roman" w:cs="Times New Roman"/>
          <w:sz w:val="24"/>
          <w:szCs w:val="24"/>
        </w:rPr>
        <w:t>EIRs</w:t>
      </w:r>
      <w:r w:rsidR="002A2EBD" w:rsidRPr="00C543ED">
        <w:rPr>
          <w:rFonts w:ascii="Times New Roman" w:eastAsia="Calibri" w:hAnsi="Times New Roman" w:cs="Times New Roman"/>
          <w:sz w:val="24"/>
          <w:szCs w:val="24"/>
        </w:rPr>
        <w:t xml:space="preserve"> because </w:t>
      </w:r>
      <w:r w:rsidR="002A2EBD">
        <w:rPr>
          <w:rFonts w:ascii="Times New Roman" w:eastAsia="Calibri" w:hAnsi="Times New Roman" w:cs="Times New Roman"/>
          <w:sz w:val="24"/>
          <w:szCs w:val="24"/>
        </w:rPr>
        <w:t>medical students</w:t>
      </w:r>
      <w:r w:rsidR="002A2EBD" w:rsidRPr="00C543ED">
        <w:rPr>
          <w:rFonts w:ascii="Times New Roman" w:eastAsia="Calibri" w:hAnsi="Times New Roman" w:cs="Times New Roman"/>
          <w:sz w:val="24"/>
          <w:szCs w:val="24"/>
        </w:rPr>
        <w:t xml:space="preserve"> today require upda</w:t>
      </w:r>
      <w:r w:rsidR="002A2EBD">
        <w:rPr>
          <w:rFonts w:ascii="Times New Roman" w:eastAsia="Calibri" w:hAnsi="Times New Roman" w:cs="Times New Roman"/>
          <w:sz w:val="24"/>
          <w:szCs w:val="24"/>
        </w:rPr>
        <w:t xml:space="preserve">ted and </w:t>
      </w:r>
      <w:r w:rsidR="00715FCB">
        <w:rPr>
          <w:rFonts w:ascii="Times New Roman" w:eastAsia="Calibri" w:hAnsi="Times New Roman" w:cs="Times New Roman"/>
          <w:sz w:val="24"/>
          <w:szCs w:val="24"/>
        </w:rPr>
        <w:t>knowledge-based</w:t>
      </w:r>
      <w:r w:rsidR="002A2EBD">
        <w:rPr>
          <w:rFonts w:ascii="Times New Roman" w:eastAsia="Calibri" w:hAnsi="Times New Roman" w:cs="Times New Roman"/>
          <w:sz w:val="24"/>
          <w:szCs w:val="24"/>
        </w:rPr>
        <w:t xml:space="preserve"> facts relevant to their Problem-Based L</w:t>
      </w:r>
      <w:r w:rsidR="002A2EBD" w:rsidRPr="00C543ED">
        <w:rPr>
          <w:rFonts w:ascii="Times New Roman" w:eastAsia="Calibri" w:hAnsi="Times New Roman" w:cs="Times New Roman"/>
          <w:sz w:val="24"/>
          <w:szCs w:val="24"/>
        </w:rPr>
        <w:t xml:space="preserve">earning (PBL) and clinical concerns. </w:t>
      </w:r>
      <w:r w:rsidR="002A2EBD" w:rsidRPr="003304AC">
        <w:rPr>
          <w:rFonts w:ascii="Times New Roman" w:eastAsia="Calibri" w:hAnsi="Times New Roman" w:cs="Times New Roman"/>
          <w:sz w:val="24"/>
          <w:szCs w:val="24"/>
        </w:rPr>
        <w:t xml:space="preserve">Access to the most up-to-date and useful information and the ability to search for information effectively are very important for healthcare professionals. </w:t>
      </w:r>
    </w:p>
    <w:p w14:paraId="5F4CD544" w14:textId="77777777" w:rsidR="002E1CF4" w:rsidRPr="00C543ED" w:rsidRDefault="002A2EBD" w:rsidP="002E1CF4">
      <w:pPr>
        <w:spacing w:line="276" w:lineRule="auto"/>
        <w:jc w:val="both"/>
        <w:rPr>
          <w:rFonts w:ascii="Times New Roman" w:eastAsia="Calibri" w:hAnsi="Times New Roman" w:cs="Times New Roman"/>
          <w:sz w:val="24"/>
          <w:szCs w:val="24"/>
          <w:lang w:val="en-US"/>
        </w:rPr>
      </w:pPr>
      <w:r w:rsidRPr="00C543ED">
        <w:rPr>
          <w:rFonts w:ascii="Times New Roman" w:eastAsia="Calibri" w:hAnsi="Times New Roman" w:cs="Times New Roman"/>
          <w:sz w:val="24"/>
          <w:szCs w:val="24"/>
        </w:rPr>
        <w:t>According to Nemati-Anaraki and Babalhava</w:t>
      </w:r>
      <w:r>
        <w:rPr>
          <w:rFonts w:ascii="Times New Roman" w:eastAsia="Calibri" w:hAnsi="Times New Roman" w:cs="Times New Roman"/>
          <w:sz w:val="24"/>
          <w:szCs w:val="24"/>
        </w:rPr>
        <w:t>eji (2013), EIRs</w:t>
      </w:r>
      <w:r w:rsidRPr="00C543ED">
        <w:rPr>
          <w:rFonts w:ascii="Times New Roman" w:eastAsia="Calibri" w:hAnsi="Times New Roman" w:cs="Times New Roman"/>
          <w:sz w:val="24"/>
          <w:szCs w:val="24"/>
        </w:rPr>
        <w:t xml:space="preserve"> are one of the most essential scientific information resources since they have made it possible to obtain qualitative and quantitative information with greater precision and in a shorter amount of time. Academic libraries in all nations spend a lot of money on these resources to meet the teaching, learning, an</w:t>
      </w:r>
      <w:r>
        <w:rPr>
          <w:rFonts w:ascii="Times New Roman" w:eastAsia="Calibri" w:hAnsi="Times New Roman" w:cs="Times New Roman"/>
          <w:sz w:val="24"/>
          <w:szCs w:val="24"/>
        </w:rPr>
        <w:t>d research needs of their users</w:t>
      </w:r>
      <w:r w:rsidRPr="00C543ED">
        <w:rPr>
          <w:rFonts w:ascii="Times New Roman" w:eastAsia="Calibri" w:hAnsi="Times New Roman" w:cs="Times New Roman"/>
          <w:sz w:val="24"/>
          <w:szCs w:val="24"/>
        </w:rPr>
        <w:t>. As a result, it is critical for the institution to guarantee that these databases are efficiently utilised in order to contr</w:t>
      </w:r>
      <w:r>
        <w:rPr>
          <w:rFonts w:ascii="Times New Roman" w:eastAsia="Calibri" w:hAnsi="Times New Roman" w:cs="Times New Roman"/>
          <w:sz w:val="24"/>
          <w:szCs w:val="24"/>
        </w:rPr>
        <w:t>ibute to the academic productivity</w:t>
      </w:r>
      <w:r w:rsidRPr="00C543ED">
        <w:rPr>
          <w:rFonts w:ascii="Times New Roman" w:eastAsia="Calibri" w:hAnsi="Times New Roman" w:cs="Times New Roman"/>
          <w:sz w:val="24"/>
          <w:szCs w:val="24"/>
        </w:rPr>
        <w:t xml:space="preserve"> and achievement of users.</w:t>
      </w:r>
      <w:r w:rsidR="002E1CF4">
        <w:rPr>
          <w:rFonts w:ascii="Times New Roman" w:eastAsia="Calibri" w:hAnsi="Times New Roman" w:cs="Times New Roman"/>
          <w:sz w:val="24"/>
          <w:szCs w:val="24"/>
        </w:rPr>
        <w:t xml:space="preserve"> </w:t>
      </w:r>
      <w:r w:rsidR="002E1CF4">
        <w:rPr>
          <w:rFonts w:ascii="Times New Roman" w:eastAsia="Calibri" w:hAnsi="Times New Roman" w:cs="Times New Roman"/>
          <w:sz w:val="24"/>
          <w:szCs w:val="24"/>
          <w:lang w:val="en-US"/>
        </w:rPr>
        <w:t>Many factors can potentially influence medical students' utilization of electronic information resources. One of these factors is g</w:t>
      </w:r>
      <w:r w:rsidRPr="00EB0A6E">
        <w:rPr>
          <w:rFonts w:ascii="Times New Roman" w:eastAsia="Calibri" w:hAnsi="Times New Roman" w:cs="Times New Roman"/>
          <w:sz w:val="24"/>
          <w:szCs w:val="24"/>
        </w:rPr>
        <w:t>ender differentiation</w:t>
      </w:r>
      <w:r w:rsidR="002E1CF4">
        <w:rPr>
          <w:rFonts w:ascii="Times New Roman" w:eastAsia="Calibri" w:hAnsi="Times New Roman" w:cs="Times New Roman"/>
          <w:sz w:val="24"/>
          <w:szCs w:val="24"/>
        </w:rPr>
        <w:t>. Gender differentiation</w:t>
      </w:r>
      <w:r w:rsidRPr="00EB0A6E">
        <w:rPr>
          <w:rFonts w:ascii="Times New Roman" w:eastAsia="Calibri" w:hAnsi="Times New Roman" w:cs="Times New Roman"/>
          <w:sz w:val="24"/>
          <w:szCs w:val="24"/>
        </w:rPr>
        <w:t xml:space="preserve"> refers to the social, cultural, and psychological distinctions made between individuals based on their gender. These distinctions can manifest in various aspects </w:t>
      </w:r>
      <w:r>
        <w:rPr>
          <w:rFonts w:ascii="Times New Roman" w:eastAsia="Calibri" w:hAnsi="Times New Roman" w:cs="Times New Roman"/>
          <w:sz w:val="24"/>
          <w:szCs w:val="24"/>
        </w:rPr>
        <w:t>of life, including roles, behaviours</w:t>
      </w:r>
      <w:r w:rsidRPr="00EB0A6E">
        <w:rPr>
          <w:rFonts w:ascii="Times New Roman" w:eastAsia="Calibri" w:hAnsi="Times New Roman" w:cs="Times New Roman"/>
          <w:sz w:val="24"/>
          <w:szCs w:val="24"/>
        </w:rPr>
        <w:t>, expectations, opportunities, and rights, among others. Gender differentiation often leads to the categorization of individuals into distinct gender roles, such as those traditionally associated with masculinity and femininity.</w:t>
      </w:r>
      <w:r w:rsidR="002E1CF4">
        <w:rPr>
          <w:rFonts w:ascii="Times New Roman" w:eastAsia="Calibri" w:hAnsi="Times New Roman" w:cs="Times New Roman"/>
          <w:sz w:val="24"/>
          <w:szCs w:val="24"/>
        </w:rPr>
        <w:t xml:space="preserve"> </w:t>
      </w:r>
      <w:r w:rsidR="002E1CF4" w:rsidRPr="00C543ED">
        <w:rPr>
          <w:rFonts w:ascii="Times New Roman" w:eastAsia="Calibri" w:hAnsi="Times New Roman" w:cs="Times New Roman"/>
          <w:sz w:val="24"/>
          <w:szCs w:val="24"/>
          <w:lang w:val="en-US"/>
        </w:rPr>
        <w:t>The two facets (Male and Female) f</w:t>
      </w:r>
      <w:r w:rsidR="002E1CF4">
        <w:rPr>
          <w:rFonts w:ascii="Times New Roman" w:eastAsia="Calibri" w:hAnsi="Times New Roman" w:cs="Times New Roman"/>
          <w:sz w:val="24"/>
          <w:szCs w:val="24"/>
          <w:lang w:val="en-US"/>
        </w:rPr>
        <w:t>orm the basis upon which g</w:t>
      </w:r>
      <w:r w:rsidR="002E1CF4" w:rsidRPr="00C543ED">
        <w:rPr>
          <w:rFonts w:ascii="Times New Roman" w:eastAsia="Calibri" w:hAnsi="Times New Roman" w:cs="Times New Roman"/>
          <w:sz w:val="24"/>
          <w:szCs w:val="24"/>
          <w:lang w:val="en-US"/>
        </w:rPr>
        <w:t xml:space="preserve">ender construct is measured to date. Throughout the years, a number of researchers have focused their attention on the impact that gender has on how people utilize information resources that are based on ICT. For instance, Ahmed (2015); Steinerova and Susol (2007) noted that research on gender differences remains the subject of academic discourse. The authors averred that literature is replete with studies on human information </w:t>
      </w:r>
      <w:r w:rsidR="002E1CF4">
        <w:rPr>
          <w:rFonts w:ascii="Times New Roman" w:eastAsia="Calibri" w:hAnsi="Times New Roman" w:cs="Times New Roman"/>
          <w:sz w:val="24"/>
          <w:szCs w:val="24"/>
          <w:lang w:val="en-US"/>
        </w:rPr>
        <w:t>behaviour</w:t>
      </w:r>
      <w:r w:rsidR="002E1CF4" w:rsidRPr="00C543ED">
        <w:rPr>
          <w:rFonts w:ascii="Times New Roman" w:eastAsia="Calibri" w:hAnsi="Times New Roman" w:cs="Times New Roman"/>
          <w:sz w:val="24"/>
          <w:szCs w:val="24"/>
          <w:lang w:val="en-US"/>
        </w:rPr>
        <w:t xml:space="preserve"> which shows tendencies of men and women to dis</w:t>
      </w:r>
      <w:r w:rsidR="002E1CF4">
        <w:rPr>
          <w:rFonts w:ascii="Times New Roman" w:eastAsia="Calibri" w:hAnsi="Times New Roman" w:cs="Times New Roman"/>
          <w:sz w:val="24"/>
          <w:szCs w:val="24"/>
          <w:lang w:val="en-US"/>
        </w:rPr>
        <w:t xml:space="preserve">play differences in </w:t>
      </w:r>
      <w:r w:rsidR="002E1CF4" w:rsidRPr="00C543ED">
        <w:rPr>
          <w:rFonts w:ascii="Times New Roman" w:eastAsia="Calibri" w:hAnsi="Times New Roman" w:cs="Times New Roman"/>
          <w:sz w:val="24"/>
          <w:szCs w:val="24"/>
          <w:lang w:val="en-US"/>
        </w:rPr>
        <w:t xml:space="preserve">characteristics when using electronic based information resources. </w:t>
      </w:r>
      <w:r w:rsidR="002E1CF4">
        <w:rPr>
          <w:rFonts w:ascii="Times New Roman" w:eastAsia="Calibri" w:hAnsi="Times New Roman" w:cs="Times New Roman"/>
          <w:sz w:val="24"/>
          <w:szCs w:val="24"/>
          <w:lang w:val="en-US"/>
        </w:rPr>
        <w:t xml:space="preserve">In elaborating further on </w:t>
      </w:r>
      <w:r w:rsidR="002E1CF4" w:rsidRPr="00C543ED">
        <w:rPr>
          <w:rFonts w:ascii="Times New Roman" w:eastAsia="Calibri" w:hAnsi="Times New Roman" w:cs="Times New Roman"/>
          <w:sz w:val="24"/>
          <w:szCs w:val="24"/>
          <w:lang w:val="en-US"/>
        </w:rPr>
        <w:t xml:space="preserve">the issue of gender difference in the use of </w:t>
      </w:r>
      <w:r w:rsidR="002E1CF4">
        <w:rPr>
          <w:rFonts w:ascii="Times New Roman" w:eastAsia="Calibri" w:hAnsi="Times New Roman" w:cs="Times New Roman"/>
          <w:sz w:val="24"/>
          <w:szCs w:val="24"/>
          <w:lang w:val="en-US"/>
        </w:rPr>
        <w:t>EIRs.</w:t>
      </w:r>
      <w:r w:rsidR="002E1CF4" w:rsidRPr="00C543ED">
        <w:rPr>
          <w:rFonts w:ascii="Times New Roman" w:eastAsia="Calibri" w:hAnsi="Times New Roman" w:cs="Times New Roman"/>
          <w:sz w:val="24"/>
          <w:szCs w:val="24"/>
          <w:lang w:val="en-US"/>
        </w:rPr>
        <w:t xml:space="preserve"> Akande (2013) carried out a study on gender differences in information retrieval skills and use of electronic resources among information professionals in South–Western Nigeria. The researcher reported that developing information technology skills and competency in using electronic resources transcends gender boundary as both </w:t>
      </w:r>
      <w:r w:rsidR="002E1CF4">
        <w:rPr>
          <w:rFonts w:ascii="Times New Roman" w:eastAsia="Calibri" w:hAnsi="Times New Roman" w:cs="Times New Roman"/>
          <w:sz w:val="24"/>
          <w:szCs w:val="24"/>
          <w:lang w:val="en-US"/>
        </w:rPr>
        <w:t>genders</w:t>
      </w:r>
      <w:r w:rsidR="002E1CF4" w:rsidRPr="00C543ED">
        <w:rPr>
          <w:rFonts w:ascii="Times New Roman" w:eastAsia="Calibri" w:hAnsi="Times New Roman" w:cs="Times New Roman"/>
          <w:sz w:val="24"/>
          <w:szCs w:val="24"/>
          <w:lang w:val="en-US"/>
        </w:rPr>
        <w:t xml:space="preserve"> need skills to navigate the information landscape. </w:t>
      </w:r>
    </w:p>
    <w:p w14:paraId="219E6F5E" w14:textId="77777777" w:rsidR="002E1CF4" w:rsidRDefault="002E1CF4" w:rsidP="002E1CF4">
      <w:pPr>
        <w:spacing w:line="276" w:lineRule="auto"/>
        <w:jc w:val="both"/>
        <w:rPr>
          <w:rFonts w:ascii="Times New Roman" w:eastAsia="Calibri" w:hAnsi="Times New Roman" w:cs="Times New Roman"/>
          <w:sz w:val="24"/>
          <w:szCs w:val="24"/>
          <w:lang w:val="en-US"/>
        </w:rPr>
      </w:pPr>
      <w:r w:rsidRPr="00C543ED">
        <w:rPr>
          <w:rFonts w:ascii="Times New Roman" w:eastAsia="Calibri" w:hAnsi="Times New Roman" w:cs="Times New Roman"/>
          <w:sz w:val="24"/>
          <w:szCs w:val="24"/>
          <w:lang w:val="en-US"/>
        </w:rPr>
        <w:t>It is pertinent</w:t>
      </w:r>
      <w:r>
        <w:rPr>
          <w:rFonts w:ascii="Times New Roman" w:eastAsia="Calibri" w:hAnsi="Times New Roman" w:cs="Times New Roman"/>
          <w:sz w:val="24"/>
          <w:szCs w:val="24"/>
          <w:lang w:val="en-US"/>
        </w:rPr>
        <w:t xml:space="preserve"> to note that gender differentiation</w:t>
      </w:r>
      <w:r w:rsidRPr="00C543ED">
        <w:rPr>
          <w:rFonts w:ascii="Times New Roman" w:eastAsia="Calibri" w:hAnsi="Times New Roman" w:cs="Times New Roman"/>
          <w:sz w:val="24"/>
          <w:szCs w:val="24"/>
          <w:lang w:val="en-US"/>
        </w:rPr>
        <w:t xml:space="preserve"> i</w:t>
      </w:r>
      <w:r>
        <w:rPr>
          <w:rFonts w:ascii="Times New Roman" w:eastAsia="Calibri" w:hAnsi="Times New Roman" w:cs="Times New Roman"/>
          <w:sz w:val="24"/>
          <w:szCs w:val="24"/>
          <w:lang w:val="en-US"/>
        </w:rPr>
        <w:t>n the use of EIR</w:t>
      </w:r>
      <w:r w:rsidRPr="00C543ED">
        <w:rPr>
          <w:rFonts w:ascii="Times New Roman" w:eastAsia="Calibri" w:hAnsi="Times New Roman" w:cs="Times New Roman"/>
          <w:sz w:val="24"/>
          <w:szCs w:val="24"/>
          <w:lang w:val="en-US"/>
        </w:rPr>
        <w:t>s observed between males and females also reflected in the use of computer technology which can be</w:t>
      </w:r>
      <w:r>
        <w:rPr>
          <w:rFonts w:ascii="Times New Roman" w:eastAsia="Calibri" w:hAnsi="Times New Roman" w:cs="Times New Roman"/>
          <w:sz w:val="24"/>
          <w:szCs w:val="24"/>
          <w:lang w:val="en-US"/>
        </w:rPr>
        <w:t xml:space="preserve"> termed as gender digital differentiation</w:t>
      </w:r>
      <w:r w:rsidRPr="00C543ED">
        <w:rPr>
          <w:rFonts w:ascii="Times New Roman" w:eastAsia="Calibri" w:hAnsi="Times New Roman" w:cs="Times New Roman"/>
          <w:sz w:val="24"/>
          <w:szCs w:val="24"/>
          <w:lang w:val="en-US"/>
        </w:rPr>
        <w:t xml:space="preserve">. Ford, Miller and Moss (2001) as cited by Daramola (2013) reported that women find it difficult to find information online more than men. In addition to this, Tella and Mutulu (2008) observed that one of the reoccurring themes in the underutilization of ICTs is the absence </w:t>
      </w:r>
      <w:r w:rsidRPr="00C543ED">
        <w:rPr>
          <w:rFonts w:ascii="Times New Roman" w:eastAsia="Calibri" w:hAnsi="Times New Roman" w:cs="Times New Roman"/>
          <w:sz w:val="24"/>
          <w:szCs w:val="24"/>
          <w:lang w:val="en-US"/>
        </w:rPr>
        <w:lastRenderedPageBreak/>
        <w:t xml:space="preserve">of relevant skills, and that females are frequently reported as being more affected than males in this regard. </w:t>
      </w:r>
    </w:p>
    <w:p w14:paraId="56231E92" w14:textId="77777777" w:rsidR="002E1CF4" w:rsidRDefault="00A73179" w:rsidP="002E1CF4">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In</w:t>
      </w:r>
      <w:r w:rsidR="002E1CF4" w:rsidRPr="002E1CF4">
        <w:rPr>
          <w:rFonts w:ascii="Times New Roman" w:eastAsia="Calibri" w:hAnsi="Times New Roman" w:cs="Times New Roman"/>
          <w:sz w:val="24"/>
          <w:szCs w:val="24"/>
          <w:lang w:val="en-US"/>
        </w:rPr>
        <w:t xml:space="preserve"> applying Social Role Theory to understand gender differentiation, particularly as proposed by Alice Eagly, several indicators or components emerge such as: </w:t>
      </w:r>
      <w:r w:rsidR="002E1CF4" w:rsidRPr="002E1CF4">
        <w:rPr>
          <w:rFonts w:ascii="Times New Roman" w:eastAsia="Calibri" w:hAnsi="Times New Roman" w:cs="Times New Roman"/>
          <w:bCs/>
          <w:i/>
          <w:sz w:val="24"/>
          <w:szCs w:val="24"/>
          <w:lang w:val="en-US"/>
        </w:rPr>
        <w:t>Division of Labor</w:t>
      </w:r>
      <w:r w:rsidR="002E1CF4" w:rsidRPr="002E1CF4">
        <w:rPr>
          <w:rFonts w:ascii="Times New Roman" w:eastAsia="Calibri" w:hAnsi="Times New Roman" w:cs="Times New Roman"/>
          <w:sz w:val="24"/>
          <w:szCs w:val="24"/>
          <w:lang w:val="en-US"/>
        </w:rPr>
        <w:t xml:space="preserve"> emphasizes how societal expectations dictate different roles and responsibilities for men and women, influencing their behavior and opportunities, </w:t>
      </w:r>
      <w:r w:rsidR="002E1CF4" w:rsidRPr="002E1CF4">
        <w:rPr>
          <w:rFonts w:ascii="Times New Roman" w:eastAsia="Calibri" w:hAnsi="Times New Roman" w:cs="Times New Roman"/>
          <w:bCs/>
          <w:i/>
          <w:sz w:val="24"/>
          <w:szCs w:val="24"/>
          <w:lang w:val="en-US"/>
        </w:rPr>
        <w:t xml:space="preserve">Occupational Segregation </w:t>
      </w:r>
      <w:r w:rsidR="002E1CF4" w:rsidRPr="002E1CF4">
        <w:rPr>
          <w:rFonts w:ascii="Times New Roman" w:eastAsia="Calibri" w:hAnsi="Times New Roman" w:cs="Times New Roman"/>
          <w:sz w:val="24"/>
          <w:szCs w:val="24"/>
          <w:lang w:val="en-US"/>
        </w:rPr>
        <w:t xml:space="preserve">concept delves into how men and women are often concentrated in different occupations due to societal norms, impacting their career choices and trajectories, </w:t>
      </w:r>
      <w:r w:rsidR="002E1CF4" w:rsidRPr="002E1CF4">
        <w:rPr>
          <w:rFonts w:ascii="Times New Roman" w:eastAsia="Calibri" w:hAnsi="Times New Roman" w:cs="Times New Roman"/>
          <w:i/>
          <w:sz w:val="24"/>
          <w:szCs w:val="24"/>
        </w:rPr>
        <w:t>Technological competence</w:t>
      </w:r>
      <w:r w:rsidR="002E1CF4" w:rsidRPr="002E1CF4">
        <w:rPr>
          <w:rFonts w:ascii="Times New Roman" w:eastAsia="Calibri" w:hAnsi="Times New Roman" w:cs="Times New Roman"/>
          <w:sz w:val="24"/>
          <w:szCs w:val="24"/>
        </w:rPr>
        <w:t xml:space="preserve"> refers to the ability to effectively and efficiently use technology to achieve desired goals or tasks, </w:t>
      </w:r>
      <w:r w:rsidR="002E1CF4" w:rsidRPr="002E1CF4">
        <w:rPr>
          <w:rFonts w:ascii="Times New Roman" w:eastAsia="Calibri" w:hAnsi="Times New Roman" w:cs="Times New Roman"/>
          <w:bCs/>
          <w:i/>
          <w:sz w:val="24"/>
          <w:szCs w:val="24"/>
          <w:lang w:val="en-US"/>
        </w:rPr>
        <w:t>Gender Roles</w:t>
      </w:r>
      <w:r w:rsidR="002E1CF4" w:rsidRPr="002E1CF4">
        <w:rPr>
          <w:rFonts w:ascii="Times New Roman" w:eastAsia="Calibri" w:hAnsi="Times New Roman" w:cs="Times New Roman"/>
          <w:sz w:val="24"/>
          <w:szCs w:val="24"/>
          <w:lang w:val="en-US"/>
        </w:rPr>
        <w:t xml:space="preserve"> highlights how individuals internalize and enact gender roles and expectations, affecting their behaviors, attitudes, and self-perceptions, </w:t>
      </w:r>
      <w:r w:rsidR="002E1CF4" w:rsidRPr="002E1CF4">
        <w:rPr>
          <w:rFonts w:ascii="Times New Roman" w:eastAsia="Calibri" w:hAnsi="Times New Roman" w:cs="Times New Roman"/>
          <w:bCs/>
          <w:i/>
          <w:sz w:val="24"/>
          <w:szCs w:val="24"/>
          <w:lang w:val="en-US"/>
        </w:rPr>
        <w:t>Socialization Processes</w:t>
      </w:r>
      <w:r w:rsidR="002E1CF4" w:rsidRPr="002E1CF4">
        <w:rPr>
          <w:rFonts w:ascii="Times New Roman" w:eastAsia="Calibri" w:hAnsi="Times New Roman" w:cs="Times New Roman"/>
          <w:sz w:val="24"/>
          <w:szCs w:val="24"/>
          <w:lang w:val="en-US"/>
        </w:rPr>
        <w:t xml:space="preserve"> underscores how gender differentiation is perpetuated through socialization, as individuals learn and internalize societal norms and expectations regarding gender.</w:t>
      </w:r>
      <w:r w:rsidR="002E1CF4">
        <w:rPr>
          <w:rFonts w:ascii="Times New Roman" w:eastAsia="Calibri" w:hAnsi="Times New Roman" w:cs="Times New Roman"/>
          <w:sz w:val="24"/>
          <w:szCs w:val="24"/>
          <w:lang w:val="en-US"/>
        </w:rPr>
        <w:t xml:space="preserve"> </w:t>
      </w:r>
      <w:r w:rsidR="002E1CF4" w:rsidRPr="00C543ED">
        <w:rPr>
          <w:rFonts w:ascii="Times New Roman" w:eastAsia="Calibri" w:hAnsi="Times New Roman" w:cs="Times New Roman"/>
          <w:sz w:val="24"/>
          <w:szCs w:val="24"/>
          <w:lang w:val="en-US"/>
        </w:rPr>
        <w:t>When looking at this proliferation, it is essent</w:t>
      </w:r>
      <w:r w:rsidR="002E1CF4">
        <w:rPr>
          <w:rFonts w:ascii="Times New Roman" w:eastAsia="Calibri" w:hAnsi="Times New Roman" w:cs="Times New Roman"/>
          <w:sz w:val="24"/>
          <w:szCs w:val="24"/>
          <w:lang w:val="en-US"/>
        </w:rPr>
        <w:t>ial to address the differences</w:t>
      </w:r>
      <w:r w:rsidR="002E1CF4" w:rsidRPr="00C543ED">
        <w:rPr>
          <w:rFonts w:ascii="Times New Roman" w:eastAsia="Calibri" w:hAnsi="Times New Roman" w:cs="Times New Roman"/>
          <w:sz w:val="24"/>
          <w:szCs w:val="24"/>
          <w:lang w:val="en-US"/>
        </w:rPr>
        <w:t xml:space="preserve"> between the </w:t>
      </w:r>
      <w:r w:rsidR="002E1CF4">
        <w:rPr>
          <w:rFonts w:ascii="Times New Roman" w:eastAsia="Calibri" w:hAnsi="Times New Roman" w:cs="Times New Roman"/>
          <w:sz w:val="24"/>
          <w:szCs w:val="24"/>
          <w:lang w:val="en-US"/>
        </w:rPr>
        <w:t>genders</w:t>
      </w:r>
      <w:r w:rsidR="002E1CF4" w:rsidRPr="00C543ED">
        <w:rPr>
          <w:rFonts w:ascii="Times New Roman" w:eastAsia="Calibri" w:hAnsi="Times New Roman" w:cs="Times New Roman"/>
          <w:sz w:val="24"/>
          <w:szCs w:val="24"/>
          <w:lang w:val="en-US"/>
        </w:rPr>
        <w:t xml:space="preserve"> to ensure that students from all back</w:t>
      </w:r>
      <w:r w:rsidR="002E1CF4">
        <w:rPr>
          <w:rFonts w:ascii="Times New Roman" w:eastAsia="Calibri" w:hAnsi="Times New Roman" w:cs="Times New Roman"/>
          <w:sz w:val="24"/>
          <w:szCs w:val="24"/>
          <w:lang w:val="en-US"/>
        </w:rPr>
        <w:t>grounds have equal access to</w:t>
      </w:r>
      <w:r w:rsidR="002E1CF4" w:rsidRPr="00C543ED">
        <w:rPr>
          <w:rFonts w:ascii="Times New Roman" w:eastAsia="Calibri" w:hAnsi="Times New Roman" w:cs="Times New Roman"/>
          <w:sz w:val="24"/>
          <w:szCs w:val="24"/>
          <w:lang w:val="en-US"/>
        </w:rPr>
        <w:t xml:space="preserve"> </w:t>
      </w:r>
      <w:r w:rsidR="00911DEA">
        <w:rPr>
          <w:rFonts w:ascii="Times New Roman" w:eastAsia="Calibri" w:hAnsi="Times New Roman" w:cs="Times New Roman"/>
          <w:sz w:val="24"/>
          <w:szCs w:val="24"/>
          <w:lang w:val="en-US"/>
        </w:rPr>
        <w:t xml:space="preserve">the </w:t>
      </w:r>
      <w:r w:rsidR="002E1CF4" w:rsidRPr="00C543ED">
        <w:rPr>
          <w:rFonts w:ascii="Times New Roman" w:eastAsia="Calibri" w:hAnsi="Times New Roman" w:cs="Times New Roman"/>
          <w:sz w:val="24"/>
          <w:szCs w:val="24"/>
          <w:lang w:val="en-US"/>
        </w:rPr>
        <w:t>utilization of</w:t>
      </w:r>
      <w:r w:rsidR="002E1CF4">
        <w:rPr>
          <w:rFonts w:ascii="Times New Roman" w:eastAsia="Calibri" w:hAnsi="Times New Roman" w:cs="Times New Roman"/>
          <w:sz w:val="24"/>
          <w:szCs w:val="24"/>
          <w:lang w:val="en-US"/>
        </w:rPr>
        <w:t xml:space="preserve"> EIR</w:t>
      </w:r>
      <w:r w:rsidR="002E1CF4" w:rsidRPr="00C543ED">
        <w:rPr>
          <w:rFonts w:ascii="Times New Roman" w:eastAsia="Calibri" w:hAnsi="Times New Roman" w:cs="Times New Roman"/>
          <w:sz w:val="24"/>
          <w:szCs w:val="24"/>
          <w:lang w:val="en-US"/>
        </w:rPr>
        <w:t xml:space="preserve">s. </w:t>
      </w:r>
      <w:r w:rsidR="00911DEA">
        <w:rPr>
          <w:rFonts w:ascii="Times New Roman" w:eastAsia="Calibri" w:hAnsi="Times New Roman" w:cs="Times New Roman"/>
          <w:sz w:val="24"/>
          <w:szCs w:val="24"/>
          <w:lang w:val="en-US"/>
        </w:rPr>
        <w:t>It is against this backdrop that this study was set out to examine gender differentiation as a correlate of electronic information resource utilization among medical students in federal universities in Southwest, Nigeria</w:t>
      </w:r>
      <w:r w:rsidR="002E1CF4" w:rsidRPr="00C543ED">
        <w:rPr>
          <w:rFonts w:ascii="Times New Roman" w:eastAsia="Calibri" w:hAnsi="Times New Roman" w:cs="Times New Roman"/>
          <w:sz w:val="24"/>
          <w:szCs w:val="24"/>
        </w:rPr>
        <w:t>.</w:t>
      </w:r>
    </w:p>
    <w:p w14:paraId="1C58B470" w14:textId="77777777" w:rsidR="00911DEA" w:rsidRPr="001017D5" w:rsidRDefault="001017D5" w:rsidP="002E1CF4">
      <w:pPr>
        <w:spacing w:line="276" w:lineRule="auto"/>
        <w:jc w:val="both"/>
        <w:rPr>
          <w:rFonts w:ascii="Times New Roman" w:eastAsia="Calibri" w:hAnsi="Times New Roman" w:cs="Times New Roman"/>
          <w:b/>
          <w:bCs/>
          <w:sz w:val="24"/>
          <w:szCs w:val="24"/>
          <w:lang w:val="en-US"/>
        </w:rPr>
      </w:pPr>
      <w:r w:rsidRPr="001017D5">
        <w:rPr>
          <w:rFonts w:ascii="Times New Roman" w:eastAsia="Calibri" w:hAnsi="Times New Roman" w:cs="Times New Roman"/>
          <w:b/>
          <w:bCs/>
          <w:sz w:val="24"/>
          <w:szCs w:val="24"/>
          <w:lang w:val="en-US"/>
        </w:rPr>
        <w:t>Statement of the Problem</w:t>
      </w:r>
    </w:p>
    <w:p w14:paraId="120EE7A9" w14:textId="77777777" w:rsidR="001017D5" w:rsidRPr="002E1CF4" w:rsidRDefault="001017D5" w:rsidP="001017D5">
      <w:pPr>
        <w:spacing w:line="276" w:lineRule="auto"/>
        <w:jc w:val="both"/>
        <w:rPr>
          <w:rFonts w:ascii="Times New Roman" w:eastAsia="Calibri" w:hAnsi="Times New Roman" w:cs="Times New Roman"/>
          <w:sz w:val="24"/>
          <w:szCs w:val="24"/>
          <w:lang w:val="en-US"/>
        </w:rPr>
      </w:pPr>
      <w:r w:rsidRPr="001017D5">
        <w:rPr>
          <w:rFonts w:ascii="Times New Roman" w:eastAsia="Calibri" w:hAnsi="Times New Roman" w:cs="Times New Roman"/>
          <w:sz w:val="24"/>
          <w:szCs w:val="24"/>
          <w:lang w:val="en-US"/>
        </w:rPr>
        <w:t>The utilization of electronic information resources (EIRs) is essential for medical students</w:t>
      </w:r>
      <w:r w:rsidR="0075114A">
        <w:rPr>
          <w:rFonts w:ascii="Times New Roman" w:eastAsia="Calibri" w:hAnsi="Times New Roman" w:cs="Times New Roman"/>
          <w:sz w:val="24"/>
          <w:szCs w:val="24"/>
          <w:lang w:val="en-US"/>
        </w:rPr>
        <w:t xml:space="preserve">. Because it </w:t>
      </w:r>
      <w:r w:rsidRPr="001017D5">
        <w:rPr>
          <w:rFonts w:ascii="Times New Roman" w:eastAsia="Calibri" w:hAnsi="Times New Roman" w:cs="Times New Roman"/>
          <w:sz w:val="24"/>
          <w:szCs w:val="24"/>
          <w:lang w:val="en-US"/>
        </w:rPr>
        <w:t>provid</w:t>
      </w:r>
      <w:r w:rsidR="0075114A">
        <w:rPr>
          <w:rFonts w:ascii="Times New Roman" w:eastAsia="Calibri" w:hAnsi="Times New Roman" w:cs="Times New Roman"/>
          <w:sz w:val="24"/>
          <w:szCs w:val="24"/>
          <w:lang w:val="en-US"/>
        </w:rPr>
        <w:t>es</w:t>
      </w:r>
      <w:r w:rsidRPr="001017D5">
        <w:rPr>
          <w:rFonts w:ascii="Times New Roman" w:eastAsia="Calibri" w:hAnsi="Times New Roman" w:cs="Times New Roman"/>
          <w:sz w:val="24"/>
          <w:szCs w:val="24"/>
          <w:lang w:val="en-US"/>
        </w:rPr>
        <w:t xml:space="preserve"> access to up-to-date research, clinical guidelines</w:t>
      </w:r>
      <w:r w:rsidR="0075114A">
        <w:rPr>
          <w:rFonts w:ascii="Times New Roman" w:eastAsia="Calibri" w:hAnsi="Times New Roman" w:cs="Times New Roman"/>
          <w:sz w:val="24"/>
          <w:szCs w:val="24"/>
          <w:lang w:val="en-US"/>
        </w:rPr>
        <w:t xml:space="preserve"> as well as </w:t>
      </w:r>
      <w:r w:rsidRPr="001017D5">
        <w:rPr>
          <w:rFonts w:ascii="Times New Roman" w:eastAsia="Calibri" w:hAnsi="Times New Roman" w:cs="Times New Roman"/>
          <w:sz w:val="24"/>
          <w:szCs w:val="24"/>
          <w:lang w:val="en-US"/>
        </w:rPr>
        <w:t xml:space="preserve">evidence-based medical literature. However, </w:t>
      </w:r>
      <w:r w:rsidR="0075114A">
        <w:rPr>
          <w:rFonts w:ascii="Times New Roman" w:eastAsia="Calibri" w:hAnsi="Times New Roman" w:cs="Times New Roman"/>
          <w:sz w:val="24"/>
          <w:szCs w:val="24"/>
          <w:lang w:val="en-US"/>
        </w:rPr>
        <w:t xml:space="preserve">previous </w:t>
      </w:r>
      <w:r w:rsidRPr="001017D5">
        <w:rPr>
          <w:rFonts w:ascii="Times New Roman" w:eastAsia="Calibri" w:hAnsi="Times New Roman" w:cs="Times New Roman"/>
          <w:sz w:val="24"/>
          <w:szCs w:val="24"/>
          <w:lang w:val="en-US"/>
        </w:rPr>
        <w:t xml:space="preserve">research suggests that gender differentiation may influence the extent to which male and female students engage with </w:t>
      </w:r>
      <w:r w:rsidR="0075114A">
        <w:rPr>
          <w:rFonts w:ascii="Times New Roman" w:eastAsia="Calibri" w:hAnsi="Times New Roman" w:cs="Times New Roman"/>
          <w:sz w:val="24"/>
          <w:szCs w:val="24"/>
          <w:lang w:val="en-US"/>
        </w:rPr>
        <w:t>electronic information resources</w:t>
      </w:r>
      <w:r w:rsidRPr="001017D5">
        <w:rPr>
          <w:rFonts w:ascii="Times New Roman" w:eastAsia="Calibri" w:hAnsi="Times New Roman" w:cs="Times New Roman"/>
          <w:sz w:val="24"/>
          <w:szCs w:val="24"/>
          <w:lang w:val="en-US"/>
        </w:rPr>
        <w:t>. Studies have shown that sociocultural norms, digital literacy levels, access to ICT facilities, and confidence in using technology can vary between genders</w:t>
      </w:r>
      <w:r w:rsidR="00294E11">
        <w:rPr>
          <w:rFonts w:ascii="Times New Roman" w:eastAsia="Calibri" w:hAnsi="Times New Roman" w:cs="Times New Roman"/>
          <w:sz w:val="24"/>
          <w:szCs w:val="24"/>
          <w:lang w:val="en-US"/>
        </w:rPr>
        <w:t xml:space="preserve"> which could</w:t>
      </w:r>
      <w:r w:rsidRPr="001017D5">
        <w:rPr>
          <w:rFonts w:ascii="Times New Roman" w:eastAsia="Calibri" w:hAnsi="Times New Roman" w:cs="Times New Roman"/>
          <w:sz w:val="24"/>
          <w:szCs w:val="24"/>
          <w:lang w:val="en-US"/>
        </w:rPr>
        <w:t xml:space="preserve"> potentially </w:t>
      </w:r>
      <w:r w:rsidR="00294E11" w:rsidRPr="001017D5">
        <w:rPr>
          <w:rFonts w:ascii="Times New Roman" w:eastAsia="Calibri" w:hAnsi="Times New Roman" w:cs="Times New Roman"/>
          <w:sz w:val="24"/>
          <w:szCs w:val="24"/>
          <w:lang w:val="en-US"/>
        </w:rPr>
        <w:t>affect</w:t>
      </w:r>
      <w:r w:rsidRPr="001017D5">
        <w:rPr>
          <w:rFonts w:ascii="Times New Roman" w:eastAsia="Calibri" w:hAnsi="Times New Roman" w:cs="Times New Roman"/>
          <w:sz w:val="24"/>
          <w:szCs w:val="24"/>
          <w:lang w:val="en-US"/>
        </w:rPr>
        <w:t xml:space="preserve"> their usage patterns of EIRs (Afolabi &amp; Adeyemi, 2023).</w:t>
      </w:r>
      <w:r>
        <w:rPr>
          <w:rFonts w:ascii="Times New Roman" w:eastAsia="Calibri" w:hAnsi="Times New Roman" w:cs="Times New Roman"/>
          <w:sz w:val="24"/>
          <w:szCs w:val="24"/>
          <w:lang w:val="en-US"/>
        </w:rPr>
        <w:t xml:space="preserve"> </w:t>
      </w:r>
      <w:r w:rsidRPr="001017D5">
        <w:rPr>
          <w:rFonts w:ascii="Times New Roman" w:eastAsia="Calibri" w:hAnsi="Times New Roman" w:cs="Times New Roman"/>
          <w:sz w:val="24"/>
          <w:szCs w:val="24"/>
          <w:lang w:val="en-US"/>
        </w:rPr>
        <w:t xml:space="preserve">In the context of Federal Universities in South-west Nigeria, disparities in technology adoption, self-efficacy, and access to digital learning environments have been reported among male and female medical students. </w:t>
      </w:r>
      <w:r w:rsidR="00294E11">
        <w:rPr>
          <w:rFonts w:ascii="Times New Roman" w:eastAsia="Calibri" w:hAnsi="Times New Roman" w:cs="Times New Roman"/>
          <w:sz w:val="24"/>
          <w:szCs w:val="24"/>
          <w:lang w:val="en-US"/>
        </w:rPr>
        <w:t xml:space="preserve">For example, </w:t>
      </w:r>
      <w:r w:rsidRPr="001017D5">
        <w:rPr>
          <w:rFonts w:ascii="Times New Roman" w:eastAsia="Calibri" w:hAnsi="Times New Roman" w:cs="Times New Roman"/>
          <w:sz w:val="24"/>
          <w:szCs w:val="24"/>
          <w:lang w:val="en-US"/>
        </w:rPr>
        <w:t xml:space="preserve">Ogunleye et al. (2024) found that male students tend to engage more with online medical databases such as PubMed, Hinari, and UpToDate, while female students may exhibit lower confidence in navigating complex digital </w:t>
      </w:r>
      <w:r w:rsidR="00294E11">
        <w:rPr>
          <w:rFonts w:ascii="Times New Roman" w:eastAsia="Calibri" w:hAnsi="Times New Roman" w:cs="Times New Roman"/>
          <w:sz w:val="24"/>
          <w:szCs w:val="24"/>
          <w:lang w:val="en-US"/>
        </w:rPr>
        <w:t>databases</w:t>
      </w:r>
      <w:r w:rsidRPr="001017D5">
        <w:rPr>
          <w:rFonts w:ascii="Times New Roman" w:eastAsia="Calibri" w:hAnsi="Times New Roman" w:cs="Times New Roman"/>
          <w:sz w:val="24"/>
          <w:szCs w:val="24"/>
          <w:lang w:val="en-US"/>
        </w:rPr>
        <w:t xml:space="preserve">, despite similar academic needs. </w:t>
      </w:r>
      <w:r w:rsidR="00294E11">
        <w:rPr>
          <w:rFonts w:ascii="Times New Roman" w:eastAsia="Calibri" w:hAnsi="Times New Roman" w:cs="Times New Roman"/>
          <w:sz w:val="24"/>
          <w:szCs w:val="24"/>
          <w:lang w:val="en-US"/>
        </w:rPr>
        <w:t>In ad</w:t>
      </w:r>
      <w:r w:rsidRPr="001017D5">
        <w:rPr>
          <w:rFonts w:ascii="Times New Roman" w:eastAsia="Calibri" w:hAnsi="Times New Roman" w:cs="Times New Roman"/>
          <w:sz w:val="24"/>
          <w:szCs w:val="24"/>
          <w:lang w:val="en-US"/>
        </w:rPr>
        <w:t>dition</w:t>
      </w:r>
      <w:r w:rsidR="00294E11">
        <w:rPr>
          <w:rFonts w:ascii="Times New Roman" w:eastAsia="Calibri" w:hAnsi="Times New Roman" w:cs="Times New Roman"/>
          <w:sz w:val="24"/>
          <w:szCs w:val="24"/>
          <w:lang w:val="en-US"/>
        </w:rPr>
        <w:t xml:space="preserve"> to this</w:t>
      </w:r>
      <w:r w:rsidRPr="001017D5">
        <w:rPr>
          <w:rFonts w:ascii="Times New Roman" w:eastAsia="Calibri" w:hAnsi="Times New Roman" w:cs="Times New Roman"/>
          <w:sz w:val="24"/>
          <w:szCs w:val="24"/>
          <w:lang w:val="en-US"/>
        </w:rPr>
        <w:t xml:space="preserve">, Ajayi and Olanrewaju (2023) </w:t>
      </w:r>
      <w:r w:rsidR="00294E11">
        <w:rPr>
          <w:rFonts w:ascii="Times New Roman" w:eastAsia="Calibri" w:hAnsi="Times New Roman" w:cs="Times New Roman"/>
          <w:sz w:val="24"/>
          <w:szCs w:val="24"/>
          <w:lang w:val="en-US"/>
        </w:rPr>
        <w:t xml:space="preserve">reported </w:t>
      </w:r>
      <w:r w:rsidRPr="001017D5">
        <w:rPr>
          <w:rFonts w:ascii="Times New Roman" w:eastAsia="Calibri" w:hAnsi="Times New Roman" w:cs="Times New Roman"/>
          <w:sz w:val="24"/>
          <w:szCs w:val="24"/>
          <w:lang w:val="en-US"/>
        </w:rPr>
        <w:t>that gender-based preferences in information retrieval strategies, institutional support and time constraints may also contribute to variations in EIR utilization.</w:t>
      </w:r>
      <w:r>
        <w:rPr>
          <w:rFonts w:ascii="Times New Roman" w:eastAsia="Calibri" w:hAnsi="Times New Roman" w:cs="Times New Roman"/>
          <w:sz w:val="24"/>
          <w:szCs w:val="24"/>
          <w:lang w:val="en-US"/>
        </w:rPr>
        <w:t xml:space="preserve"> </w:t>
      </w:r>
      <w:r w:rsidRPr="001017D5">
        <w:rPr>
          <w:rFonts w:ascii="Times New Roman" w:eastAsia="Calibri" w:hAnsi="Times New Roman" w:cs="Times New Roman"/>
          <w:sz w:val="24"/>
          <w:szCs w:val="24"/>
          <w:lang w:val="en-US"/>
        </w:rPr>
        <w:t xml:space="preserve">Despite the increasing availability of digital resources in medical education, there is limited empirical evidence on how gender differentiation affects EIR utilization among medical students in Federal Universities in South-west Nigeria. </w:t>
      </w:r>
      <w:r w:rsidR="00294E11">
        <w:rPr>
          <w:rFonts w:ascii="Times New Roman" w:eastAsia="Calibri" w:hAnsi="Times New Roman" w:cs="Times New Roman"/>
          <w:sz w:val="24"/>
          <w:szCs w:val="24"/>
          <w:lang w:val="en-US"/>
        </w:rPr>
        <w:t>Therefore, u</w:t>
      </w:r>
      <w:r w:rsidRPr="001017D5">
        <w:rPr>
          <w:rFonts w:ascii="Times New Roman" w:eastAsia="Calibri" w:hAnsi="Times New Roman" w:cs="Times New Roman"/>
          <w:sz w:val="24"/>
          <w:szCs w:val="24"/>
          <w:lang w:val="en-US"/>
        </w:rPr>
        <w:t xml:space="preserve">nderstanding these differences is crucial for developing gender-responsive policies that </w:t>
      </w:r>
      <w:r w:rsidR="00294E11">
        <w:rPr>
          <w:rFonts w:ascii="Times New Roman" w:eastAsia="Calibri" w:hAnsi="Times New Roman" w:cs="Times New Roman"/>
          <w:sz w:val="24"/>
          <w:szCs w:val="24"/>
          <w:lang w:val="en-US"/>
        </w:rPr>
        <w:t xml:space="preserve">will </w:t>
      </w:r>
      <w:r w:rsidRPr="001017D5">
        <w:rPr>
          <w:rFonts w:ascii="Times New Roman" w:eastAsia="Calibri" w:hAnsi="Times New Roman" w:cs="Times New Roman"/>
          <w:sz w:val="24"/>
          <w:szCs w:val="24"/>
          <w:lang w:val="en-US"/>
        </w:rPr>
        <w:t>promote equitable access to electronic medical information</w:t>
      </w:r>
      <w:r w:rsidR="00294E11">
        <w:rPr>
          <w:rFonts w:ascii="Times New Roman" w:eastAsia="Calibri" w:hAnsi="Times New Roman" w:cs="Times New Roman"/>
          <w:sz w:val="24"/>
          <w:szCs w:val="24"/>
          <w:lang w:val="en-US"/>
        </w:rPr>
        <w:t xml:space="preserve"> resources</w:t>
      </w:r>
      <w:r w:rsidRPr="001017D5">
        <w:rPr>
          <w:rFonts w:ascii="Times New Roman" w:eastAsia="Calibri" w:hAnsi="Times New Roman" w:cs="Times New Roman"/>
          <w:sz w:val="24"/>
          <w:szCs w:val="24"/>
          <w:lang w:val="en-US"/>
        </w:rPr>
        <w:t xml:space="preserve">. </w:t>
      </w:r>
      <w:r w:rsidR="0083034A">
        <w:rPr>
          <w:rFonts w:ascii="Times New Roman" w:eastAsia="Calibri" w:hAnsi="Times New Roman" w:cs="Times New Roman"/>
          <w:sz w:val="24"/>
          <w:szCs w:val="24"/>
          <w:lang w:val="en-US"/>
        </w:rPr>
        <w:t>In view of this, t</w:t>
      </w:r>
      <w:r w:rsidRPr="001017D5">
        <w:rPr>
          <w:rFonts w:ascii="Times New Roman" w:eastAsia="Calibri" w:hAnsi="Times New Roman" w:cs="Times New Roman"/>
          <w:sz w:val="24"/>
          <w:szCs w:val="24"/>
          <w:lang w:val="en-US"/>
        </w:rPr>
        <w:t>his study seeks to examine the correlation between gender differentiation and EIR utilization among medical students</w:t>
      </w:r>
      <w:r w:rsidR="0083034A">
        <w:rPr>
          <w:rFonts w:ascii="Times New Roman" w:eastAsia="Calibri" w:hAnsi="Times New Roman" w:cs="Times New Roman"/>
          <w:sz w:val="24"/>
          <w:szCs w:val="24"/>
          <w:lang w:val="en-US"/>
        </w:rPr>
        <w:t xml:space="preserve"> in federal universities in South-west, Nigeria</w:t>
      </w:r>
      <w:r w:rsidRPr="001017D5">
        <w:rPr>
          <w:rFonts w:ascii="Times New Roman" w:eastAsia="Calibri" w:hAnsi="Times New Roman" w:cs="Times New Roman"/>
          <w:sz w:val="24"/>
          <w:szCs w:val="24"/>
          <w:lang w:val="en-US"/>
        </w:rPr>
        <w:t>.</w:t>
      </w:r>
    </w:p>
    <w:p w14:paraId="60D9EFFF" w14:textId="77777777" w:rsidR="002A2EBD" w:rsidRPr="00550242" w:rsidRDefault="00550242" w:rsidP="002A2EBD">
      <w:pPr>
        <w:spacing w:line="360" w:lineRule="auto"/>
        <w:jc w:val="both"/>
        <w:rPr>
          <w:rFonts w:ascii="Times New Roman" w:eastAsia="Calibri" w:hAnsi="Times New Roman" w:cs="Times New Roman"/>
          <w:b/>
          <w:bCs/>
          <w:sz w:val="24"/>
          <w:szCs w:val="24"/>
          <w:lang w:val="en-US"/>
        </w:rPr>
      </w:pPr>
      <w:r w:rsidRPr="00550242">
        <w:rPr>
          <w:rFonts w:ascii="Times New Roman" w:eastAsia="Calibri" w:hAnsi="Times New Roman" w:cs="Times New Roman"/>
          <w:b/>
          <w:bCs/>
          <w:sz w:val="24"/>
          <w:szCs w:val="24"/>
          <w:lang w:val="en-US"/>
        </w:rPr>
        <w:lastRenderedPageBreak/>
        <w:t>Objectives of the Study</w:t>
      </w:r>
    </w:p>
    <w:p w14:paraId="23D8ECEB" w14:textId="77777777" w:rsidR="00550242" w:rsidRDefault="00550242" w:rsidP="0027271E">
      <w:pPr>
        <w:spacing w:line="276"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main objective of this study is to examine the influence of gender differentiation on </w:t>
      </w:r>
      <w:r w:rsidR="0098399A">
        <w:rPr>
          <w:rFonts w:ascii="Times New Roman" w:eastAsia="Calibri" w:hAnsi="Times New Roman" w:cs="Times New Roman"/>
          <w:sz w:val="24"/>
          <w:szCs w:val="24"/>
          <w:lang w:val="en-US"/>
        </w:rPr>
        <w:t>electronic information resources utilization by medical students in federal universities in South-west, Nigeria. The study will specifically:</w:t>
      </w:r>
    </w:p>
    <w:p w14:paraId="5405C0B2" w14:textId="77777777" w:rsidR="006F0124" w:rsidRDefault="006F0124" w:rsidP="0027271E">
      <w:pPr>
        <w:numPr>
          <w:ilvl w:val="0"/>
          <w:numId w:val="2"/>
        </w:num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determine the extent of EIRs utilization by medical students in federal universities in South-West, Nigeria;</w:t>
      </w:r>
    </w:p>
    <w:p w14:paraId="7BBE57E2" w14:textId="77777777" w:rsidR="006F0124" w:rsidRDefault="006F0124" w:rsidP="0027271E">
      <w:pPr>
        <w:numPr>
          <w:ilvl w:val="0"/>
          <w:numId w:val="2"/>
        </w:num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ascertain the perception</w:t>
      </w:r>
      <w:r w:rsidRPr="0099368B">
        <w:rPr>
          <w:rFonts w:ascii="Times New Roman" w:eastAsia="Calibri" w:hAnsi="Times New Roman" w:cs="Times New Roman"/>
          <w:sz w:val="24"/>
          <w:szCs w:val="24"/>
        </w:rPr>
        <w:t xml:space="preserve"> of medical students</w:t>
      </w:r>
      <w:r>
        <w:rPr>
          <w:rFonts w:ascii="Times New Roman" w:eastAsia="Calibri" w:hAnsi="Times New Roman" w:cs="Times New Roman"/>
          <w:sz w:val="24"/>
          <w:szCs w:val="24"/>
        </w:rPr>
        <w:t xml:space="preserve"> regarding gender differentiation </w:t>
      </w:r>
      <w:r w:rsidRPr="0099368B">
        <w:rPr>
          <w:rFonts w:ascii="Times New Roman" w:eastAsia="Calibri" w:hAnsi="Times New Roman" w:cs="Times New Roman"/>
          <w:sz w:val="24"/>
          <w:szCs w:val="24"/>
        </w:rPr>
        <w:t>i</w:t>
      </w:r>
      <w:r>
        <w:rPr>
          <w:rFonts w:ascii="Times New Roman" w:eastAsia="Calibri" w:hAnsi="Times New Roman" w:cs="Times New Roman"/>
          <w:sz w:val="24"/>
          <w:szCs w:val="24"/>
        </w:rPr>
        <w:t>n relation to EIRs utilization</w:t>
      </w:r>
      <w:r w:rsidRPr="0099368B">
        <w:rPr>
          <w:rFonts w:ascii="Times New Roman" w:eastAsia="Calibri" w:hAnsi="Times New Roman" w:cs="Times New Roman"/>
          <w:sz w:val="24"/>
          <w:szCs w:val="24"/>
        </w:rPr>
        <w:t xml:space="preserve"> in federal uni</w:t>
      </w:r>
      <w:r>
        <w:rPr>
          <w:rFonts w:ascii="Times New Roman" w:eastAsia="Calibri" w:hAnsi="Times New Roman" w:cs="Times New Roman"/>
          <w:sz w:val="24"/>
          <w:szCs w:val="24"/>
        </w:rPr>
        <w:t>versities in South-West Nigeria;</w:t>
      </w:r>
    </w:p>
    <w:p w14:paraId="503E7688" w14:textId="77777777" w:rsidR="006F0124" w:rsidRPr="00F20851" w:rsidRDefault="006F0124" w:rsidP="0027271E">
      <w:pPr>
        <w:numPr>
          <w:ilvl w:val="0"/>
          <w:numId w:val="2"/>
        </w:num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find out the influence of gender differentiation on EIRs utilization by medical students in federal universities in South-West, Nigeria;</w:t>
      </w:r>
    </w:p>
    <w:p w14:paraId="07561BF2" w14:textId="77777777" w:rsidR="006F0124" w:rsidRPr="00D31B16" w:rsidRDefault="006F0124" w:rsidP="0027271E">
      <w:pPr>
        <w:numPr>
          <w:ilvl w:val="0"/>
          <w:numId w:val="2"/>
        </w:numPr>
        <w:spacing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identify the factors militating against EIRs utilization by medical students in federal universities in South-West, Nigeria.</w:t>
      </w:r>
    </w:p>
    <w:p w14:paraId="0D7AD2E8" w14:textId="77777777" w:rsidR="0098399A" w:rsidRPr="008378E1" w:rsidRDefault="006F0124" w:rsidP="0027271E">
      <w:pPr>
        <w:spacing w:line="276" w:lineRule="auto"/>
        <w:jc w:val="both"/>
        <w:rPr>
          <w:rFonts w:ascii="Times New Roman" w:eastAsia="Calibri" w:hAnsi="Times New Roman" w:cs="Times New Roman"/>
          <w:b/>
          <w:bCs/>
          <w:sz w:val="24"/>
          <w:szCs w:val="24"/>
          <w:lang w:val="en-US"/>
        </w:rPr>
      </w:pPr>
      <w:r w:rsidRPr="008378E1">
        <w:rPr>
          <w:rFonts w:ascii="Times New Roman" w:eastAsia="Calibri" w:hAnsi="Times New Roman" w:cs="Times New Roman"/>
          <w:b/>
          <w:bCs/>
          <w:sz w:val="24"/>
          <w:szCs w:val="24"/>
          <w:lang w:val="en-US"/>
        </w:rPr>
        <w:t>Research Questions</w:t>
      </w:r>
    </w:p>
    <w:p w14:paraId="3BF9C667" w14:textId="77777777" w:rsidR="008378E1" w:rsidRDefault="008378E1" w:rsidP="0027271E">
      <w:pPr>
        <w:spacing w:line="276" w:lineRule="auto"/>
        <w:jc w:val="both"/>
        <w:rPr>
          <w:rFonts w:ascii="Times New Roman" w:eastAsia="Calibri" w:hAnsi="Times New Roman" w:cs="Times New Roman"/>
          <w:sz w:val="24"/>
          <w:szCs w:val="24"/>
        </w:rPr>
      </w:pPr>
      <w:r w:rsidRPr="00C543ED">
        <w:rPr>
          <w:rFonts w:ascii="Times New Roman" w:eastAsia="Calibri" w:hAnsi="Times New Roman" w:cs="Times New Roman"/>
          <w:sz w:val="24"/>
          <w:szCs w:val="24"/>
        </w:rPr>
        <w:t>The following research questions have been raised to guide this study:</w:t>
      </w:r>
    </w:p>
    <w:p w14:paraId="783D3921" w14:textId="77777777" w:rsidR="008378E1" w:rsidRDefault="008378E1" w:rsidP="0027271E">
      <w:pPr>
        <w:pStyle w:val="ListParagraph"/>
        <w:numPr>
          <w:ilvl w:val="0"/>
          <w:numId w:val="3"/>
        </w:num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What is the extent of EIRs utilization by medical students in federal universities in South-West, Nigeria?</w:t>
      </w:r>
    </w:p>
    <w:p w14:paraId="5FC58D6A" w14:textId="77777777" w:rsidR="008378E1" w:rsidRPr="005B21DB" w:rsidRDefault="008378E1" w:rsidP="0027271E">
      <w:pPr>
        <w:pStyle w:val="ListParagraph"/>
        <w:numPr>
          <w:ilvl w:val="0"/>
          <w:numId w:val="3"/>
        </w:numPr>
        <w:spacing w:line="276" w:lineRule="auto"/>
        <w:jc w:val="both"/>
        <w:rPr>
          <w:rFonts w:ascii="Times New Roman" w:eastAsia="Calibri" w:hAnsi="Times New Roman" w:cs="Times New Roman"/>
          <w:sz w:val="24"/>
          <w:szCs w:val="24"/>
        </w:rPr>
      </w:pPr>
      <w:r w:rsidRPr="005B21DB">
        <w:rPr>
          <w:rFonts w:ascii="Times New Roman" w:eastAsia="Calibri" w:hAnsi="Times New Roman" w:cs="Times New Roman"/>
          <w:sz w:val="24"/>
          <w:szCs w:val="24"/>
        </w:rPr>
        <w:t xml:space="preserve">What </w:t>
      </w:r>
      <w:r>
        <w:rPr>
          <w:rFonts w:ascii="Times New Roman" w:eastAsia="Calibri" w:hAnsi="Times New Roman" w:cs="Times New Roman"/>
          <w:sz w:val="24"/>
          <w:szCs w:val="24"/>
        </w:rPr>
        <w:t>is medical students' perception</w:t>
      </w:r>
      <w:r w:rsidRPr="005B21DB">
        <w:rPr>
          <w:rFonts w:ascii="Times New Roman" w:eastAsia="Calibri" w:hAnsi="Times New Roman" w:cs="Times New Roman"/>
          <w:sz w:val="24"/>
          <w:szCs w:val="24"/>
        </w:rPr>
        <w:t xml:space="preserve"> of gender differentiation concerning EIRs utilization in federal universities in South-West Nigeria?</w:t>
      </w:r>
    </w:p>
    <w:p w14:paraId="38CF0109" w14:textId="77777777" w:rsidR="008378E1" w:rsidRPr="00D83707" w:rsidRDefault="008378E1" w:rsidP="0027271E">
      <w:pPr>
        <w:pStyle w:val="ListParagraph"/>
        <w:numPr>
          <w:ilvl w:val="0"/>
          <w:numId w:val="3"/>
        </w:numPr>
        <w:spacing w:line="276" w:lineRule="auto"/>
        <w:jc w:val="both"/>
        <w:rPr>
          <w:rFonts w:ascii="Times New Roman" w:eastAsia="Calibri" w:hAnsi="Times New Roman" w:cs="Times New Roman"/>
          <w:sz w:val="24"/>
          <w:szCs w:val="24"/>
        </w:rPr>
      </w:pPr>
      <w:r w:rsidRPr="00D83707">
        <w:rPr>
          <w:rFonts w:ascii="Times New Roman" w:eastAsia="Calibri" w:hAnsi="Times New Roman" w:cs="Times New Roman"/>
          <w:sz w:val="24"/>
          <w:szCs w:val="24"/>
        </w:rPr>
        <w:t xml:space="preserve">What are the </w:t>
      </w:r>
      <w:r>
        <w:rPr>
          <w:rFonts w:ascii="Times New Roman" w:eastAsia="Calibri" w:hAnsi="Times New Roman" w:cs="Times New Roman"/>
          <w:sz w:val="24"/>
          <w:szCs w:val="24"/>
        </w:rPr>
        <w:t xml:space="preserve">factors militating against </w:t>
      </w:r>
      <w:r w:rsidRPr="00D83707">
        <w:rPr>
          <w:rFonts w:ascii="Times New Roman" w:eastAsia="Calibri" w:hAnsi="Times New Roman" w:cs="Times New Roman"/>
          <w:sz w:val="24"/>
          <w:szCs w:val="24"/>
        </w:rPr>
        <w:t xml:space="preserve">electronic information resources </w:t>
      </w:r>
      <w:r>
        <w:rPr>
          <w:rFonts w:ascii="Times New Roman" w:eastAsia="Calibri" w:hAnsi="Times New Roman" w:cs="Times New Roman"/>
          <w:sz w:val="24"/>
          <w:szCs w:val="24"/>
        </w:rPr>
        <w:t>utilization by the medical students in federal u</w:t>
      </w:r>
      <w:r w:rsidRPr="00D83707">
        <w:rPr>
          <w:rFonts w:ascii="Times New Roman" w:eastAsia="Calibri" w:hAnsi="Times New Roman" w:cs="Times New Roman"/>
          <w:sz w:val="24"/>
          <w:szCs w:val="24"/>
        </w:rPr>
        <w:t>niversities in South</w:t>
      </w:r>
      <w:r>
        <w:rPr>
          <w:rFonts w:ascii="Times New Roman" w:eastAsia="Calibri" w:hAnsi="Times New Roman" w:cs="Times New Roman"/>
          <w:sz w:val="24"/>
          <w:szCs w:val="24"/>
        </w:rPr>
        <w:t>-W</w:t>
      </w:r>
      <w:r w:rsidRPr="00D83707">
        <w:rPr>
          <w:rFonts w:ascii="Times New Roman" w:eastAsia="Calibri" w:hAnsi="Times New Roman" w:cs="Times New Roman"/>
          <w:sz w:val="24"/>
          <w:szCs w:val="24"/>
        </w:rPr>
        <w:t>est, Nigeria?</w:t>
      </w:r>
    </w:p>
    <w:p w14:paraId="786794D3" w14:textId="77777777" w:rsidR="006F0124" w:rsidRPr="00826D7B" w:rsidRDefault="008378E1" w:rsidP="0027271E">
      <w:pPr>
        <w:spacing w:line="276" w:lineRule="auto"/>
        <w:jc w:val="both"/>
        <w:rPr>
          <w:rFonts w:ascii="Times New Roman" w:eastAsia="Calibri" w:hAnsi="Times New Roman" w:cs="Times New Roman"/>
          <w:b/>
          <w:bCs/>
          <w:sz w:val="24"/>
          <w:szCs w:val="24"/>
          <w:lang w:val="en-US"/>
        </w:rPr>
      </w:pPr>
      <w:r w:rsidRPr="00826D7B">
        <w:rPr>
          <w:rFonts w:ascii="Times New Roman" w:eastAsia="Calibri" w:hAnsi="Times New Roman" w:cs="Times New Roman"/>
          <w:b/>
          <w:bCs/>
          <w:sz w:val="24"/>
          <w:szCs w:val="24"/>
          <w:lang w:val="en-US"/>
        </w:rPr>
        <w:t>Hypothesis</w:t>
      </w:r>
    </w:p>
    <w:p w14:paraId="38C56BB2" w14:textId="77777777" w:rsidR="00826D7B" w:rsidRPr="00C543ED" w:rsidRDefault="00826D7B" w:rsidP="0027271E">
      <w:pPr>
        <w:tabs>
          <w:tab w:val="left" w:pos="540"/>
          <w:tab w:val="left" w:pos="720"/>
        </w:tabs>
        <w:spacing w:line="276" w:lineRule="auto"/>
        <w:ind w:right="144"/>
        <w:jc w:val="both"/>
        <w:rPr>
          <w:rFonts w:ascii="Times New Roman" w:eastAsia="Calibri" w:hAnsi="Times New Roman" w:cs="Times New Roman"/>
          <w:bCs/>
          <w:sz w:val="24"/>
          <w:szCs w:val="24"/>
          <w:lang w:val="en-US"/>
        </w:rPr>
      </w:pPr>
      <w:r w:rsidRPr="00C543ED">
        <w:rPr>
          <w:rFonts w:ascii="Times New Roman" w:eastAsia="Calibri" w:hAnsi="Times New Roman" w:cs="Times New Roman"/>
          <w:bCs/>
          <w:sz w:val="24"/>
          <w:szCs w:val="24"/>
        </w:rPr>
        <w:t>The following null hypothes</w:t>
      </w:r>
      <w:r>
        <w:rPr>
          <w:rFonts w:ascii="Times New Roman" w:eastAsia="Calibri" w:hAnsi="Times New Roman" w:cs="Times New Roman"/>
          <w:bCs/>
          <w:sz w:val="24"/>
          <w:szCs w:val="24"/>
        </w:rPr>
        <w:t>i</w:t>
      </w:r>
      <w:r w:rsidRPr="00C543ED">
        <w:rPr>
          <w:rFonts w:ascii="Times New Roman" w:eastAsia="Calibri" w:hAnsi="Times New Roman" w:cs="Times New Roman"/>
          <w:bCs/>
          <w:sz w:val="24"/>
          <w:szCs w:val="24"/>
        </w:rPr>
        <w:t>s were tested at 0.05 level of significance:</w:t>
      </w:r>
    </w:p>
    <w:p w14:paraId="08C16E0C" w14:textId="77777777" w:rsidR="00826D7B" w:rsidRPr="00C543ED" w:rsidRDefault="00826D7B" w:rsidP="0027271E">
      <w:pPr>
        <w:spacing w:line="276" w:lineRule="auto"/>
        <w:ind w:left="630" w:hanging="63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US"/>
        </w:rPr>
        <w:t>Ho1:</w:t>
      </w:r>
      <w:r>
        <w:rPr>
          <w:rFonts w:ascii="Times New Roman" w:eastAsia="Calibri" w:hAnsi="Times New Roman" w:cs="Times New Roman"/>
          <w:sz w:val="24"/>
          <w:szCs w:val="24"/>
        </w:rPr>
        <w:t xml:space="preserve"> G</w:t>
      </w:r>
      <w:r w:rsidRPr="00C543ED">
        <w:rPr>
          <w:rFonts w:ascii="Times New Roman" w:eastAsia="Calibri" w:hAnsi="Times New Roman" w:cs="Times New Roman"/>
          <w:sz w:val="24"/>
          <w:szCs w:val="24"/>
        </w:rPr>
        <w:t>ende</w:t>
      </w:r>
      <w:r>
        <w:rPr>
          <w:rFonts w:ascii="Times New Roman" w:eastAsia="Calibri" w:hAnsi="Times New Roman" w:cs="Times New Roman"/>
          <w:sz w:val="24"/>
          <w:szCs w:val="24"/>
        </w:rPr>
        <w:t>r differentiation has no significant influence on electronic information resources utilization</w:t>
      </w:r>
      <w:r w:rsidRPr="00C543ED">
        <w:rPr>
          <w:rFonts w:ascii="Times New Roman" w:eastAsia="Calibri" w:hAnsi="Times New Roman" w:cs="Times New Roman"/>
          <w:sz w:val="24"/>
          <w:szCs w:val="24"/>
        </w:rPr>
        <w:t xml:space="preserve"> by </w:t>
      </w:r>
      <w:r>
        <w:rPr>
          <w:rFonts w:ascii="Times New Roman" w:eastAsia="Calibri" w:hAnsi="Times New Roman" w:cs="Times New Roman"/>
          <w:sz w:val="24"/>
          <w:szCs w:val="24"/>
        </w:rPr>
        <w:t>medical students in federal u</w:t>
      </w:r>
      <w:r w:rsidRPr="00C543ED">
        <w:rPr>
          <w:rFonts w:ascii="Times New Roman" w:eastAsia="Calibri" w:hAnsi="Times New Roman" w:cs="Times New Roman"/>
          <w:sz w:val="24"/>
          <w:szCs w:val="24"/>
        </w:rPr>
        <w:t>niversities in South-West, Nigeria.</w:t>
      </w:r>
    </w:p>
    <w:p w14:paraId="7FA788CA" w14:textId="77777777" w:rsidR="008378E1" w:rsidRPr="0027271E" w:rsidRDefault="00332EE7" w:rsidP="006F0124">
      <w:pPr>
        <w:spacing w:line="360" w:lineRule="auto"/>
        <w:jc w:val="both"/>
        <w:rPr>
          <w:rFonts w:ascii="Times New Roman" w:eastAsia="Calibri" w:hAnsi="Times New Roman" w:cs="Times New Roman"/>
          <w:b/>
          <w:bCs/>
          <w:sz w:val="24"/>
          <w:szCs w:val="24"/>
          <w:lang w:val="en-US"/>
        </w:rPr>
      </w:pPr>
      <w:r w:rsidRPr="0027271E">
        <w:rPr>
          <w:rFonts w:ascii="Times New Roman" w:eastAsia="Calibri" w:hAnsi="Times New Roman" w:cs="Times New Roman"/>
          <w:b/>
          <w:bCs/>
          <w:sz w:val="24"/>
          <w:szCs w:val="24"/>
          <w:lang w:val="en-US"/>
        </w:rPr>
        <w:t>Scope of the Study</w:t>
      </w:r>
    </w:p>
    <w:p w14:paraId="5937A3B2" w14:textId="77777777" w:rsidR="0027271E" w:rsidRDefault="0027271E" w:rsidP="0027271E">
      <w:pPr>
        <w:spacing w:after="200" w:line="276" w:lineRule="auto"/>
        <w:jc w:val="both"/>
        <w:rPr>
          <w:rFonts w:ascii="Times New Roman" w:eastAsia="Calibri" w:hAnsi="Times New Roman" w:cs="Times New Roman"/>
          <w:sz w:val="24"/>
          <w:szCs w:val="24"/>
        </w:rPr>
      </w:pPr>
      <w:r w:rsidRPr="00AB48B0">
        <w:rPr>
          <w:rFonts w:ascii="Times New Roman" w:eastAsia="Calibri" w:hAnsi="Times New Roman" w:cs="Times New Roman"/>
          <w:bCs/>
          <w:sz w:val="24"/>
          <w:szCs w:val="24"/>
        </w:rPr>
        <w:t>This study focused on investigating gender differentiation</w:t>
      </w:r>
      <w:r w:rsidR="00CD108E">
        <w:rPr>
          <w:rFonts w:ascii="Times New Roman" w:eastAsia="Calibri" w:hAnsi="Times New Roman" w:cs="Times New Roman"/>
          <w:bCs/>
          <w:sz w:val="24"/>
          <w:szCs w:val="24"/>
        </w:rPr>
        <w:t xml:space="preserve"> as correlate of</w:t>
      </w:r>
      <w:r w:rsidRPr="00AB48B0">
        <w:rPr>
          <w:rFonts w:ascii="Times New Roman" w:eastAsia="Calibri" w:hAnsi="Times New Roman" w:cs="Times New Roman"/>
          <w:bCs/>
          <w:sz w:val="24"/>
          <w:szCs w:val="24"/>
        </w:rPr>
        <w:t xml:space="preserve"> e</w:t>
      </w:r>
      <w:r>
        <w:rPr>
          <w:rFonts w:ascii="Times New Roman" w:eastAsia="Calibri" w:hAnsi="Times New Roman" w:cs="Times New Roman"/>
          <w:bCs/>
          <w:sz w:val="24"/>
          <w:szCs w:val="24"/>
        </w:rPr>
        <w:t>lectronic information resources</w:t>
      </w:r>
      <w:r w:rsidRPr="00AB48B0">
        <w:rPr>
          <w:rFonts w:ascii="Times New Roman" w:eastAsia="Calibri" w:hAnsi="Times New Roman" w:cs="Times New Roman"/>
          <w:bCs/>
          <w:sz w:val="24"/>
          <w:szCs w:val="24"/>
        </w:rPr>
        <w:t xml:space="preserve"> utilization by medical students in Federal Universities in South-West Nigeria. Geographically, the study will be limited to four (4) states in South-West Nigeria, that is Oyo State; Lagos State; Osun State; and Ekiti State because these are the only Federal Universities in South-West, Nigeria that </w:t>
      </w:r>
      <w:r w:rsidR="00CD108E" w:rsidRPr="00AB48B0">
        <w:rPr>
          <w:rFonts w:ascii="Times New Roman" w:eastAsia="Calibri" w:hAnsi="Times New Roman" w:cs="Times New Roman"/>
          <w:bCs/>
          <w:sz w:val="24"/>
          <w:szCs w:val="24"/>
        </w:rPr>
        <w:t>offer</w:t>
      </w:r>
      <w:r w:rsidRPr="00AB48B0">
        <w:rPr>
          <w:rFonts w:ascii="Times New Roman" w:eastAsia="Calibri" w:hAnsi="Times New Roman" w:cs="Times New Roman"/>
          <w:bCs/>
          <w:sz w:val="24"/>
          <w:szCs w:val="24"/>
        </w:rPr>
        <w:t xml:space="preserve"> medicine as a course. The dependent variable is EIRs utilization and the indicators are perceive</w:t>
      </w:r>
      <w:r>
        <w:rPr>
          <w:rFonts w:ascii="Times New Roman" w:eastAsia="Calibri" w:hAnsi="Times New Roman" w:cs="Times New Roman"/>
          <w:bCs/>
          <w:sz w:val="24"/>
          <w:szCs w:val="24"/>
        </w:rPr>
        <w:t>d</w:t>
      </w:r>
      <w:r w:rsidRPr="00AB48B0">
        <w:rPr>
          <w:rFonts w:ascii="Times New Roman" w:eastAsia="Calibri" w:hAnsi="Times New Roman" w:cs="Times New Roman"/>
          <w:bCs/>
          <w:sz w:val="24"/>
          <w:szCs w:val="24"/>
        </w:rPr>
        <w:t xml:space="preserve"> usefulness, perceived ease of u</w:t>
      </w:r>
      <w:r>
        <w:rPr>
          <w:rFonts w:ascii="Times New Roman" w:eastAsia="Calibri" w:hAnsi="Times New Roman" w:cs="Times New Roman"/>
          <w:bCs/>
          <w:sz w:val="24"/>
          <w:szCs w:val="24"/>
        </w:rPr>
        <w:t>se, accessibility of resources</w:t>
      </w:r>
      <w:r w:rsidRPr="00AB48B0">
        <w:rPr>
          <w:rFonts w:ascii="Times New Roman" w:eastAsia="Calibri" w:hAnsi="Times New Roman" w:cs="Times New Roman"/>
          <w:bCs/>
          <w:sz w:val="24"/>
          <w:szCs w:val="24"/>
        </w:rPr>
        <w:t>, availability of resources</w:t>
      </w:r>
      <w:r>
        <w:rPr>
          <w:rFonts w:ascii="Times New Roman" w:eastAsia="Calibri" w:hAnsi="Times New Roman" w:cs="Times New Roman"/>
          <w:bCs/>
          <w:sz w:val="24"/>
          <w:szCs w:val="24"/>
        </w:rPr>
        <w:t>, behavioural intention</w:t>
      </w:r>
      <w:r w:rsidRPr="00AB48B0">
        <w:rPr>
          <w:rFonts w:ascii="Times New Roman" w:eastAsia="Calibri" w:hAnsi="Times New Roman" w:cs="Times New Roman"/>
          <w:bCs/>
          <w:sz w:val="24"/>
          <w:szCs w:val="24"/>
        </w:rPr>
        <w:t xml:space="preserve"> by medical students in federal universities in South-West Nigeria</w:t>
      </w:r>
      <w:r w:rsidR="00FF5FBD">
        <w:rPr>
          <w:rFonts w:ascii="Times New Roman" w:eastAsia="Calibri" w:hAnsi="Times New Roman" w:cs="Times New Roman"/>
          <w:bCs/>
          <w:sz w:val="24"/>
          <w:szCs w:val="24"/>
        </w:rPr>
        <w:t xml:space="preserve"> while</w:t>
      </w:r>
      <w:r w:rsidR="00951E0D">
        <w:rPr>
          <w:rFonts w:ascii="Times New Roman" w:eastAsia="Calibri" w:hAnsi="Times New Roman" w:cs="Times New Roman"/>
          <w:bCs/>
          <w:sz w:val="24"/>
          <w:szCs w:val="24"/>
        </w:rPr>
        <w:t xml:space="preserve"> the</w:t>
      </w:r>
      <w:r w:rsidRPr="00AB48B0">
        <w:rPr>
          <w:rFonts w:ascii="Times New Roman" w:eastAsia="Calibri" w:hAnsi="Times New Roman" w:cs="Times New Roman"/>
          <w:bCs/>
          <w:sz w:val="24"/>
          <w:szCs w:val="24"/>
        </w:rPr>
        <w:t xml:space="preserve"> independent variable is gender differentiation and will be measured by indicators which include </w:t>
      </w:r>
      <w:r w:rsidRPr="00AB48B0">
        <w:rPr>
          <w:rFonts w:ascii="Times New Roman" w:hAnsi="Times New Roman"/>
          <w:sz w:val="24"/>
          <w:szCs w:val="24"/>
        </w:rPr>
        <w:t>division of labo</w:t>
      </w:r>
      <w:r w:rsidR="00951E0D">
        <w:rPr>
          <w:rFonts w:ascii="Times New Roman" w:hAnsi="Times New Roman"/>
          <w:sz w:val="24"/>
          <w:szCs w:val="24"/>
        </w:rPr>
        <w:t>u</w:t>
      </w:r>
      <w:r w:rsidRPr="00AB48B0">
        <w:rPr>
          <w:rFonts w:ascii="Times New Roman" w:hAnsi="Times New Roman"/>
          <w:sz w:val="24"/>
          <w:szCs w:val="24"/>
        </w:rPr>
        <w:t>r, occupational segregati</w:t>
      </w:r>
      <w:r>
        <w:rPr>
          <w:rFonts w:ascii="Times New Roman" w:hAnsi="Times New Roman"/>
          <w:sz w:val="24"/>
          <w:szCs w:val="24"/>
        </w:rPr>
        <w:t>on, gender roles and socialization processes</w:t>
      </w:r>
      <w:r w:rsidRPr="00AB48B0">
        <w:rPr>
          <w:rFonts w:ascii="Times New Roman" w:eastAsia="Calibri" w:hAnsi="Times New Roman" w:cs="Times New Roman"/>
          <w:bCs/>
          <w:sz w:val="24"/>
          <w:szCs w:val="24"/>
        </w:rPr>
        <w:t>. The population of the study will consist of all the medical students</w:t>
      </w:r>
      <w:r>
        <w:rPr>
          <w:rFonts w:ascii="Times New Roman" w:eastAsia="Calibri" w:hAnsi="Times New Roman" w:cs="Times New Roman"/>
          <w:bCs/>
          <w:sz w:val="24"/>
          <w:szCs w:val="24"/>
        </w:rPr>
        <w:t xml:space="preserve"> ranging from 200L to 500L</w:t>
      </w:r>
      <w:r w:rsidRPr="00AB48B0">
        <w:rPr>
          <w:rFonts w:ascii="Times New Roman" w:eastAsia="Calibri" w:hAnsi="Times New Roman" w:cs="Times New Roman"/>
          <w:bCs/>
          <w:sz w:val="24"/>
          <w:szCs w:val="24"/>
        </w:rPr>
        <w:t xml:space="preserve"> in federal university in South-West Nigeria such as University of Ibadan, </w:t>
      </w:r>
      <w:r w:rsidRPr="00AB48B0">
        <w:rPr>
          <w:rFonts w:ascii="Times New Roman" w:eastAsia="Calibri" w:hAnsi="Times New Roman" w:cs="Times New Roman"/>
          <w:bCs/>
          <w:sz w:val="24"/>
          <w:szCs w:val="24"/>
        </w:rPr>
        <w:lastRenderedPageBreak/>
        <w:t>Ibadan, Oyo State; University of Lagos, Akoka, Lagos State; Obafemi Awolowo University, Ile-Ife and Federal University of Technology, Akure Ondo state. However, t</w:t>
      </w:r>
      <w:r w:rsidRPr="00AB48B0">
        <w:rPr>
          <w:rFonts w:ascii="Times New Roman" w:eastAsia="Calibri" w:hAnsi="Times New Roman" w:cs="Times New Roman"/>
          <w:sz w:val="24"/>
          <w:szCs w:val="24"/>
        </w:rPr>
        <w:t>he study will not make an attempt to cover private and state universities in South-West, Nigeria.</w:t>
      </w:r>
    </w:p>
    <w:p w14:paraId="468FB64F" w14:textId="77777777" w:rsidR="000C269B" w:rsidRPr="000C269B" w:rsidRDefault="00770A31" w:rsidP="0027271E">
      <w:pPr>
        <w:spacing w:after="200" w:line="276"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Review of Related Empirical Literature</w:t>
      </w:r>
    </w:p>
    <w:p w14:paraId="1251DBF4" w14:textId="77777777" w:rsidR="00691EAB" w:rsidRPr="00691EAB" w:rsidRDefault="00691EAB" w:rsidP="00691EAB">
      <w:pPr>
        <w:spacing w:after="200" w:line="276" w:lineRule="auto"/>
        <w:jc w:val="both"/>
        <w:rPr>
          <w:rFonts w:ascii="Times New Roman" w:eastAsia="Calibri" w:hAnsi="Times New Roman" w:cs="Times New Roman"/>
          <w:b/>
          <w:bCs/>
          <w:sz w:val="24"/>
          <w:szCs w:val="24"/>
        </w:rPr>
      </w:pPr>
      <w:r w:rsidRPr="00691EAB">
        <w:rPr>
          <w:rFonts w:ascii="Times New Roman" w:eastAsia="Calibri" w:hAnsi="Times New Roman" w:cs="Times New Roman"/>
          <w:b/>
          <w:bCs/>
          <w:sz w:val="24"/>
          <w:szCs w:val="24"/>
        </w:rPr>
        <w:t xml:space="preserve">Electronic information resources utilization </w:t>
      </w:r>
    </w:p>
    <w:p w14:paraId="696FDEA7" w14:textId="77777777" w:rsidR="00691EAB" w:rsidRDefault="00691EAB" w:rsidP="00691EAB">
      <w:pPr>
        <w:spacing w:after="200" w:line="276" w:lineRule="auto"/>
        <w:jc w:val="both"/>
        <w:rPr>
          <w:rFonts w:ascii="Times New Roman" w:eastAsia="Calibri" w:hAnsi="Times New Roman" w:cs="Times New Roman"/>
          <w:bCs/>
          <w:sz w:val="24"/>
          <w:szCs w:val="24"/>
        </w:rPr>
      </w:pPr>
      <w:r w:rsidRPr="00691EAB">
        <w:rPr>
          <w:rFonts w:ascii="Times New Roman" w:eastAsia="Calibri" w:hAnsi="Times New Roman" w:cs="Times New Roman"/>
          <w:bCs/>
          <w:sz w:val="24"/>
          <w:szCs w:val="24"/>
        </w:rPr>
        <w:t>Okiki and Ashiru (2011) studied use of electronic information resources by Nigerian students and found that the students were motivated to use electronic resources for their research projects, gain quick access to information and to search for new things. The major problems encountered by respondents in gaining access to and use electronic resources were slow internet connectivity, frequent incessant power outage and too few computers with internet facilities. Adeniran (2013) in her study of usage of electronic resources at Redeemers University in Nigeria found that even though respondents were aware of the different types of electronic information resources available in the university library, their use rate of these resources was low. The factors that impede effective utilization of electronic resources were large mass of irrelevant information, the need to filter the results from search, download delay, failure to find information and inadequate or lack of search skills. The study concluded that electronic resources has impacted positively on the academic performances of the undergraduates, but recommended the need for them to acquire more skills in the use of electronic resources.</w:t>
      </w:r>
    </w:p>
    <w:p w14:paraId="03BDA3A8" w14:textId="77777777" w:rsidR="00691EAB" w:rsidRDefault="00691EAB" w:rsidP="00691EAB">
      <w:pPr>
        <w:spacing w:after="200" w:line="276" w:lineRule="auto"/>
        <w:jc w:val="both"/>
        <w:rPr>
          <w:rFonts w:ascii="Times New Roman" w:eastAsia="Calibri" w:hAnsi="Times New Roman" w:cs="Times New Roman"/>
          <w:bCs/>
          <w:sz w:val="24"/>
          <w:szCs w:val="24"/>
        </w:rPr>
      </w:pPr>
      <w:r w:rsidRPr="00691EAB">
        <w:rPr>
          <w:rFonts w:ascii="Times New Roman" w:eastAsia="Calibri" w:hAnsi="Times New Roman" w:cs="Times New Roman"/>
          <w:bCs/>
          <w:sz w:val="24"/>
          <w:szCs w:val="24"/>
        </w:rPr>
        <w:t>Sohail and Ahmad (2017) evaluated the effectiveness of electronic resources and services in select campuses of Fiji National University Library. The researchers selected eight libraries from various partitions of Fiji in the users’ survey. The study showed that the majority of the users of FNU libraries keep themselves up-to-date with advancements in electronic resources, services, and the application thereof in the academic and research field. Furthermore, Ternenge and Kashimana (2019) investigated the availability, accessibility and use of electronic information resources for research by students. The findings revealed that the extent of accessibility and utilisation of the available EIRs for research by students is great. Gakibayo et al. (2013) examined students</w:t>
      </w:r>
      <w:r w:rsidR="003530C2">
        <w:rPr>
          <w:rFonts w:ascii="Times New Roman" w:eastAsia="Calibri" w:hAnsi="Times New Roman" w:cs="Times New Roman"/>
          <w:bCs/>
          <w:sz w:val="24"/>
          <w:szCs w:val="24"/>
        </w:rPr>
        <w:t>’</w:t>
      </w:r>
      <w:r w:rsidRPr="00691EAB">
        <w:rPr>
          <w:rFonts w:ascii="Times New Roman" w:eastAsia="Calibri" w:hAnsi="Times New Roman" w:cs="Times New Roman"/>
          <w:bCs/>
          <w:sz w:val="24"/>
          <w:szCs w:val="24"/>
        </w:rPr>
        <w:t xml:space="preserve"> utilization of electronic information resources in Mbarara University Library, Uganda. The study found that the use of electronic resources was constrained by lack of computer and information literacy skills, inadequate number of computers and slow internet connectivity. The frequency of use of these resources indicated that the university would have to do a lot to improve on electronic resources use in the institution. Tariq and Zia (2014) carried out a survey to find out the use of electronic information resources by the students of Faculty of Science, University of Karachi, Pakistan. The findings showed that they used electronic resources for class assignments and to get updates about their specialty. The main barriers to access and use were slow network connection, power failure, viruses, and subscription issues. Furthermore, the users also need to get trained for an effective use of these resources.</w:t>
      </w:r>
    </w:p>
    <w:p w14:paraId="1D3C2898" w14:textId="77777777" w:rsidR="006C1C82" w:rsidRDefault="006C1C82" w:rsidP="00691EAB">
      <w:pPr>
        <w:spacing w:after="200" w:line="276" w:lineRule="auto"/>
        <w:jc w:val="both"/>
        <w:rPr>
          <w:rFonts w:ascii="Times New Roman" w:eastAsia="Calibri" w:hAnsi="Times New Roman" w:cs="Times New Roman"/>
          <w:b/>
          <w:sz w:val="24"/>
          <w:szCs w:val="24"/>
        </w:rPr>
      </w:pPr>
    </w:p>
    <w:p w14:paraId="27EE0A6A" w14:textId="77777777" w:rsidR="006C1C82" w:rsidRDefault="006C1C82" w:rsidP="00691EAB">
      <w:pPr>
        <w:spacing w:after="200" w:line="276" w:lineRule="auto"/>
        <w:jc w:val="both"/>
        <w:rPr>
          <w:rFonts w:ascii="Times New Roman" w:eastAsia="Calibri" w:hAnsi="Times New Roman" w:cs="Times New Roman"/>
          <w:b/>
          <w:sz w:val="24"/>
          <w:szCs w:val="24"/>
        </w:rPr>
      </w:pPr>
    </w:p>
    <w:p w14:paraId="72124B03" w14:textId="77777777" w:rsidR="00417B22" w:rsidRPr="00417B22" w:rsidRDefault="00417B22" w:rsidP="00691EAB">
      <w:pPr>
        <w:spacing w:after="200" w:line="276" w:lineRule="auto"/>
        <w:jc w:val="both"/>
        <w:rPr>
          <w:rFonts w:ascii="Times New Roman" w:eastAsia="Calibri" w:hAnsi="Times New Roman" w:cs="Times New Roman"/>
          <w:b/>
          <w:sz w:val="24"/>
          <w:szCs w:val="24"/>
        </w:rPr>
      </w:pPr>
      <w:r w:rsidRPr="00417B22">
        <w:rPr>
          <w:rFonts w:ascii="Times New Roman" w:eastAsia="Calibri" w:hAnsi="Times New Roman" w:cs="Times New Roman"/>
          <w:b/>
          <w:sz w:val="24"/>
          <w:szCs w:val="24"/>
        </w:rPr>
        <w:t xml:space="preserve">Medical Students' Perception </w:t>
      </w:r>
      <w:r>
        <w:rPr>
          <w:rFonts w:ascii="Times New Roman" w:eastAsia="Calibri" w:hAnsi="Times New Roman" w:cs="Times New Roman"/>
          <w:b/>
          <w:sz w:val="24"/>
          <w:szCs w:val="24"/>
        </w:rPr>
        <w:t>o</w:t>
      </w:r>
      <w:r w:rsidRPr="00417B22">
        <w:rPr>
          <w:rFonts w:ascii="Times New Roman" w:eastAsia="Calibri" w:hAnsi="Times New Roman" w:cs="Times New Roman"/>
          <w:b/>
          <w:sz w:val="24"/>
          <w:szCs w:val="24"/>
        </w:rPr>
        <w:t>f Gender Differentiation Concerning Eirs Utilization</w:t>
      </w:r>
    </w:p>
    <w:p w14:paraId="42D4AF5F" w14:textId="77777777" w:rsidR="00FF7108" w:rsidRDefault="00FF7108" w:rsidP="00691EAB">
      <w:pPr>
        <w:spacing w:after="200" w:line="276" w:lineRule="auto"/>
        <w:jc w:val="both"/>
        <w:rPr>
          <w:rFonts w:ascii="Times New Roman" w:eastAsia="Calibri" w:hAnsi="Times New Roman" w:cs="Times New Roman"/>
          <w:bCs/>
          <w:sz w:val="24"/>
          <w:szCs w:val="24"/>
        </w:rPr>
      </w:pPr>
      <w:r w:rsidRPr="00FF7108">
        <w:rPr>
          <w:rFonts w:ascii="Times New Roman" w:eastAsia="Calibri" w:hAnsi="Times New Roman" w:cs="Times New Roman"/>
          <w:bCs/>
          <w:sz w:val="24"/>
          <w:szCs w:val="24"/>
        </w:rPr>
        <w:t>The issue of gender differentiation in the use of electronic information resources (EIRs) among medical students has ga</w:t>
      </w:r>
      <w:r>
        <w:rPr>
          <w:rFonts w:ascii="Times New Roman" w:eastAsia="Calibri" w:hAnsi="Times New Roman" w:cs="Times New Roman"/>
          <w:bCs/>
          <w:sz w:val="24"/>
          <w:szCs w:val="24"/>
        </w:rPr>
        <w:t>i</w:t>
      </w:r>
      <w:r w:rsidRPr="00FF7108">
        <w:rPr>
          <w:rFonts w:ascii="Times New Roman" w:eastAsia="Calibri" w:hAnsi="Times New Roman" w:cs="Times New Roman"/>
          <w:bCs/>
          <w:sz w:val="24"/>
          <w:szCs w:val="24"/>
        </w:rPr>
        <w:t xml:space="preserve">ned increasing attention in recent years. Researchers have </w:t>
      </w:r>
      <w:r>
        <w:rPr>
          <w:rFonts w:ascii="Times New Roman" w:eastAsia="Calibri" w:hAnsi="Times New Roman" w:cs="Times New Roman"/>
          <w:bCs/>
          <w:sz w:val="24"/>
          <w:szCs w:val="24"/>
        </w:rPr>
        <w:t>revealed</w:t>
      </w:r>
      <w:r w:rsidRPr="00FF7108">
        <w:rPr>
          <w:rFonts w:ascii="Times New Roman" w:eastAsia="Calibri" w:hAnsi="Times New Roman" w:cs="Times New Roman"/>
          <w:bCs/>
          <w:sz w:val="24"/>
          <w:szCs w:val="24"/>
        </w:rPr>
        <w:t xml:space="preserve"> how gender-based factors</w:t>
      </w:r>
      <w:r>
        <w:rPr>
          <w:rFonts w:ascii="Times New Roman" w:eastAsia="Calibri" w:hAnsi="Times New Roman" w:cs="Times New Roman"/>
          <w:bCs/>
          <w:sz w:val="24"/>
          <w:szCs w:val="24"/>
        </w:rPr>
        <w:t xml:space="preserve"> </w:t>
      </w:r>
      <w:r w:rsidRPr="00FF7108">
        <w:rPr>
          <w:rFonts w:ascii="Times New Roman" w:eastAsia="Calibri" w:hAnsi="Times New Roman" w:cs="Times New Roman"/>
          <w:bCs/>
          <w:sz w:val="24"/>
          <w:szCs w:val="24"/>
        </w:rPr>
        <w:t>such as access, utilization patterns, and perceived usefulness</w:t>
      </w:r>
      <w:r>
        <w:rPr>
          <w:rFonts w:ascii="Times New Roman" w:eastAsia="Calibri" w:hAnsi="Times New Roman" w:cs="Times New Roman"/>
          <w:bCs/>
          <w:sz w:val="24"/>
          <w:szCs w:val="24"/>
        </w:rPr>
        <w:t xml:space="preserve"> </w:t>
      </w:r>
      <w:r w:rsidRPr="00FF7108">
        <w:rPr>
          <w:rFonts w:ascii="Times New Roman" w:eastAsia="Calibri" w:hAnsi="Times New Roman" w:cs="Times New Roman"/>
          <w:bCs/>
          <w:sz w:val="24"/>
          <w:szCs w:val="24"/>
        </w:rPr>
        <w:t xml:space="preserve">may influence medical students' engagement with electronic resources. </w:t>
      </w:r>
      <w:r w:rsidR="005141A9" w:rsidRPr="005141A9">
        <w:rPr>
          <w:rFonts w:ascii="Times New Roman" w:eastAsia="Calibri" w:hAnsi="Times New Roman" w:cs="Times New Roman"/>
          <w:bCs/>
          <w:sz w:val="24"/>
          <w:szCs w:val="24"/>
        </w:rPr>
        <w:t>Several studies have investigated the role of gender in the access to and use of EIRs in medical education. A study by Ige et al. (2023) examined the impact of gender on the frequency of EIR usage among medical students in a Nigerian medical school. The findings suggested that male students reported higher levels of engagement with electronic resources compared to their female counterparts. This gender difference was attributed to the perception that male students are more comfortable with technology and digital tools, reflecting broader societal trends in the digital divide (Ige et al., 2023). Similarly, in a study conducted by Adebayo et al. (2022) in Kenya, male students reported using EIRs for academic purposes more frequently, while female students showed a greater preference for print resources due to perceived challenges in navigating online platforms.</w:t>
      </w:r>
    </w:p>
    <w:p w14:paraId="74589DF5" w14:textId="77777777" w:rsidR="00517AB4" w:rsidRDefault="005141A9" w:rsidP="00691EAB">
      <w:pPr>
        <w:spacing w:after="20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A study by </w:t>
      </w:r>
      <w:r w:rsidRPr="005141A9">
        <w:rPr>
          <w:rFonts w:ascii="Times New Roman" w:eastAsia="Calibri" w:hAnsi="Times New Roman" w:cs="Times New Roman"/>
          <w:bCs/>
          <w:sz w:val="24"/>
          <w:szCs w:val="24"/>
        </w:rPr>
        <w:t>Adewale et al. (2023) found that female medical students reported lower levels of confidence in using digital resources compared to male students, despite similar levels of access to technology. This finding was supported by the work of Bamidele and Alabi (2022), who observed that female students were more likely to face challenges in using advanced medical databases and tools, often due to a lack of exposure to such resources during earlier education. The study suggested that gendered socialization processes and lack of targeted digital literacy training for women may contribute to this perception.</w:t>
      </w:r>
      <w:r w:rsidR="00694C3F">
        <w:rPr>
          <w:rFonts w:ascii="Times New Roman" w:eastAsia="Calibri" w:hAnsi="Times New Roman" w:cs="Times New Roman"/>
          <w:bCs/>
          <w:sz w:val="24"/>
          <w:szCs w:val="24"/>
        </w:rPr>
        <w:t xml:space="preserve"> </w:t>
      </w:r>
      <w:r w:rsidR="00694C3F" w:rsidRPr="00694C3F">
        <w:rPr>
          <w:rFonts w:ascii="Times New Roman" w:eastAsia="Calibri" w:hAnsi="Times New Roman" w:cs="Times New Roman"/>
          <w:bCs/>
          <w:sz w:val="24"/>
          <w:szCs w:val="24"/>
        </w:rPr>
        <w:t>A study by Omojola et al. (2023) found that male students, particularly in higher academic years, viewed EIRs as essential tools for advancing their medical knowledge and career prospects. In contrast, female students, although acknowledging the usefulness of EIRs, often prioritized traditional forms of learning, such as textbooks and lecture notes, due to perceptions that they were more reliable or accessible. This gendered difference in perception was associated with traditional norms that place less emphasis on digital engagement for women in academic settings, which could potentially limit their use of EIRs (Omojola et al., 2023).</w:t>
      </w:r>
      <w:r w:rsidR="00517AB4">
        <w:rPr>
          <w:rFonts w:ascii="Times New Roman" w:eastAsia="Calibri" w:hAnsi="Times New Roman" w:cs="Times New Roman"/>
          <w:bCs/>
          <w:sz w:val="24"/>
          <w:szCs w:val="24"/>
        </w:rPr>
        <w:t xml:space="preserve"> </w:t>
      </w:r>
      <w:r w:rsidR="00517AB4" w:rsidRPr="00517AB4">
        <w:rPr>
          <w:rFonts w:ascii="Times New Roman" w:eastAsia="Calibri" w:hAnsi="Times New Roman" w:cs="Times New Roman"/>
          <w:bCs/>
          <w:sz w:val="24"/>
          <w:szCs w:val="24"/>
        </w:rPr>
        <w:t>A study by Eze et al. (2022) on Nigerian medical students found that while both male and female students used online learning platforms to access lectures and reading materials, female students were more likely to report feeling isolated or unsupported on these platforms. This was particularly true in environments where male students dominated in technology-related spaces.</w:t>
      </w:r>
    </w:p>
    <w:p w14:paraId="06B0C707" w14:textId="77777777" w:rsidR="005141A9" w:rsidRPr="00517AB4" w:rsidRDefault="00517AB4" w:rsidP="00691EAB">
      <w:pPr>
        <w:spacing w:after="200" w:line="276" w:lineRule="auto"/>
        <w:jc w:val="both"/>
        <w:rPr>
          <w:rFonts w:ascii="Times New Roman" w:eastAsia="Calibri" w:hAnsi="Times New Roman" w:cs="Times New Roman"/>
          <w:b/>
          <w:sz w:val="24"/>
          <w:szCs w:val="24"/>
        </w:rPr>
      </w:pPr>
      <w:r w:rsidRPr="00517AB4">
        <w:rPr>
          <w:rFonts w:ascii="Times New Roman" w:eastAsia="Calibri" w:hAnsi="Times New Roman" w:cs="Times New Roman"/>
          <w:b/>
          <w:sz w:val="24"/>
          <w:szCs w:val="24"/>
        </w:rPr>
        <w:t xml:space="preserve">Factors Militating </w:t>
      </w:r>
      <w:r>
        <w:rPr>
          <w:rFonts w:ascii="Times New Roman" w:eastAsia="Calibri" w:hAnsi="Times New Roman" w:cs="Times New Roman"/>
          <w:b/>
          <w:sz w:val="24"/>
          <w:szCs w:val="24"/>
        </w:rPr>
        <w:t>a</w:t>
      </w:r>
      <w:r w:rsidRPr="00517AB4">
        <w:rPr>
          <w:rFonts w:ascii="Times New Roman" w:eastAsia="Calibri" w:hAnsi="Times New Roman" w:cs="Times New Roman"/>
          <w:b/>
          <w:sz w:val="24"/>
          <w:szCs w:val="24"/>
        </w:rPr>
        <w:t>gainst Electronic Information Resources Utilization by Medical Students</w:t>
      </w:r>
    </w:p>
    <w:p w14:paraId="46D0174F" w14:textId="77777777" w:rsidR="000D4457" w:rsidRDefault="000D4457" w:rsidP="00691EAB">
      <w:pPr>
        <w:spacing w:after="200" w:line="276" w:lineRule="auto"/>
        <w:jc w:val="both"/>
        <w:rPr>
          <w:rFonts w:ascii="Times New Roman" w:eastAsia="Calibri" w:hAnsi="Times New Roman" w:cs="Times New Roman"/>
          <w:sz w:val="24"/>
          <w:szCs w:val="24"/>
        </w:rPr>
      </w:pPr>
      <w:r w:rsidRPr="000D4457">
        <w:rPr>
          <w:rFonts w:ascii="Times New Roman" w:eastAsia="Calibri" w:hAnsi="Times New Roman" w:cs="Times New Roman"/>
          <w:bCs/>
          <w:sz w:val="24"/>
          <w:szCs w:val="24"/>
        </w:rPr>
        <w:t xml:space="preserve">The utilization of electronic information resources (EIRs) by medical students has been widely studied, with researchers identifying several barriers that hinder effective access and use. Several studies have reported that limited access to reliable ICT infrastructure and poor internet connectivity are major barriers to the utilization of EIRs by medical students. A study by Olalekan </w:t>
      </w:r>
      <w:r w:rsidRPr="000D4457">
        <w:rPr>
          <w:rFonts w:ascii="Times New Roman" w:eastAsia="Calibri" w:hAnsi="Times New Roman" w:cs="Times New Roman"/>
          <w:bCs/>
          <w:sz w:val="24"/>
          <w:szCs w:val="24"/>
        </w:rPr>
        <w:lastRenderedPageBreak/>
        <w:t>et al. (2023) found that medical students in developing countries struggle with unreliable internet services, making it difficult to access online journals, e-books, and medical databases. Similarly, Oduwole and Okojie (2022) identified the lack of adequate computer facilities and slow internet speed as primary challenges limiting the effective use of EIRs in Nigerian medical schools.</w:t>
      </w:r>
      <w:r w:rsidRPr="000D4457">
        <w:rPr>
          <w:rFonts w:ascii="Times New Roman" w:eastAsia="Calibri" w:hAnsi="Times New Roman" w:cs="Times New Roman"/>
          <w:sz w:val="24"/>
          <w:szCs w:val="24"/>
        </w:rPr>
        <w:t xml:space="preserve"> Ajiboye et al. (2022) discovered that despite the availability of numerous electronic resources, medical students often lack the skills needed to navigate online databases, evaluate sources, and retrieve relevant medical information efficiently. This finding was corroborated by Adeyemi and Lawal (2023), who emphasized that a significant proportion of medical students rely on print resources due to their limited familiarity with digital tools.</w:t>
      </w:r>
    </w:p>
    <w:p w14:paraId="381AFB48" w14:textId="77777777" w:rsidR="000D4457" w:rsidRPr="000D4457" w:rsidRDefault="00CF1995" w:rsidP="00691EAB">
      <w:pPr>
        <w:spacing w:after="200" w:line="276" w:lineRule="auto"/>
        <w:jc w:val="both"/>
        <w:rPr>
          <w:rFonts w:ascii="Times New Roman" w:eastAsia="Calibri" w:hAnsi="Times New Roman" w:cs="Times New Roman"/>
          <w:sz w:val="24"/>
          <w:szCs w:val="24"/>
        </w:rPr>
      </w:pPr>
      <w:r w:rsidRPr="00CF1995">
        <w:rPr>
          <w:rFonts w:ascii="Times New Roman" w:eastAsia="Calibri" w:hAnsi="Times New Roman" w:cs="Times New Roman"/>
          <w:sz w:val="24"/>
          <w:szCs w:val="24"/>
        </w:rPr>
        <w:t>A study conducted by Eze and Okeke (2023) found that many universities in sub-Saharan Africa lack institutional subscriptions to essential medical databases, forcing students to rely on open-access materials that may not be comprehensive. Similarly, Bello et al. (2022) observed that paywalls and restrictive access policies prevent medical students from utilizing updated medical literature, thereby limiting their ability to stay informed about the latest advancements in their field.</w:t>
      </w:r>
      <w:r>
        <w:rPr>
          <w:rFonts w:ascii="Times New Roman" w:eastAsia="Calibri" w:hAnsi="Times New Roman" w:cs="Times New Roman"/>
          <w:sz w:val="24"/>
          <w:szCs w:val="24"/>
        </w:rPr>
        <w:t xml:space="preserve"> </w:t>
      </w:r>
      <w:r w:rsidRPr="00CF1995">
        <w:rPr>
          <w:rFonts w:ascii="Times New Roman" w:eastAsia="Calibri" w:hAnsi="Times New Roman" w:cs="Times New Roman"/>
          <w:sz w:val="24"/>
          <w:szCs w:val="24"/>
        </w:rPr>
        <w:t>According to Johnson et al. (2023), medical students in low-income countries find it expensive to purchase internet data and digital devices such as laptops or tablets required for effective access to electronic resources. In a related study, Yusuf and Adepoju (2022) reported that the high cost of mobile data in many African countries makes it difficult for students to engage in extensive online research, thereby reducing the frequency of EIR utilization.</w:t>
      </w:r>
      <w:r w:rsidR="007D4C89">
        <w:rPr>
          <w:rFonts w:ascii="Times New Roman" w:eastAsia="Calibri" w:hAnsi="Times New Roman" w:cs="Times New Roman"/>
          <w:sz w:val="24"/>
          <w:szCs w:val="24"/>
        </w:rPr>
        <w:t xml:space="preserve"> </w:t>
      </w:r>
      <w:r w:rsidR="007D4C89" w:rsidRPr="007D4C89">
        <w:rPr>
          <w:rFonts w:ascii="Times New Roman" w:eastAsia="Calibri" w:hAnsi="Times New Roman" w:cs="Times New Roman"/>
          <w:sz w:val="24"/>
          <w:szCs w:val="24"/>
        </w:rPr>
        <w:t>A study by Adebayo et al. (2023) highlighted that the lack of awareness about institutional subscriptions to medical databases and digital libraries prevents students from fully utilizing available resources. Similarly, Omotayo and Aina (2022) found that the absence of structured training programs on EIR usage in medical schools leads to underutilization, as students are not adequately introduced to these resources.</w:t>
      </w:r>
    </w:p>
    <w:p w14:paraId="7E26BADD" w14:textId="77777777" w:rsidR="00691EAB" w:rsidRPr="00691EAB" w:rsidRDefault="00691EAB" w:rsidP="00691EAB">
      <w:pPr>
        <w:spacing w:after="200" w:line="276" w:lineRule="auto"/>
        <w:jc w:val="both"/>
        <w:rPr>
          <w:rFonts w:ascii="Times New Roman" w:eastAsia="Calibri" w:hAnsi="Times New Roman" w:cs="Times New Roman"/>
          <w:b/>
          <w:bCs/>
          <w:sz w:val="24"/>
          <w:szCs w:val="24"/>
        </w:rPr>
      </w:pPr>
      <w:r w:rsidRPr="00691EAB">
        <w:rPr>
          <w:rFonts w:ascii="Times New Roman" w:eastAsia="Calibri" w:hAnsi="Times New Roman" w:cs="Times New Roman"/>
          <w:b/>
          <w:bCs/>
          <w:sz w:val="24"/>
          <w:szCs w:val="24"/>
        </w:rPr>
        <w:t>Gender Differentiation and Electronic Information Resources Utilization by Medical students in Federal Universities in South-West, Nigeria.</w:t>
      </w:r>
    </w:p>
    <w:p w14:paraId="2EDBBBF4" w14:textId="77777777" w:rsidR="00691EAB" w:rsidRPr="00691EAB" w:rsidRDefault="00691EAB" w:rsidP="00691EAB">
      <w:pPr>
        <w:spacing w:after="200" w:line="276" w:lineRule="auto"/>
        <w:jc w:val="both"/>
        <w:rPr>
          <w:rFonts w:ascii="Times New Roman" w:eastAsia="Calibri" w:hAnsi="Times New Roman" w:cs="Times New Roman"/>
          <w:bCs/>
          <w:sz w:val="24"/>
          <w:szCs w:val="24"/>
        </w:rPr>
      </w:pPr>
      <w:r w:rsidRPr="00691EAB">
        <w:rPr>
          <w:rFonts w:ascii="Times New Roman" w:eastAsia="Calibri" w:hAnsi="Times New Roman" w:cs="Times New Roman"/>
          <w:bCs/>
          <w:sz w:val="24"/>
          <w:szCs w:val="24"/>
        </w:rPr>
        <w:t xml:space="preserve">Although there is a dearth of study on the gender differentiation and utilization of electronic information resources among medical students in Federal Universities in South-west, Nigeria. This section of the literature review will analyse empirical research that investigate the correlation between gender differentiation and the usage of electronic information resources among students. Bamidele and Adekanmibi (2019) conducted a study in Nigeria to investigate the impact of gender differences on the usage patterns of electronic information sources among undergraduate students. The study utilized a descriptive survey research design. The population comprised a randomly selected sample of undergraduate students from Ekiti State University (EKSU) and University of Ibadan (UI). The data were gathered with a tailored questionnaire designed to elicit responses from participants. The analysis was performed utilising the descriptive statistics technique, which entailed computing the frequency counts and percentages. A total of 500 questionnaires were distributed, and 421 were returned, resulting in a response rate of 84.2% for the study. The results suggest that there is no valid reason to differentiate between genders when it comes to using </w:t>
      </w:r>
      <w:r w:rsidRPr="00691EAB">
        <w:rPr>
          <w:rFonts w:ascii="Times New Roman" w:eastAsia="Calibri" w:hAnsi="Times New Roman" w:cs="Times New Roman"/>
          <w:bCs/>
          <w:sz w:val="24"/>
          <w:szCs w:val="24"/>
        </w:rPr>
        <w:lastRenderedPageBreak/>
        <w:t>electronic information sources, as the observed difference in the consumption of electronic resources by gender was found to be negligible.</w:t>
      </w:r>
    </w:p>
    <w:p w14:paraId="3EC6494C" w14:textId="77777777" w:rsidR="00691EAB" w:rsidRPr="00691EAB" w:rsidRDefault="00691EAB" w:rsidP="00691EAB">
      <w:pPr>
        <w:spacing w:after="200" w:line="276" w:lineRule="auto"/>
        <w:jc w:val="both"/>
        <w:rPr>
          <w:rFonts w:ascii="Times New Roman" w:eastAsia="Calibri" w:hAnsi="Times New Roman" w:cs="Times New Roman"/>
          <w:bCs/>
          <w:sz w:val="24"/>
          <w:szCs w:val="24"/>
          <w:lang w:val="en-US"/>
        </w:rPr>
      </w:pPr>
      <w:r w:rsidRPr="00691EAB">
        <w:rPr>
          <w:rFonts w:ascii="Times New Roman" w:eastAsia="Calibri" w:hAnsi="Times New Roman" w:cs="Times New Roman"/>
          <w:bCs/>
          <w:sz w:val="24"/>
          <w:szCs w:val="24"/>
        </w:rPr>
        <w:t xml:space="preserve">Deng (2010) conducted a study on the utilization of electronic resources in the Australian higher education setting. The findings revealed that females (55.7%) made more frequent use of electronic resources compared to males (44.3%). </w:t>
      </w:r>
      <w:r w:rsidRPr="00691EAB">
        <w:rPr>
          <w:rFonts w:ascii="Times New Roman" w:eastAsia="Calibri" w:hAnsi="Times New Roman" w:cs="Times New Roman"/>
          <w:bCs/>
          <w:sz w:val="24"/>
          <w:szCs w:val="24"/>
          <w:lang w:val="en-US"/>
        </w:rPr>
        <w:t xml:space="preserve">However, a more detailed analysis revealed that no significant differences in the usage of electronic resources between genders. Alakpodia (2014) examined the presence of gender differences in computer proficiency levels among students enrolled in the School of Health Technology in Ufuoma, Delta State. This study examined the differences between them. The researchers opted for the descriptive survey research design as the most suitable methodology for this investigation. A representative sample of approximately two hundred students from Health Technology Ufuoma, Delta State, was selected for the study. The data from the sample was collected via a questionnaire that was segmented into two sections. An analysis of the study questions was conducted using the direct percentage method. The analysis revealed several key findings: firstly, there were differences in computer use skill levels among students; secondly, there was a gender differences in the frequency of computer usage among students; thirdly, there was no variation in the attitudes of male and female students towards computer use; fourthly, male students exhibited a higher proficiency in computer software use compared to female students; and finally, there was a gender differences in the challenges faced by students in acquiring computer skills and using computers. </w:t>
      </w:r>
    </w:p>
    <w:p w14:paraId="57F6B14A" w14:textId="77777777" w:rsidR="00691EAB" w:rsidRPr="00385F68" w:rsidRDefault="00385F68" w:rsidP="00691EAB">
      <w:pPr>
        <w:spacing w:after="200" w:line="276" w:lineRule="auto"/>
        <w:jc w:val="both"/>
        <w:rPr>
          <w:rFonts w:ascii="Times New Roman" w:eastAsia="Calibri" w:hAnsi="Times New Roman" w:cs="Times New Roman"/>
          <w:b/>
          <w:sz w:val="24"/>
          <w:szCs w:val="24"/>
        </w:rPr>
      </w:pPr>
      <w:r w:rsidRPr="00385F68">
        <w:rPr>
          <w:rFonts w:ascii="Times New Roman" w:eastAsia="Calibri" w:hAnsi="Times New Roman" w:cs="Times New Roman"/>
          <w:b/>
          <w:sz w:val="24"/>
          <w:szCs w:val="24"/>
        </w:rPr>
        <w:t>Methodology</w:t>
      </w:r>
    </w:p>
    <w:p w14:paraId="2DFC4511" w14:textId="77777777" w:rsidR="0057144F" w:rsidRDefault="0057144F" w:rsidP="00385F68">
      <w:pPr>
        <w:spacing w:after="200" w:line="276" w:lineRule="auto"/>
        <w:jc w:val="both"/>
        <w:rPr>
          <w:rFonts w:ascii="Times New Roman" w:eastAsia="Calibri" w:hAnsi="Times New Roman" w:cs="Times New Roman"/>
          <w:bCs/>
          <w:sz w:val="24"/>
          <w:szCs w:val="24"/>
          <w:lang w:val="en-US"/>
        </w:rPr>
      </w:pPr>
      <w:r w:rsidRPr="0057144F">
        <w:rPr>
          <w:rFonts w:ascii="Times New Roman" w:eastAsia="Calibri" w:hAnsi="Times New Roman" w:cs="Times New Roman"/>
          <w:b/>
          <w:i/>
          <w:iCs/>
          <w:sz w:val="24"/>
          <w:szCs w:val="24"/>
          <w:lang w:val="en-US"/>
        </w:rPr>
        <w:t>Research Design:</w:t>
      </w:r>
      <w:r>
        <w:rPr>
          <w:rFonts w:ascii="Times New Roman" w:eastAsia="Calibri" w:hAnsi="Times New Roman" w:cs="Times New Roman"/>
          <w:bCs/>
          <w:sz w:val="24"/>
          <w:szCs w:val="24"/>
          <w:lang w:val="en-US"/>
        </w:rPr>
        <w:t xml:space="preserve"> This study adopted </w:t>
      </w:r>
      <w:r w:rsidR="00385F68" w:rsidRPr="00385F68">
        <w:rPr>
          <w:rFonts w:ascii="Times New Roman" w:eastAsia="Calibri" w:hAnsi="Times New Roman" w:cs="Times New Roman"/>
          <w:bCs/>
          <w:sz w:val="24"/>
          <w:szCs w:val="24"/>
          <w:lang w:val="en-US"/>
        </w:rPr>
        <w:t xml:space="preserve">survey research design for the conduct of this study. </w:t>
      </w:r>
    </w:p>
    <w:p w14:paraId="41F26735" w14:textId="77777777" w:rsidR="0057144F" w:rsidRDefault="0057144F" w:rsidP="0057144F">
      <w:pPr>
        <w:spacing w:after="200" w:line="276" w:lineRule="auto"/>
        <w:jc w:val="both"/>
        <w:rPr>
          <w:rFonts w:ascii="Times New Roman" w:eastAsia="Calibri" w:hAnsi="Times New Roman" w:cs="Times New Roman"/>
          <w:bCs/>
          <w:sz w:val="24"/>
          <w:szCs w:val="24"/>
          <w:lang w:val="en-US"/>
        </w:rPr>
      </w:pPr>
      <w:r w:rsidRPr="0057144F">
        <w:rPr>
          <w:rFonts w:ascii="Times New Roman" w:eastAsia="Calibri" w:hAnsi="Times New Roman" w:cs="Times New Roman"/>
          <w:b/>
          <w:i/>
          <w:iCs/>
          <w:sz w:val="24"/>
          <w:szCs w:val="24"/>
          <w:lang w:val="en-US"/>
        </w:rPr>
        <w:t>Population of the Study:</w:t>
      </w:r>
      <w:r>
        <w:rPr>
          <w:rFonts w:ascii="Times New Roman" w:eastAsia="Calibri" w:hAnsi="Times New Roman" w:cs="Times New Roman"/>
          <w:bCs/>
          <w:sz w:val="24"/>
          <w:szCs w:val="24"/>
          <w:lang w:val="en-US"/>
        </w:rPr>
        <w:t xml:space="preserve"> </w:t>
      </w:r>
      <w:r w:rsidR="00385F68" w:rsidRPr="00385F68">
        <w:rPr>
          <w:rFonts w:ascii="Times New Roman" w:eastAsia="Calibri" w:hAnsi="Times New Roman" w:cs="Times New Roman"/>
          <w:bCs/>
          <w:sz w:val="24"/>
          <w:szCs w:val="24"/>
          <w:lang w:val="en-US"/>
        </w:rPr>
        <w:t xml:space="preserve">The population of the study </w:t>
      </w:r>
      <w:r w:rsidRPr="0057144F">
        <w:rPr>
          <w:rFonts w:ascii="Times New Roman" w:eastAsia="Calibri" w:hAnsi="Times New Roman" w:cs="Times New Roman"/>
          <w:bCs/>
          <w:sz w:val="24"/>
          <w:szCs w:val="24"/>
          <w:lang w:val="en-US"/>
        </w:rPr>
        <w:t xml:space="preserve">consisted of 1700 medical students (i.e. 200L to 500L) from </w:t>
      </w:r>
      <w:r w:rsidR="001423CD">
        <w:rPr>
          <w:rFonts w:ascii="Times New Roman" w:eastAsia="Calibri" w:hAnsi="Times New Roman" w:cs="Times New Roman"/>
          <w:bCs/>
          <w:sz w:val="24"/>
          <w:szCs w:val="24"/>
          <w:lang w:val="en-US"/>
        </w:rPr>
        <w:t>four</w:t>
      </w:r>
      <w:r w:rsidRPr="0057144F">
        <w:rPr>
          <w:rFonts w:ascii="Times New Roman" w:eastAsia="Calibri" w:hAnsi="Times New Roman" w:cs="Times New Roman"/>
          <w:bCs/>
          <w:sz w:val="24"/>
          <w:szCs w:val="24"/>
          <w:lang w:val="en-US"/>
        </w:rPr>
        <w:t xml:space="preserve"> Federal Universities in South-West, Nigeria which are: University of Ibadan, Obafemi Awolowo University, University of Lagos, Federal University of Technology, Akure with the total of 1700 students. 100L medical students are excluded because they are new to the education system in higher institution and may not have adequate information and knowledge answer some of the questions being asked by the researcher. </w:t>
      </w:r>
    </w:p>
    <w:p w14:paraId="0B6E216B" w14:textId="77777777" w:rsidR="0057144F" w:rsidRPr="0057144F" w:rsidRDefault="0057144F" w:rsidP="0057144F">
      <w:pPr>
        <w:spacing w:after="200" w:line="276" w:lineRule="auto"/>
        <w:jc w:val="both"/>
        <w:rPr>
          <w:rFonts w:ascii="Times New Roman" w:eastAsia="Calibri" w:hAnsi="Times New Roman" w:cs="Times New Roman"/>
          <w:bCs/>
          <w:sz w:val="24"/>
          <w:szCs w:val="24"/>
          <w:lang w:val="en-US"/>
        </w:rPr>
      </w:pPr>
      <w:r w:rsidRPr="0057144F">
        <w:rPr>
          <w:rFonts w:ascii="Times New Roman" w:eastAsia="Calibri" w:hAnsi="Times New Roman" w:cs="Times New Roman"/>
          <w:b/>
          <w:i/>
          <w:iCs/>
          <w:sz w:val="24"/>
          <w:szCs w:val="24"/>
          <w:lang w:val="en-US"/>
        </w:rPr>
        <w:t>Sample and Sampling Technique:</w:t>
      </w:r>
      <w:r>
        <w:rPr>
          <w:rFonts w:ascii="Times New Roman" w:eastAsia="Calibri" w:hAnsi="Times New Roman" w:cs="Times New Roman"/>
          <w:bCs/>
          <w:sz w:val="24"/>
          <w:szCs w:val="24"/>
          <w:lang w:val="en-US"/>
        </w:rPr>
        <w:t xml:space="preserve"> </w:t>
      </w:r>
      <w:r>
        <w:rPr>
          <w:rFonts w:ascii="Times New Roman" w:hAnsi="Times New Roman" w:cs="Times New Roman"/>
          <w:bCs/>
          <w:sz w:val="24"/>
          <w:szCs w:val="24"/>
          <w:lang w:val="en-US"/>
        </w:rPr>
        <w:t xml:space="preserve">Stratified sampling technique was used for this study. </w:t>
      </w:r>
      <w:r w:rsidRPr="00E01820">
        <w:rPr>
          <w:rFonts w:ascii="Times New Roman" w:hAnsi="Times New Roman" w:cs="Times New Roman"/>
          <w:bCs/>
          <w:sz w:val="24"/>
          <w:szCs w:val="24"/>
        </w:rPr>
        <w:t>This technique ensures that every subgroup within the population is adequately represented in the sample, leading to more accurate and reliable results</w:t>
      </w:r>
      <w:r>
        <w:rPr>
          <w:rFonts w:ascii="Times New Roman" w:hAnsi="Times New Roman" w:cs="Times New Roman"/>
          <w:bCs/>
          <w:sz w:val="24"/>
          <w:szCs w:val="24"/>
        </w:rPr>
        <w:t>. T</w:t>
      </w:r>
      <w:r w:rsidRPr="00441712">
        <w:rPr>
          <w:rFonts w:ascii="Times New Roman" w:hAnsi="Times New Roman" w:cs="Times New Roman"/>
          <w:sz w:val="24"/>
          <w:szCs w:val="24"/>
        </w:rPr>
        <w:t xml:space="preserve">he sample size </w:t>
      </w:r>
      <w:r>
        <w:rPr>
          <w:rFonts w:ascii="Times New Roman" w:hAnsi="Times New Roman" w:cs="Times New Roman"/>
          <w:sz w:val="24"/>
          <w:szCs w:val="24"/>
        </w:rPr>
        <w:t>was</w:t>
      </w:r>
      <w:r w:rsidRPr="00441712">
        <w:rPr>
          <w:rFonts w:ascii="Times New Roman" w:hAnsi="Times New Roman" w:cs="Times New Roman"/>
          <w:sz w:val="24"/>
          <w:szCs w:val="24"/>
        </w:rPr>
        <w:t xml:space="preserve"> determined </w:t>
      </w:r>
      <w:r>
        <w:rPr>
          <w:rFonts w:ascii="Times New Roman" w:hAnsi="Times New Roman" w:cs="Times New Roman"/>
          <w:sz w:val="24"/>
          <w:szCs w:val="24"/>
        </w:rPr>
        <w:t xml:space="preserve">by </w:t>
      </w:r>
      <w:r w:rsidRPr="00441712">
        <w:rPr>
          <w:rFonts w:ascii="Times New Roman" w:hAnsi="Times New Roman" w:cs="Times New Roman"/>
          <w:sz w:val="24"/>
          <w:szCs w:val="24"/>
        </w:rPr>
        <w:t>using Yamane’s formula</w:t>
      </w:r>
      <w:r>
        <w:rPr>
          <w:rFonts w:ascii="Times New Roman" w:hAnsi="Times New Roman" w:cs="Times New Roman"/>
          <w:sz w:val="24"/>
          <w:szCs w:val="24"/>
        </w:rPr>
        <w:t>. The</w:t>
      </w:r>
      <w:r w:rsidR="002C20AC">
        <w:rPr>
          <w:rFonts w:ascii="Times New Roman" w:hAnsi="Times New Roman" w:cs="Times New Roman"/>
          <w:sz w:val="24"/>
          <w:szCs w:val="24"/>
        </w:rPr>
        <w:t>refore, 114, 99, 103 and 8 samples were drawn from</w:t>
      </w:r>
      <w:r>
        <w:rPr>
          <w:rFonts w:ascii="Times New Roman" w:hAnsi="Times New Roman" w:cs="Times New Roman"/>
          <w:sz w:val="24"/>
          <w:szCs w:val="24"/>
        </w:rPr>
        <w:t xml:space="preserve"> </w:t>
      </w:r>
      <w:r w:rsidRPr="0057144F">
        <w:rPr>
          <w:rFonts w:ascii="Times New Roman" w:hAnsi="Times New Roman" w:cs="Times New Roman"/>
          <w:bCs/>
          <w:sz w:val="24"/>
          <w:szCs w:val="24"/>
          <w:lang w:val="en-US"/>
        </w:rPr>
        <w:t>University of Ibadan</w:t>
      </w:r>
      <w:r w:rsidR="002C20AC">
        <w:rPr>
          <w:rFonts w:ascii="Times New Roman" w:hAnsi="Times New Roman" w:cs="Times New Roman"/>
          <w:bCs/>
          <w:sz w:val="24"/>
          <w:szCs w:val="24"/>
          <w:lang w:val="en-US"/>
        </w:rPr>
        <w:t xml:space="preserve">; </w:t>
      </w:r>
      <w:r w:rsidRPr="0057144F">
        <w:rPr>
          <w:rFonts w:ascii="Times New Roman" w:hAnsi="Times New Roman" w:cs="Times New Roman"/>
          <w:bCs/>
          <w:sz w:val="24"/>
          <w:szCs w:val="24"/>
          <w:lang w:val="en-US"/>
        </w:rPr>
        <w:t>Obafemi Awolowo University, Ile-Ife</w:t>
      </w:r>
      <w:r w:rsidR="002C20AC">
        <w:rPr>
          <w:rFonts w:ascii="Times New Roman" w:hAnsi="Times New Roman" w:cs="Times New Roman"/>
          <w:bCs/>
          <w:sz w:val="24"/>
          <w:szCs w:val="24"/>
          <w:lang w:val="en-US"/>
        </w:rPr>
        <w:t xml:space="preserve">; </w:t>
      </w:r>
      <w:r w:rsidRPr="0057144F">
        <w:rPr>
          <w:rFonts w:ascii="Times New Roman" w:hAnsi="Times New Roman" w:cs="Times New Roman"/>
          <w:bCs/>
          <w:sz w:val="24"/>
          <w:szCs w:val="24"/>
          <w:lang w:val="en-US"/>
        </w:rPr>
        <w:t>University of Lagos</w:t>
      </w:r>
      <w:r w:rsidR="002C20AC">
        <w:rPr>
          <w:rFonts w:ascii="Times New Roman" w:hAnsi="Times New Roman" w:cs="Times New Roman"/>
          <w:bCs/>
          <w:sz w:val="24"/>
          <w:szCs w:val="24"/>
          <w:lang w:val="en-US"/>
        </w:rPr>
        <w:t xml:space="preserve">; and </w:t>
      </w:r>
      <w:r w:rsidRPr="0057144F">
        <w:rPr>
          <w:rFonts w:ascii="Times New Roman" w:hAnsi="Times New Roman" w:cs="Times New Roman"/>
          <w:bCs/>
          <w:sz w:val="24"/>
          <w:szCs w:val="24"/>
        </w:rPr>
        <w:t xml:space="preserve">Federal University </w:t>
      </w:r>
      <w:r w:rsidRPr="0057144F">
        <w:rPr>
          <w:rFonts w:ascii="Times New Roman" w:hAnsi="Times New Roman" w:cs="Times New Roman"/>
          <w:bCs/>
          <w:sz w:val="24"/>
          <w:szCs w:val="24"/>
          <w:lang w:val="en-US"/>
        </w:rPr>
        <w:t>of Technology, Akure</w:t>
      </w:r>
      <w:r w:rsidR="002C20AC">
        <w:rPr>
          <w:rFonts w:ascii="Times New Roman" w:hAnsi="Times New Roman" w:cs="Times New Roman"/>
          <w:bCs/>
          <w:sz w:val="24"/>
          <w:szCs w:val="24"/>
          <w:lang w:val="en-US"/>
        </w:rPr>
        <w:t xml:space="preserve"> respectively. This therefore give a total of 324 sample size.</w:t>
      </w:r>
    </w:p>
    <w:p w14:paraId="1B04AC16" w14:textId="77777777" w:rsidR="002C20AC" w:rsidRPr="002C20AC" w:rsidRDefault="002C20AC" w:rsidP="002C20AC">
      <w:pPr>
        <w:spacing w:after="200" w:line="276" w:lineRule="auto"/>
        <w:jc w:val="both"/>
        <w:rPr>
          <w:rFonts w:ascii="Times New Roman" w:eastAsia="Calibri" w:hAnsi="Times New Roman" w:cs="Times New Roman"/>
          <w:bCs/>
          <w:sz w:val="24"/>
          <w:szCs w:val="24"/>
          <w:lang w:val="en-US"/>
        </w:rPr>
      </w:pPr>
      <w:r w:rsidRPr="002C20AC">
        <w:rPr>
          <w:rFonts w:ascii="Times New Roman" w:eastAsia="Calibri" w:hAnsi="Times New Roman" w:cs="Times New Roman"/>
          <w:b/>
          <w:i/>
          <w:iCs/>
          <w:sz w:val="24"/>
          <w:szCs w:val="24"/>
          <w:lang w:val="en-US"/>
        </w:rPr>
        <w:t>Data Collection Instrument:</w:t>
      </w:r>
      <w:r>
        <w:rPr>
          <w:rFonts w:ascii="Times New Roman" w:eastAsia="Calibri" w:hAnsi="Times New Roman" w:cs="Times New Roman"/>
          <w:bCs/>
          <w:sz w:val="24"/>
          <w:szCs w:val="24"/>
          <w:lang w:val="en-US"/>
        </w:rPr>
        <w:t xml:space="preserve"> </w:t>
      </w:r>
      <w:r w:rsidRPr="002C20AC">
        <w:rPr>
          <w:rFonts w:ascii="Times New Roman" w:eastAsia="Calibri" w:hAnsi="Times New Roman" w:cs="Times New Roman"/>
          <w:bCs/>
          <w:sz w:val="24"/>
          <w:szCs w:val="24"/>
        </w:rPr>
        <w:t>The research instrument used to collect data for this study is a questionnaire. This questionnaire is self-constructed by the researcher.</w:t>
      </w:r>
      <w:r w:rsidRPr="002C20AC">
        <w:rPr>
          <w:rFonts w:ascii="Times New Roman" w:eastAsia="Calibri" w:hAnsi="Times New Roman" w:cs="Times New Roman"/>
          <w:bCs/>
          <w:sz w:val="24"/>
          <w:szCs w:val="24"/>
          <w:lang w:val="en-US"/>
        </w:rPr>
        <w:t xml:space="preserve"> The questionnaire method was adapted as data collection instrument.</w:t>
      </w:r>
      <w:r w:rsidRPr="002C20AC">
        <w:rPr>
          <w:rFonts w:ascii="Times New Roman" w:eastAsia="Calibri" w:hAnsi="Times New Roman" w:cs="Times New Roman"/>
          <w:bCs/>
          <w:sz w:val="24"/>
          <w:szCs w:val="24"/>
        </w:rPr>
        <w:t xml:space="preserve"> The questionnaire w</w:t>
      </w:r>
      <w:r>
        <w:rPr>
          <w:rFonts w:ascii="Times New Roman" w:eastAsia="Calibri" w:hAnsi="Times New Roman" w:cs="Times New Roman"/>
          <w:bCs/>
          <w:sz w:val="24"/>
          <w:szCs w:val="24"/>
        </w:rPr>
        <w:t>as</w:t>
      </w:r>
      <w:r w:rsidRPr="002C20AC">
        <w:rPr>
          <w:rFonts w:ascii="Times New Roman" w:eastAsia="Calibri" w:hAnsi="Times New Roman" w:cs="Times New Roman"/>
          <w:bCs/>
          <w:sz w:val="24"/>
          <w:szCs w:val="24"/>
        </w:rPr>
        <w:t xml:space="preserve"> tagged </w:t>
      </w:r>
      <w:r w:rsidR="00281DE0" w:rsidRPr="00FF2606">
        <w:rPr>
          <w:rFonts w:ascii="Times New Roman" w:eastAsia="Calibri" w:hAnsi="Times New Roman" w:cs="Times New Roman"/>
          <w:bCs/>
          <w:sz w:val="24"/>
          <w:szCs w:val="24"/>
        </w:rPr>
        <w:t>“</w:t>
      </w:r>
      <w:r w:rsidRPr="00FF2606">
        <w:rPr>
          <w:rFonts w:ascii="Times New Roman" w:eastAsia="Calibri" w:hAnsi="Times New Roman" w:cs="Times New Roman"/>
          <w:bCs/>
          <w:sz w:val="24"/>
          <w:szCs w:val="24"/>
        </w:rPr>
        <w:t xml:space="preserve">Gender Differentiation and Electronic </w:t>
      </w:r>
      <w:r w:rsidR="000B7DF1" w:rsidRPr="00FF2606">
        <w:rPr>
          <w:rFonts w:ascii="Times New Roman" w:eastAsia="Calibri" w:hAnsi="Times New Roman" w:cs="Times New Roman"/>
          <w:bCs/>
          <w:sz w:val="24"/>
          <w:szCs w:val="24"/>
        </w:rPr>
        <w:t xml:space="preserve">Information </w:t>
      </w:r>
      <w:r w:rsidR="002D419A" w:rsidRPr="00FF2606">
        <w:rPr>
          <w:rFonts w:ascii="Times New Roman" w:eastAsia="Calibri" w:hAnsi="Times New Roman" w:cs="Times New Roman"/>
          <w:bCs/>
          <w:sz w:val="24"/>
          <w:szCs w:val="24"/>
        </w:rPr>
        <w:t xml:space="preserve">Resources Utilization </w:t>
      </w:r>
      <w:r w:rsidRPr="00FF2606">
        <w:rPr>
          <w:rFonts w:ascii="Times New Roman" w:eastAsia="Calibri" w:hAnsi="Times New Roman" w:cs="Times New Roman"/>
          <w:bCs/>
          <w:sz w:val="24"/>
          <w:szCs w:val="24"/>
        </w:rPr>
        <w:t xml:space="preserve">in Selected Federal Universities in South-West, </w:t>
      </w:r>
      <w:r w:rsidRPr="00FF2606">
        <w:rPr>
          <w:rFonts w:ascii="Times New Roman" w:eastAsia="Calibri" w:hAnsi="Times New Roman" w:cs="Times New Roman"/>
          <w:bCs/>
          <w:sz w:val="24"/>
          <w:szCs w:val="24"/>
        </w:rPr>
        <w:lastRenderedPageBreak/>
        <w:t>Nigeria</w:t>
      </w:r>
      <w:r w:rsidR="00281DE0" w:rsidRPr="00FF2606">
        <w:rPr>
          <w:rFonts w:ascii="Times New Roman" w:eastAsia="Calibri" w:hAnsi="Times New Roman" w:cs="Times New Roman"/>
          <w:bCs/>
          <w:sz w:val="24"/>
          <w:szCs w:val="24"/>
        </w:rPr>
        <w:t>”</w:t>
      </w:r>
      <w:r w:rsidRPr="002C20AC">
        <w:rPr>
          <w:rFonts w:ascii="Times New Roman" w:eastAsia="Calibri" w:hAnsi="Times New Roman" w:cs="Times New Roman"/>
          <w:b/>
          <w:bCs/>
          <w:sz w:val="24"/>
          <w:szCs w:val="24"/>
        </w:rPr>
        <w:t xml:space="preserve"> </w:t>
      </w:r>
      <w:r w:rsidRPr="002C20AC">
        <w:rPr>
          <w:rFonts w:ascii="Times New Roman" w:eastAsia="Calibri" w:hAnsi="Times New Roman" w:cs="Times New Roman"/>
          <w:bCs/>
          <w:sz w:val="24"/>
          <w:szCs w:val="24"/>
        </w:rPr>
        <w:t xml:space="preserve">and it contains </w:t>
      </w:r>
      <w:r w:rsidR="006C1C82">
        <w:rPr>
          <w:rFonts w:ascii="Times New Roman" w:eastAsia="Calibri" w:hAnsi="Times New Roman" w:cs="Times New Roman"/>
          <w:bCs/>
          <w:sz w:val="24"/>
          <w:szCs w:val="24"/>
        </w:rPr>
        <w:t>four</w:t>
      </w:r>
      <w:r w:rsidRPr="002C20AC">
        <w:rPr>
          <w:rFonts w:ascii="Times New Roman" w:eastAsia="Calibri" w:hAnsi="Times New Roman" w:cs="Times New Roman"/>
          <w:bCs/>
          <w:sz w:val="24"/>
          <w:szCs w:val="24"/>
        </w:rPr>
        <w:t xml:space="preserve"> sections</w:t>
      </w:r>
      <w:r w:rsidR="00B77E28">
        <w:rPr>
          <w:rFonts w:ascii="Times New Roman" w:eastAsia="Calibri" w:hAnsi="Times New Roman" w:cs="Times New Roman"/>
          <w:bCs/>
          <w:sz w:val="24"/>
          <w:szCs w:val="24"/>
          <w:lang w:val="en-US"/>
        </w:rPr>
        <w:t xml:space="preserve">, that is, section A-D. Section </w:t>
      </w:r>
      <w:r w:rsidR="00F32027">
        <w:rPr>
          <w:rFonts w:ascii="Times New Roman" w:eastAsia="Calibri" w:hAnsi="Times New Roman" w:cs="Times New Roman"/>
          <w:bCs/>
          <w:sz w:val="24"/>
          <w:szCs w:val="24"/>
          <w:lang w:val="en-US"/>
        </w:rPr>
        <w:t>A</w:t>
      </w:r>
      <w:r w:rsidR="00B77E28">
        <w:rPr>
          <w:rFonts w:ascii="Times New Roman" w:eastAsia="Calibri" w:hAnsi="Times New Roman" w:cs="Times New Roman"/>
          <w:bCs/>
          <w:sz w:val="24"/>
          <w:szCs w:val="24"/>
          <w:lang w:val="en-US"/>
        </w:rPr>
        <w:t xml:space="preserve"> deals with the demographic information of the respondents while section B-D contain items to capture information on the objectives of the study.</w:t>
      </w:r>
    </w:p>
    <w:p w14:paraId="1D4A93E6" w14:textId="77777777" w:rsidR="002C20AC" w:rsidRPr="009D65D1" w:rsidRDefault="009D65D1" w:rsidP="00385F68">
      <w:pPr>
        <w:spacing w:after="200" w:line="276" w:lineRule="auto"/>
        <w:jc w:val="both"/>
        <w:rPr>
          <w:rFonts w:ascii="Times New Roman" w:eastAsia="Calibri" w:hAnsi="Times New Roman" w:cs="Times New Roman"/>
          <w:b/>
          <w:sz w:val="24"/>
          <w:szCs w:val="24"/>
          <w:lang w:val="en-US"/>
        </w:rPr>
      </w:pPr>
      <w:r w:rsidRPr="009D65D1">
        <w:rPr>
          <w:rFonts w:ascii="Times New Roman" w:eastAsia="Calibri" w:hAnsi="Times New Roman" w:cs="Times New Roman"/>
          <w:b/>
          <w:sz w:val="24"/>
          <w:szCs w:val="24"/>
          <w:lang w:val="en-US"/>
        </w:rPr>
        <w:t>Validity and Reliability of the Research Instrument</w:t>
      </w:r>
    </w:p>
    <w:p w14:paraId="5118921B" w14:textId="77777777" w:rsidR="00EA246E" w:rsidRDefault="009D65D1" w:rsidP="00EA246E">
      <w:pPr>
        <w:spacing w:after="200" w:line="276" w:lineRule="auto"/>
        <w:jc w:val="both"/>
        <w:rPr>
          <w:rFonts w:ascii="Times New Roman" w:hAnsi="Times New Roman" w:cs="Times New Roman"/>
          <w:sz w:val="24"/>
          <w:szCs w:val="24"/>
        </w:rPr>
      </w:pPr>
      <w:r w:rsidRPr="009D65D1">
        <w:rPr>
          <w:rFonts w:ascii="Times New Roman" w:eastAsia="Calibri" w:hAnsi="Times New Roman" w:cs="Times New Roman"/>
          <w:bCs/>
          <w:sz w:val="24"/>
          <w:szCs w:val="24"/>
        </w:rPr>
        <w:t xml:space="preserve">In order to check the correctness of the items in the questionnaire against the research questions and hypotheses of the study, three (3) copies of the questionnaire </w:t>
      </w:r>
      <w:r>
        <w:rPr>
          <w:rFonts w:ascii="Times New Roman" w:eastAsia="Calibri" w:hAnsi="Times New Roman" w:cs="Times New Roman"/>
          <w:bCs/>
          <w:sz w:val="24"/>
          <w:szCs w:val="24"/>
        </w:rPr>
        <w:t>were</w:t>
      </w:r>
      <w:r w:rsidRPr="009D65D1">
        <w:rPr>
          <w:rFonts w:ascii="Times New Roman" w:eastAsia="Calibri" w:hAnsi="Times New Roman" w:cs="Times New Roman"/>
          <w:bCs/>
          <w:sz w:val="24"/>
          <w:szCs w:val="24"/>
        </w:rPr>
        <w:t xml:space="preserve"> given to the three (3) </w:t>
      </w:r>
      <w:r w:rsidRPr="009D65D1">
        <w:rPr>
          <w:rFonts w:ascii="Times New Roman" w:eastAsia="Calibri" w:hAnsi="Times New Roman" w:cs="Times New Roman"/>
          <w:bCs/>
          <w:sz w:val="24"/>
          <w:szCs w:val="24"/>
          <w:lang w:val="en-US"/>
        </w:rPr>
        <w:t>lecturers with the rank of senior lecturers and above in the Department of Information Resource Management, Babcock University, Ilisan-Remo, Ogun State as well as researcher’s supervisors for content and construct validity.</w:t>
      </w:r>
      <w:r>
        <w:rPr>
          <w:rFonts w:ascii="Times New Roman" w:eastAsia="Calibri" w:hAnsi="Times New Roman" w:cs="Times New Roman"/>
          <w:bCs/>
          <w:sz w:val="24"/>
          <w:szCs w:val="24"/>
          <w:lang w:val="en-US"/>
        </w:rPr>
        <w:t xml:space="preserve"> On the other hands, </w:t>
      </w:r>
      <w:r>
        <w:rPr>
          <w:rFonts w:ascii="Times New Roman" w:hAnsi="Times New Roman" w:cs="Times New Roman"/>
          <w:sz w:val="24"/>
          <w:szCs w:val="24"/>
          <w:lang w:val="en-US"/>
        </w:rPr>
        <w:t>t</w:t>
      </w:r>
      <w:r w:rsidRPr="006625A9">
        <w:rPr>
          <w:rFonts w:ascii="Times New Roman" w:hAnsi="Times New Roman" w:cs="Times New Roman"/>
          <w:sz w:val="24"/>
          <w:szCs w:val="24"/>
          <w:lang w:val="en-US"/>
        </w:rPr>
        <w:t xml:space="preserve">he reliability of the instrument </w:t>
      </w:r>
      <w:r>
        <w:rPr>
          <w:rFonts w:ascii="Times New Roman" w:hAnsi="Times New Roman" w:cs="Times New Roman"/>
          <w:sz w:val="24"/>
          <w:szCs w:val="24"/>
          <w:lang w:val="en-US"/>
        </w:rPr>
        <w:t>was</w:t>
      </w:r>
      <w:r w:rsidRPr="006625A9">
        <w:rPr>
          <w:rFonts w:ascii="Times New Roman" w:hAnsi="Times New Roman" w:cs="Times New Roman"/>
          <w:sz w:val="24"/>
          <w:szCs w:val="24"/>
          <w:lang w:val="en-US"/>
        </w:rPr>
        <w:t xml:space="preserve"> determined through a pilot test</w:t>
      </w:r>
      <w:r w:rsidRPr="006625A9">
        <w:rPr>
          <w:rFonts w:ascii="Times New Roman" w:hAnsi="Times New Roman" w:cs="Times New Roman"/>
          <w:sz w:val="24"/>
          <w:szCs w:val="24"/>
        </w:rPr>
        <w:t xml:space="preserve"> carried out at the University of Ilorin. A trial testing of the questionnaire </w:t>
      </w:r>
      <w:r>
        <w:rPr>
          <w:rFonts w:ascii="Times New Roman" w:hAnsi="Times New Roman" w:cs="Times New Roman"/>
          <w:sz w:val="24"/>
          <w:szCs w:val="24"/>
        </w:rPr>
        <w:t>was</w:t>
      </w:r>
      <w:r w:rsidRPr="006625A9">
        <w:rPr>
          <w:rFonts w:ascii="Times New Roman" w:hAnsi="Times New Roman" w:cs="Times New Roman"/>
          <w:sz w:val="24"/>
          <w:szCs w:val="24"/>
        </w:rPr>
        <w:t xml:space="preserve"> applied on thirty (30) medical undergraduates at the University of Ilorin, Kwara State, Nigeria which is not a part of the sample to be used for the study. The data </w:t>
      </w:r>
      <w:r>
        <w:rPr>
          <w:rFonts w:ascii="Times New Roman" w:hAnsi="Times New Roman" w:cs="Times New Roman"/>
          <w:sz w:val="24"/>
          <w:szCs w:val="24"/>
        </w:rPr>
        <w:t>was</w:t>
      </w:r>
      <w:r w:rsidRPr="006625A9">
        <w:rPr>
          <w:rFonts w:ascii="Times New Roman" w:hAnsi="Times New Roman" w:cs="Times New Roman"/>
          <w:sz w:val="24"/>
          <w:szCs w:val="24"/>
        </w:rPr>
        <w:t xml:space="preserve"> subjected to Cronbach’s alpha </w:t>
      </w:r>
      <w:r w:rsidRPr="009D65D1">
        <w:rPr>
          <w:rFonts w:ascii="Times New Roman" w:hAnsi="Times New Roman" w:cs="Times New Roman"/>
          <w:sz w:val="24"/>
          <w:szCs w:val="24"/>
          <w:lang w:val="en-US"/>
        </w:rPr>
        <w:t>with a reliability co-efficient of r=0</w:t>
      </w:r>
      <w:r w:rsidR="00B02840" w:rsidRPr="008E348B">
        <w:rPr>
          <w:rFonts w:ascii="Times New Roman" w:hAnsi="Times New Roman" w:cs="Times New Roman"/>
          <w:sz w:val="24"/>
        </w:rPr>
        <w:t>.806</w:t>
      </w:r>
    </w:p>
    <w:p w14:paraId="36A9EE73" w14:textId="77777777" w:rsidR="00EA246E" w:rsidRDefault="00EA246E" w:rsidP="00EA246E">
      <w:pPr>
        <w:spacing w:after="200" w:line="276" w:lineRule="auto"/>
        <w:jc w:val="both"/>
        <w:rPr>
          <w:rFonts w:ascii="Times New Roman" w:eastAsia="Times New Roman" w:hAnsi="Times New Roman" w:cs="Times New Roman"/>
          <w:sz w:val="24"/>
          <w:szCs w:val="24"/>
          <w:lang w:val="en-US"/>
        </w:rPr>
      </w:pPr>
      <w:r w:rsidRPr="00EA246E">
        <w:rPr>
          <w:rFonts w:ascii="Times New Roman" w:hAnsi="Times New Roman" w:cs="Times New Roman"/>
          <w:b/>
          <w:i/>
          <w:iCs/>
          <w:sz w:val="24"/>
          <w:szCs w:val="24"/>
          <w:lang w:val="en-US"/>
        </w:rPr>
        <w:t>Method of Data Collection:</w:t>
      </w:r>
      <w:r w:rsidRPr="0088027A">
        <w:rPr>
          <w:rFonts w:ascii="Times New Roman" w:hAnsi="Times New Roman" w:cs="Times New Roman"/>
          <w:sz w:val="24"/>
          <w:szCs w:val="24"/>
          <w:lang w:val="en-US"/>
        </w:rPr>
        <w:t xml:space="preserve"> The res</w:t>
      </w:r>
      <w:r>
        <w:rPr>
          <w:rFonts w:ascii="Times New Roman" w:hAnsi="Times New Roman" w:cs="Times New Roman"/>
          <w:sz w:val="24"/>
          <w:szCs w:val="24"/>
          <w:lang w:val="en-US"/>
        </w:rPr>
        <w:t xml:space="preserve">earcher physically administered </w:t>
      </w:r>
      <w:r w:rsidRPr="0088027A">
        <w:rPr>
          <w:rFonts w:ascii="Times New Roman" w:hAnsi="Times New Roman" w:cs="Times New Roman"/>
          <w:sz w:val="24"/>
          <w:szCs w:val="24"/>
          <w:lang w:val="en-US"/>
        </w:rPr>
        <w:t>the questionnaire to the respondents with the assistance of tw</w:t>
      </w:r>
      <w:r>
        <w:rPr>
          <w:rFonts w:ascii="Times New Roman" w:hAnsi="Times New Roman" w:cs="Times New Roman"/>
          <w:sz w:val="24"/>
          <w:szCs w:val="24"/>
          <w:lang w:val="en-US"/>
        </w:rPr>
        <w:t xml:space="preserve">o research assistants, who were </w:t>
      </w:r>
      <w:r w:rsidRPr="0088027A">
        <w:rPr>
          <w:rFonts w:ascii="Times New Roman" w:hAnsi="Times New Roman" w:cs="Times New Roman"/>
          <w:sz w:val="24"/>
          <w:szCs w:val="24"/>
          <w:lang w:val="en-US"/>
        </w:rPr>
        <w:t>adequately briefed on what is expected of them in the course of the a</w:t>
      </w:r>
      <w:r>
        <w:rPr>
          <w:rFonts w:ascii="Times New Roman" w:hAnsi="Times New Roman" w:cs="Times New Roman"/>
          <w:sz w:val="24"/>
          <w:szCs w:val="24"/>
          <w:lang w:val="en-US"/>
        </w:rPr>
        <w:t xml:space="preserve">dministration and retrieval of </w:t>
      </w:r>
      <w:r w:rsidRPr="0088027A">
        <w:rPr>
          <w:rFonts w:ascii="Times New Roman" w:hAnsi="Times New Roman" w:cs="Times New Roman"/>
          <w:sz w:val="24"/>
          <w:szCs w:val="24"/>
          <w:lang w:val="en-US"/>
        </w:rPr>
        <w:t>the instrument. The questionnaire was distributed to the respon</w:t>
      </w:r>
      <w:r>
        <w:rPr>
          <w:rFonts w:ascii="Times New Roman" w:hAnsi="Times New Roman" w:cs="Times New Roman"/>
          <w:sz w:val="24"/>
          <w:szCs w:val="24"/>
          <w:lang w:val="en-US"/>
        </w:rPr>
        <w:t>dents (medical students) in the federal universities south-west, Nigeria</w:t>
      </w:r>
      <w:r w:rsidRPr="0088027A">
        <w:rPr>
          <w:rFonts w:ascii="Times New Roman" w:hAnsi="Times New Roman" w:cs="Times New Roman"/>
          <w:sz w:val="24"/>
          <w:szCs w:val="24"/>
          <w:lang w:val="en-US"/>
        </w:rPr>
        <w:t xml:space="preserve">, after obtaining permission from the respective University </w:t>
      </w:r>
      <w:r>
        <w:rPr>
          <w:rFonts w:ascii="Times New Roman" w:hAnsi="Times New Roman" w:cs="Times New Roman"/>
          <w:sz w:val="24"/>
          <w:szCs w:val="24"/>
          <w:lang w:val="en-US"/>
        </w:rPr>
        <w:t>Administrators of the universities under study</w:t>
      </w:r>
      <w:r w:rsidRPr="0088027A">
        <w:rPr>
          <w:rFonts w:ascii="Times New Roman" w:hAnsi="Times New Roman" w:cs="Times New Roman"/>
          <w:sz w:val="24"/>
          <w:szCs w:val="24"/>
          <w:lang w:val="en-US"/>
        </w:rPr>
        <w:t>.</w:t>
      </w:r>
      <w:r>
        <w:rPr>
          <w:rFonts w:ascii="Times New Roman" w:hAnsi="Times New Roman" w:cs="Times New Roman"/>
          <w:sz w:val="24"/>
          <w:szCs w:val="24"/>
          <w:lang w:val="en-US"/>
        </w:rPr>
        <w:t xml:space="preserve"> Therefore, a total of </w:t>
      </w:r>
      <w:r>
        <w:rPr>
          <w:rFonts w:ascii="Times New Roman" w:hAnsi="Times New Roman" w:cs="Times New Roman"/>
          <w:sz w:val="24"/>
          <w:szCs w:val="24"/>
        </w:rPr>
        <w:t xml:space="preserve">114, 99, 103 and 8 copies of questionnaire were administered to the medical students in </w:t>
      </w:r>
      <w:r w:rsidRPr="0057144F">
        <w:rPr>
          <w:rFonts w:ascii="Times New Roman" w:hAnsi="Times New Roman" w:cs="Times New Roman"/>
          <w:bCs/>
          <w:sz w:val="24"/>
          <w:szCs w:val="24"/>
          <w:lang w:val="en-US"/>
        </w:rPr>
        <w:t>University of Ibadan</w:t>
      </w:r>
      <w:r>
        <w:rPr>
          <w:rFonts w:ascii="Times New Roman" w:hAnsi="Times New Roman" w:cs="Times New Roman"/>
          <w:bCs/>
          <w:sz w:val="24"/>
          <w:szCs w:val="24"/>
          <w:lang w:val="en-US"/>
        </w:rPr>
        <w:t xml:space="preserve">; </w:t>
      </w:r>
      <w:r w:rsidRPr="0057144F">
        <w:rPr>
          <w:rFonts w:ascii="Times New Roman" w:hAnsi="Times New Roman" w:cs="Times New Roman"/>
          <w:bCs/>
          <w:sz w:val="24"/>
          <w:szCs w:val="24"/>
          <w:lang w:val="en-US"/>
        </w:rPr>
        <w:t>Obafemi Awolowo University, Ile-Ife</w:t>
      </w:r>
      <w:r>
        <w:rPr>
          <w:rFonts w:ascii="Times New Roman" w:hAnsi="Times New Roman" w:cs="Times New Roman"/>
          <w:bCs/>
          <w:sz w:val="24"/>
          <w:szCs w:val="24"/>
          <w:lang w:val="en-US"/>
        </w:rPr>
        <w:t xml:space="preserve">; </w:t>
      </w:r>
      <w:r w:rsidRPr="0057144F">
        <w:rPr>
          <w:rFonts w:ascii="Times New Roman" w:hAnsi="Times New Roman" w:cs="Times New Roman"/>
          <w:bCs/>
          <w:sz w:val="24"/>
          <w:szCs w:val="24"/>
          <w:lang w:val="en-US"/>
        </w:rPr>
        <w:t>University of Lagos</w:t>
      </w:r>
      <w:r>
        <w:rPr>
          <w:rFonts w:ascii="Times New Roman" w:hAnsi="Times New Roman" w:cs="Times New Roman"/>
          <w:bCs/>
          <w:sz w:val="24"/>
          <w:szCs w:val="24"/>
          <w:lang w:val="en-US"/>
        </w:rPr>
        <w:t xml:space="preserve">; and </w:t>
      </w:r>
      <w:r w:rsidRPr="0057144F">
        <w:rPr>
          <w:rFonts w:ascii="Times New Roman" w:hAnsi="Times New Roman" w:cs="Times New Roman"/>
          <w:bCs/>
          <w:sz w:val="24"/>
          <w:szCs w:val="24"/>
        </w:rPr>
        <w:t xml:space="preserve">Federal University </w:t>
      </w:r>
      <w:r w:rsidRPr="0057144F">
        <w:rPr>
          <w:rFonts w:ascii="Times New Roman" w:hAnsi="Times New Roman" w:cs="Times New Roman"/>
          <w:bCs/>
          <w:sz w:val="24"/>
          <w:szCs w:val="24"/>
          <w:lang w:val="en-US"/>
        </w:rPr>
        <w:t>of Technology, Akure</w:t>
      </w:r>
      <w:r>
        <w:rPr>
          <w:rFonts w:ascii="Times New Roman" w:hAnsi="Times New Roman" w:cs="Times New Roman"/>
          <w:bCs/>
          <w:sz w:val="24"/>
          <w:szCs w:val="24"/>
          <w:lang w:val="en-US"/>
        </w:rPr>
        <w:t xml:space="preserve"> respectively. This therefore give a total of 324 copies of administered </w:t>
      </w:r>
      <w:r w:rsidR="005008D5">
        <w:rPr>
          <w:rFonts w:ascii="Times New Roman" w:hAnsi="Times New Roman" w:cs="Times New Roman"/>
          <w:bCs/>
          <w:sz w:val="24"/>
          <w:szCs w:val="24"/>
          <w:lang w:val="en-US"/>
        </w:rPr>
        <w:t>questionnaire</w:t>
      </w:r>
      <w:r w:rsidR="00884A21">
        <w:rPr>
          <w:rFonts w:ascii="Times New Roman" w:hAnsi="Times New Roman" w:cs="Times New Roman"/>
          <w:bCs/>
          <w:sz w:val="24"/>
          <w:szCs w:val="24"/>
          <w:lang w:val="en-US"/>
        </w:rPr>
        <w:t xml:space="preserve">. </w:t>
      </w:r>
      <w:r w:rsidR="00884A21" w:rsidRPr="00124940">
        <w:rPr>
          <w:rFonts w:ascii="Times New Roman" w:eastAsia="Times New Roman" w:hAnsi="Times New Roman" w:cs="Times New Roman"/>
          <w:sz w:val="24"/>
          <w:szCs w:val="24"/>
          <w:lang w:val="en-US"/>
        </w:rPr>
        <w:t xml:space="preserve">Out of the overall total of 324 copies of the questionnaire </w:t>
      </w:r>
      <w:r w:rsidR="00884A21">
        <w:rPr>
          <w:rFonts w:ascii="Times New Roman" w:eastAsia="Times New Roman" w:hAnsi="Times New Roman" w:cs="Times New Roman"/>
          <w:sz w:val="24"/>
          <w:szCs w:val="24"/>
          <w:lang w:val="en-US"/>
        </w:rPr>
        <w:t>administered</w:t>
      </w:r>
      <w:r w:rsidR="00884A21" w:rsidRPr="00124940">
        <w:rPr>
          <w:rFonts w:ascii="Times New Roman" w:eastAsia="Times New Roman" w:hAnsi="Times New Roman" w:cs="Times New Roman"/>
          <w:sz w:val="24"/>
          <w:szCs w:val="24"/>
          <w:lang w:val="en-US"/>
        </w:rPr>
        <w:t xml:space="preserve"> to the </w:t>
      </w:r>
      <w:r w:rsidR="00884A21" w:rsidRPr="00124940">
        <w:rPr>
          <w:rFonts w:ascii="Times New Roman" w:eastAsia="Calibri" w:hAnsi="Times New Roman" w:cs="Times New Roman"/>
          <w:sz w:val="24"/>
          <w:szCs w:val="24"/>
          <w:lang w:val="en-US"/>
        </w:rPr>
        <w:t>medical students in federal universities in South-West, Nigeria</w:t>
      </w:r>
      <w:r w:rsidR="00884A21" w:rsidRPr="00124940">
        <w:rPr>
          <w:rFonts w:ascii="Times New Roman" w:eastAsia="Times New Roman" w:hAnsi="Times New Roman" w:cs="Times New Roman"/>
          <w:sz w:val="24"/>
          <w:szCs w:val="24"/>
          <w:lang w:val="en-US"/>
        </w:rPr>
        <w:t xml:space="preserve">, 301 (92.9%) were </w:t>
      </w:r>
      <w:r w:rsidR="00884A21">
        <w:rPr>
          <w:rFonts w:ascii="Times New Roman" w:eastAsia="Times New Roman" w:hAnsi="Times New Roman" w:cs="Times New Roman"/>
          <w:sz w:val="24"/>
          <w:szCs w:val="24"/>
          <w:lang w:val="en-US"/>
        </w:rPr>
        <w:t xml:space="preserve">completely filled and </w:t>
      </w:r>
      <w:r w:rsidR="00884A21" w:rsidRPr="00124940">
        <w:rPr>
          <w:rFonts w:ascii="Times New Roman" w:eastAsia="Times New Roman" w:hAnsi="Times New Roman" w:cs="Times New Roman"/>
          <w:sz w:val="24"/>
          <w:szCs w:val="24"/>
          <w:lang w:val="en-US"/>
        </w:rPr>
        <w:t>returned.</w:t>
      </w:r>
    </w:p>
    <w:p w14:paraId="302D870C" w14:textId="77777777" w:rsidR="00884A21" w:rsidRPr="00884A21" w:rsidRDefault="00884A21" w:rsidP="00884A21">
      <w:pPr>
        <w:spacing w:after="200" w:line="276" w:lineRule="auto"/>
        <w:jc w:val="both"/>
        <w:rPr>
          <w:rFonts w:ascii="Times New Roman" w:hAnsi="Times New Roman" w:cs="Times New Roman"/>
          <w:sz w:val="24"/>
          <w:szCs w:val="24"/>
          <w:lang w:val="en-US"/>
        </w:rPr>
      </w:pPr>
      <w:r w:rsidRPr="00884A21">
        <w:rPr>
          <w:rFonts w:ascii="Times New Roman" w:hAnsi="Times New Roman" w:cs="Times New Roman"/>
          <w:b/>
          <w:i/>
          <w:iCs/>
          <w:sz w:val="24"/>
          <w:szCs w:val="24"/>
          <w:lang w:val="en-US"/>
        </w:rPr>
        <w:t>Method of Data Analysis</w:t>
      </w:r>
      <w:r w:rsidRPr="00FC40A8">
        <w:rPr>
          <w:rFonts w:ascii="Times New Roman" w:hAnsi="Times New Roman" w:cs="Times New Roman"/>
          <w:b/>
          <w:i/>
          <w:iCs/>
          <w:sz w:val="24"/>
          <w:szCs w:val="24"/>
          <w:lang w:val="en-US"/>
        </w:rPr>
        <w:t>:</w:t>
      </w:r>
      <w:r>
        <w:rPr>
          <w:rFonts w:ascii="Times New Roman" w:hAnsi="Times New Roman" w:cs="Times New Roman"/>
          <w:b/>
          <w:sz w:val="24"/>
          <w:szCs w:val="24"/>
          <w:lang w:val="en-US"/>
        </w:rPr>
        <w:t xml:space="preserve"> </w:t>
      </w:r>
      <w:r w:rsidRPr="00884A21">
        <w:rPr>
          <w:rFonts w:ascii="Times New Roman" w:hAnsi="Times New Roman" w:cs="Times New Roman"/>
          <w:sz w:val="24"/>
          <w:szCs w:val="24"/>
          <w:lang w:val="en-US"/>
        </w:rPr>
        <w:t xml:space="preserve">Descriptive statistics </w:t>
      </w:r>
      <w:r>
        <w:rPr>
          <w:rFonts w:ascii="Times New Roman" w:hAnsi="Times New Roman" w:cs="Times New Roman"/>
          <w:sz w:val="24"/>
          <w:szCs w:val="24"/>
          <w:lang w:val="en-US"/>
        </w:rPr>
        <w:t>was</w:t>
      </w:r>
      <w:r w:rsidRPr="00884A21">
        <w:rPr>
          <w:rFonts w:ascii="Times New Roman" w:hAnsi="Times New Roman" w:cs="Times New Roman"/>
          <w:sz w:val="24"/>
          <w:szCs w:val="24"/>
          <w:lang w:val="en-US"/>
        </w:rPr>
        <w:t xml:space="preserve"> utilized to examine demographic information and address research questions 1, 2 and </w:t>
      </w:r>
      <w:r>
        <w:rPr>
          <w:rFonts w:ascii="Times New Roman" w:hAnsi="Times New Roman" w:cs="Times New Roman"/>
          <w:sz w:val="24"/>
          <w:szCs w:val="24"/>
          <w:lang w:val="en-US"/>
        </w:rPr>
        <w:t>3 while i</w:t>
      </w:r>
      <w:r w:rsidRPr="00884A21">
        <w:rPr>
          <w:rFonts w:ascii="Times New Roman" w:hAnsi="Times New Roman" w:cs="Times New Roman"/>
          <w:sz w:val="24"/>
          <w:szCs w:val="24"/>
          <w:lang w:val="en-US"/>
        </w:rPr>
        <w:t xml:space="preserve">nferential statistics like multiple regression analysis was used to test the </w:t>
      </w:r>
      <w:r>
        <w:rPr>
          <w:rFonts w:ascii="Times New Roman" w:hAnsi="Times New Roman" w:cs="Times New Roman"/>
          <w:sz w:val="24"/>
          <w:szCs w:val="24"/>
          <w:lang w:val="en-US"/>
        </w:rPr>
        <w:t xml:space="preserve">only null </w:t>
      </w:r>
      <w:r w:rsidRPr="00884A21">
        <w:rPr>
          <w:rFonts w:ascii="Times New Roman" w:hAnsi="Times New Roman" w:cs="Times New Roman"/>
          <w:sz w:val="24"/>
          <w:szCs w:val="24"/>
          <w:lang w:val="en-US"/>
        </w:rPr>
        <w:t>hypothes</w:t>
      </w:r>
      <w:r>
        <w:rPr>
          <w:rFonts w:ascii="Times New Roman" w:hAnsi="Times New Roman" w:cs="Times New Roman"/>
          <w:sz w:val="24"/>
          <w:szCs w:val="24"/>
          <w:lang w:val="en-US"/>
        </w:rPr>
        <w:t>is</w:t>
      </w:r>
      <w:r w:rsidRPr="00884A21">
        <w:rPr>
          <w:rFonts w:ascii="Times New Roman" w:hAnsi="Times New Roman" w:cs="Times New Roman"/>
          <w:sz w:val="24"/>
          <w:szCs w:val="24"/>
          <w:lang w:val="en-US"/>
        </w:rPr>
        <w:t xml:space="preserve"> to determine the influence of the independent variables on the dependent variable. The data collected </w:t>
      </w:r>
      <w:r>
        <w:rPr>
          <w:rFonts w:ascii="Times New Roman" w:hAnsi="Times New Roman" w:cs="Times New Roman"/>
          <w:sz w:val="24"/>
          <w:szCs w:val="24"/>
          <w:lang w:val="en-US"/>
        </w:rPr>
        <w:t>was</w:t>
      </w:r>
      <w:r w:rsidRPr="00884A21">
        <w:rPr>
          <w:rFonts w:ascii="Times New Roman" w:hAnsi="Times New Roman" w:cs="Times New Roman"/>
          <w:sz w:val="24"/>
          <w:szCs w:val="24"/>
          <w:lang w:val="en-US"/>
        </w:rPr>
        <w:t xml:space="preserve"> coded into IBM-Statistical Package for Social Sciences (SPSS) version 26.0.</w:t>
      </w:r>
    </w:p>
    <w:p w14:paraId="5DA2A5F5" w14:textId="77777777" w:rsidR="000C269B" w:rsidRPr="00A64E3F" w:rsidRDefault="00A64E3F" w:rsidP="0027271E">
      <w:pPr>
        <w:spacing w:after="200" w:line="276" w:lineRule="auto"/>
        <w:jc w:val="both"/>
        <w:rPr>
          <w:rFonts w:ascii="Times New Roman" w:eastAsia="Calibri" w:hAnsi="Times New Roman" w:cs="Times New Roman"/>
          <w:b/>
          <w:sz w:val="24"/>
          <w:szCs w:val="24"/>
        </w:rPr>
      </w:pPr>
      <w:r w:rsidRPr="00A64E3F">
        <w:rPr>
          <w:rFonts w:ascii="Times New Roman" w:eastAsia="Calibri" w:hAnsi="Times New Roman" w:cs="Times New Roman"/>
          <w:b/>
          <w:sz w:val="24"/>
          <w:szCs w:val="24"/>
        </w:rPr>
        <w:t>Data Presentation, Analysis and Discussion of Findings</w:t>
      </w:r>
    </w:p>
    <w:p w14:paraId="43C59699" w14:textId="77777777" w:rsidR="004F4646" w:rsidRPr="004F4646" w:rsidRDefault="004F4646" w:rsidP="004F4646">
      <w:pPr>
        <w:spacing w:after="0" w:line="276" w:lineRule="auto"/>
        <w:jc w:val="both"/>
        <w:rPr>
          <w:rFonts w:ascii="Times New Roman" w:eastAsia="Calibri" w:hAnsi="Times New Roman" w:cs="Times New Roman"/>
          <w:bCs/>
          <w:i/>
          <w:sz w:val="24"/>
          <w:szCs w:val="24"/>
        </w:rPr>
      </w:pPr>
      <w:r w:rsidRPr="004F4646">
        <w:rPr>
          <w:rFonts w:ascii="Times New Roman" w:eastAsia="Calibri" w:hAnsi="Times New Roman" w:cs="Times New Roman"/>
          <w:sz w:val="24"/>
          <w:szCs w:val="24"/>
          <w:lang w:val="en-US"/>
        </w:rPr>
        <w:t>Table 1</w:t>
      </w:r>
      <w:r>
        <w:rPr>
          <w:rFonts w:ascii="Times New Roman" w:eastAsia="Calibri" w:hAnsi="Times New Roman" w:cs="Times New Roman"/>
          <w:b/>
          <w:bCs/>
          <w:sz w:val="24"/>
          <w:szCs w:val="24"/>
          <w:lang w:val="en-US"/>
        </w:rPr>
        <w:t xml:space="preserve">: </w:t>
      </w:r>
      <w:r w:rsidRPr="004F4646">
        <w:rPr>
          <w:rFonts w:ascii="Times New Roman" w:eastAsia="Calibri" w:hAnsi="Times New Roman" w:cs="Times New Roman"/>
          <w:bCs/>
          <w:i/>
          <w:sz w:val="24"/>
          <w:szCs w:val="24"/>
        </w:rPr>
        <w:t>Demographic Characteristics of Respondents</w:t>
      </w:r>
    </w:p>
    <w:tbl>
      <w:tblPr>
        <w:tblW w:w="4090" w:type="pct"/>
        <w:tblLook w:val="04A0" w:firstRow="1" w:lastRow="0" w:firstColumn="1" w:lastColumn="0" w:noHBand="0" w:noVBand="1"/>
      </w:tblPr>
      <w:tblGrid>
        <w:gridCol w:w="3963"/>
        <w:gridCol w:w="1843"/>
        <w:gridCol w:w="1842"/>
      </w:tblGrid>
      <w:tr w:rsidR="004F4646" w:rsidRPr="004F4646" w14:paraId="7EDA4140" w14:textId="77777777" w:rsidTr="00E762C3">
        <w:trPr>
          <w:trHeight w:val="323"/>
        </w:trPr>
        <w:tc>
          <w:tcPr>
            <w:tcW w:w="2591" w:type="pct"/>
            <w:tcBorders>
              <w:top w:val="single" w:sz="4" w:space="0" w:color="auto"/>
              <w:left w:val="single" w:sz="4" w:space="0" w:color="auto"/>
              <w:bottom w:val="single" w:sz="4" w:space="0" w:color="auto"/>
              <w:right w:val="single" w:sz="4" w:space="0" w:color="auto"/>
            </w:tcBorders>
            <w:hideMark/>
          </w:tcPr>
          <w:p w14:paraId="0E2F4952"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 xml:space="preserve">Gender </w:t>
            </w:r>
          </w:p>
        </w:tc>
        <w:tc>
          <w:tcPr>
            <w:tcW w:w="1205" w:type="pct"/>
            <w:tcBorders>
              <w:top w:val="single" w:sz="4" w:space="0" w:color="auto"/>
              <w:left w:val="single" w:sz="4" w:space="0" w:color="auto"/>
              <w:bottom w:val="single" w:sz="4" w:space="0" w:color="auto"/>
              <w:right w:val="single" w:sz="4" w:space="0" w:color="auto"/>
            </w:tcBorders>
            <w:hideMark/>
          </w:tcPr>
          <w:p w14:paraId="471C8B2E"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Frequency</w:t>
            </w:r>
          </w:p>
        </w:tc>
        <w:tc>
          <w:tcPr>
            <w:tcW w:w="1204" w:type="pct"/>
            <w:tcBorders>
              <w:top w:val="single" w:sz="4" w:space="0" w:color="auto"/>
              <w:left w:val="single" w:sz="4" w:space="0" w:color="auto"/>
              <w:bottom w:val="single" w:sz="4" w:space="0" w:color="auto"/>
              <w:right w:val="single" w:sz="4" w:space="0" w:color="auto"/>
            </w:tcBorders>
            <w:hideMark/>
          </w:tcPr>
          <w:p w14:paraId="2D144CFD"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Percentage</w:t>
            </w:r>
          </w:p>
        </w:tc>
      </w:tr>
      <w:tr w:rsidR="004F4646" w:rsidRPr="004F4646" w14:paraId="49B2BD28"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16062F0F"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Male</w:t>
            </w:r>
          </w:p>
        </w:tc>
        <w:tc>
          <w:tcPr>
            <w:tcW w:w="1205" w:type="pct"/>
            <w:tcBorders>
              <w:top w:val="single" w:sz="4" w:space="0" w:color="auto"/>
              <w:left w:val="single" w:sz="4" w:space="0" w:color="auto"/>
              <w:bottom w:val="single" w:sz="4" w:space="0" w:color="auto"/>
              <w:right w:val="single" w:sz="4" w:space="0" w:color="auto"/>
            </w:tcBorders>
            <w:noWrap/>
            <w:hideMark/>
          </w:tcPr>
          <w:p w14:paraId="06482134"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161</w:t>
            </w:r>
          </w:p>
        </w:tc>
        <w:tc>
          <w:tcPr>
            <w:tcW w:w="1204" w:type="pct"/>
            <w:tcBorders>
              <w:top w:val="single" w:sz="4" w:space="0" w:color="auto"/>
              <w:left w:val="single" w:sz="4" w:space="0" w:color="auto"/>
              <w:bottom w:val="single" w:sz="4" w:space="0" w:color="auto"/>
              <w:right w:val="single" w:sz="4" w:space="0" w:color="auto"/>
            </w:tcBorders>
            <w:noWrap/>
            <w:hideMark/>
          </w:tcPr>
          <w:p w14:paraId="182E77B3"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53.5%</w:t>
            </w:r>
          </w:p>
        </w:tc>
      </w:tr>
      <w:tr w:rsidR="004F4646" w:rsidRPr="004F4646" w14:paraId="3F4E649D"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690F8B09"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Female</w:t>
            </w:r>
          </w:p>
        </w:tc>
        <w:tc>
          <w:tcPr>
            <w:tcW w:w="1205" w:type="pct"/>
            <w:tcBorders>
              <w:top w:val="single" w:sz="4" w:space="0" w:color="auto"/>
              <w:left w:val="single" w:sz="4" w:space="0" w:color="auto"/>
              <w:bottom w:val="single" w:sz="4" w:space="0" w:color="auto"/>
              <w:right w:val="single" w:sz="4" w:space="0" w:color="auto"/>
            </w:tcBorders>
            <w:noWrap/>
            <w:hideMark/>
          </w:tcPr>
          <w:p w14:paraId="1455BA81"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140</w:t>
            </w:r>
          </w:p>
        </w:tc>
        <w:tc>
          <w:tcPr>
            <w:tcW w:w="1204" w:type="pct"/>
            <w:tcBorders>
              <w:top w:val="single" w:sz="4" w:space="0" w:color="auto"/>
              <w:left w:val="single" w:sz="4" w:space="0" w:color="auto"/>
              <w:bottom w:val="single" w:sz="4" w:space="0" w:color="auto"/>
              <w:right w:val="single" w:sz="4" w:space="0" w:color="auto"/>
            </w:tcBorders>
            <w:noWrap/>
            <w:hideMark/>
          </w:tcPr>
          <w:p w14:paraId="37E09F5C"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46.5%</w:t>
            </w:r>
          </w:p>
        </w:tc>
      </w:tr>
      <w:tr w:rsidR="004F4646" w:rsidRPr="004F4646" w14:paraId="7A883E47"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3D76ACDB"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Total</w:t>
            </w:r>
          </w:p>
        </w:tc>
        <w:tc>
          <w:tcPr>
            <w:tcW w:w="1205" w:type="pct"/>
            <w:tcBorders>
              <w:top w:val="single" w:sz="4" w:space="0" w:color="auto"/>
              <w:left w:val="single" w:sz="4" w:space="0" w:color="auto"/>
              <w:bottom w:val="single" w:sz="4" w:space="0" w:color="auto"/>
              <w:right w:val="single" w:sz="4" w:space="0" w:color="auto"/>
            </w:tcBorders>
            <w:noWrap/>
            <w:hideMark/>
          </w:tcPr>
          <w:p w14:paraId="0CD234E3"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301</w:t>
            </w:r>
          </w:p>
        </w:tc>
        <w:tc>
          <w:tcPr>
            <w:tcW w:w="1204" w:type="pct"/>
            <w:tcBorders>
              <w:top w:val="single" w:sz="4" w:space="0" w:color="auto"/>
              <w:left w:val="single" w:sz="4" w:space="0" w:color="auto"/>
              <w:bottom w:val="single" w:sz="4" w:space="0" w:color="auto"/>
              <w:right w:val="single" w:sz="4" w:space="0" w:color="auto"/>
            </w:tcBorders>
            <w:noWrap/>
            <w:hideMark/>
          </w:tcPr>
          <w:p w14:paraId="7743AE72"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100.0%</w:t>
            </w:r>
          </w:p>
        </w:tc>
      </w:tr>
      <w:tr w:rsidR="004F4646" w:rsidRPr="004F4646" w14:paraId="6883971A" w14:textId="77777777" w:rsidTr="00E762C3">
        <w:trPr>
          <w:trHeight w:val="246"/>
        </w:trPr>
        <w:tc>
          <w:tcPr>
            <w:tcW w:w="2591" w:type="pct"/>
            <w:tcBorders>
              <w:top w:val="single" w:sz="4" w:space="0" w:color="auto"/>
              <w:left w:val="single" w:sz="4" w:space="0" w:color="auto"/>
              <w:bottom w:val="single" w:sz="4" w:space="0" w:color="auto"/>
              <w:right w:val="single" w:sz="4" w:space="0" w:color="auto"/>
            </w:tcBorders>
            <w:vAlign w:val="bottom"/>
            <w:hideMark/>
          </w:tcPr>
          <w:p w14:paraId="57CA152A" w14:textId="77777777" w:rsidR="004F4646" w:rsidRPr="004F4646" w:rsidRDefault="004F4646" w:rsidP="00301F60">
            <w:pPr>
              <w:spacing w:after="0" w:line="240" w:lineRule="auto"/>
              <w:jc w:val="both"/>
              <w:rPr>
                <w:rFonts w:ascii="Times New Roman" w:eastAsia="Calibri" w:hAnsi="Times New Roman" w:cs="Times New Roman"/>
                <w:b/>
                <w:bCs/>
                <w:sz w:val="24"/>
                <w:szCs w:val="24"/>
              </w:rPr>
            </w:pPr>
            <w:r w:rsidRPr="004F4646">
              <w:rPr>
                <w:rFonts w:ascii="Times New Roman" w:eastAsia="Calibri" w:hAnsi="Times New Roman" w:cs="Times New Roman"/>
                <w:b/>
                <w:bCs/>
                <w:sz w:val="24"/>
                <w:szCs w:val="24"/>
              </w:rPr>
              <w:t>Age</w:t>
            </w:r>
          </w:p>
        </w:tc>
        <w:tc>
          <w:tcPr>
            <w:tcW w:w="1205" w:type="pct"/>
            <w:tcBorders>
              <w:top w:val="single" w:sz="4" w:space="0" w:color="auto"/>
              <w:left w:val="single" w:sz="4" w:space="0" w:color="auto"/>
              <w:bottom w:val="single" w:sz="4" w:space="0" w:color="auto"/>
              <w:right w:val="single" w:sz="4" w:space="0" w:color="auto"/>
            </w:tcBorders>
            <w:hideMark/>
          </w:tcPr>
          <w:p w14:paraId="7E9AD155"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Frequency</w:t>
            </w:r>
          </w:p>
        </w:tc>
        <w:tc>
          <w:tcPr>
            <w:tcW w:w="1204" w:type="pct"/>
            <w:tcBorders>
              <w:top w:val="single" w:sz="4" w:space="0" w:color="auto"/>
              <w:left w:val="single" w:sz="4" w:space="0" w:color="auto"/>
              <w:bottom w:val="single" w:sz="4" w:space="0" w:color="auto"/>
              <w:right w:val="single" w:sz="4" w:space="0" w:color="auto"/>
            </w:tcBorders>
            <w:hideMark/>
          </w:tcPr>
          <w:p w14:paraId="145DAB5C"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Percentage</w:t>
            </w:r>
          </w:p>
        </w:tc>
      </w:tr>
      <w:tr w:rsidR="004F4646" w:rsidRPr="004F4646" w14:paraId="3F0A47DB"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1B48A082"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lang w:val="en-US"/>
              </w:rPr>
              <w:t>16-20 years</w:t>
            </w:r>
          </w:p>
        </w:tc>
        <w:tc>
          <w:tcPr>
            <w:tcW w:w="1205" w:type="pct"/>
            <w:tcBorders>
              <w:top w:val="single" w:sz="4" w:space="0" w:color="auto"/>
              <w:left w:val="single" w:sz="4" w:space="0" w:color="auto"/>
              <w:bottom w:val="single" w:sz="4" w:space="0" w:color="auto"/>
              <w:right w:val="single" w:sz="4" w:space="0" w:color="auto"/>
            </w:tcBorders>
            <w:noWrap/>
            <w:hideMark/>
          </w:tcPr>
          <w:p w14:paraId="4C424975"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81</w:t>
            </w:r>
          </w:p>
        </w:tc>
        <w:tc>
          <w:tcPr>
            <w:tcW w:w="1204" w:type="pct"/>
            <w:tcBorders>
              <w:top w:val="single" w:sz="4" w:space="0" w:color="auto"/>
              <w:left w:val="single" w:sz="4" w:space="0" w:color="auto"/>
              <w:bottom w:val="single" w:sz="4" w:space="0" w:color="auto"/>
              <w:right w:val="single" w:sz="4" w:space="0" w:color="auto"/>
            </w:tcBorders>
            <w:noWrap/>
            <w:hideMark/>
          </w:tcPr>
          <w:p w14:paraId="2608EA1E"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26.9%</w:t>
            </w:r>
          </w:p>
        </w:tc>
      </w:tr>
      <w:tr w:rsidR="004F4646" w:rsidRPr="004F4646" w14:paraId="2A166D03"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087376ED"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lang w:val="en-US"/>
              </w:rPr>
              <w:lastRenderedPageBreak/>
              <w:t>21-25 years</w:t>
            </w:r>
          </w:p>
        </w:tc>
        <w:tc>
          <w:tcPr>
            <w:tcW w:w="1205" w:type="pct"/>
            <w:tcBorders>
              <w:top w:val="single" w:sz="4" w:space="0" w:color="auto"/>
              <w:left w:val="single" w:sz="4" w:space="0" w:color="auto"/>
              <w:bottom w:val="single" w:sz="4" w:space="0" w:color="auto"/>
              <w:right w:val="single" w:sz="4" w:space="0" w:color="auto"/>
            </w:tcBorders>
            <w:noWrap/>
            <w:hideMark/>
          </w:tcPr>
          <w:p w14:paraId="50A617D2"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157</w:t>
            </w:r>
          </w:p>
        </w:tc>
        <w:tc>
          <w:tcPr>
            <w:tcW w:w="1204" w:type="pct"/>
            <w:tcBorders>
              <w:top w:val="single" w:sz="4" w:space="0" w:color="auto"/>
              <w:left w:val="single" w:sz="4" w:space="0" w:color="auto"/>
              <w:bottom w:val="single" w:sz="4" w:space="0" w:color="auto"/>
              <w:right w:val="single" w:sz="4" w:space="0" w:color="auto"/>
            </w:tcBorders>
            <w:noWrap/>
            <w:hideMark/>
          </w:tcPr>
          <w:p w14:paraId="0EECB633"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52.2%</w:t>
            </w:r>
          </w:p>
        </w:tc>
      </w:tr>
      <w:tr w:rsidR="004F4646" w:rsidRPr="004F4646" w14:paraId="4360183C"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3960E58E"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lang w:val="en-US"/>
              </w:rPr>
              <w:t>26-30 years</w:t>
            </w:r>
          </w:p>
        </w:tc>
        <w:tc>
          <w:tcPr>
            <w:tcW w:w="1205" w:type="pct"/>
            <w:tcBorders>
              <w:top w:val="single" w:sz="4" w:space="0" w:color="auto"/>
              <w:left w:val="single" w:sz="4" w:space="0" w:color="auto"/>
              <w:bottom w:val="single" w:sz="4" w:space="0" w:color="auto"/>
              <w:right w:val="single" w:sz="4" w:space="0" w:color="auto"/>
            </w:tcBorders>
            <w:noWrap/>
            <w:hideMark/>
          </w:tcPr>
          <w:p w14:paraId="55534DC7"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53</w:t>
            </w:r>
          </w:p>
        </w:tc>
        <w:tc>
          <w:tcPr>
            <w:tcW w:w="1204" w:type="pct"/>
            <w:tcBorders>
              <w:top w:val="single" w:sz="4" w:space="0" w:color="auto"/>
              <w:left w:val="single" w:sz="4" w:space="0" w:color="auto"/>
              <w:bottom w:val="single" w:sz="4" w:space="0" w:color="auto"/>
              <w:right w:val="single" w:sz="4" w:space="0" w:color="auto"/>
            </w:tcBorders>
            <w:noWrap/>
            <w:hideMark/>
          </w:tcPr>
          <w:p w14:paraId="77DBB949"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17.6%</w:t>
            </w:r>
          </w:p>
        </w:tc>
      </w:tr>
      <w:tr w:rsidR="004F4646" w:rsidRPr="004F4646" w14:paraId="16D56B98"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588E933B" w14:textId="77777777" w:rsidR="004F4646" w:rsidRPr="004F4646" w:rsidRDefault="004F4646" w:rsidP="00301F60">
            <w:pPr>
              <w:spacing w:after="0" w:line="240" w:lineRule="auto"/>
              <w:jc w:val="both"/>
              <w:rPr>
                <w:rFonts w:ascii="Times New Roman" w:eastAsia="Calibri" w:hAnsi="Times New Roman" w:cs="Times New Roman"/>
                <w:b/>
                <w:bCs/>
                <w:sz w:val="24"/>
                <w:szCs w:val="24"/>
              </w:rPr>
            </w:pPr>
            <w:r w:rsidRPr="004F4646">
              <w:rPr>
                <w:rFonts w:ascii="Times New Roman" w:eastAsia="Calibri" w:hAnsi="Times New Roman" w:cs="Times New Roman"/>
                <w:bCs/>
                <w:sz w:val="24"/>
                <w:szCs w:val="24"/>
                <w:lang w:val="en-US"/>
              </w:rPr>
              <w:t>Above 30 years</w:t>
            </w:r>
          </w:p>
        </w:tc>
        <w:tc>
          <w:tcPr>
            <w:tcW w:w="1205" w:type="pct"/>
            <w:tcBorders>
              <w:top w:val="single" w:sz="4" w:space="0" w:color="auto"/>
              <w:left w:val="single" w:sz="4" w:space="0" w:color="auto"/>
              <w:bottom w:val="single" w:sz="4" w:space="0" w:color="auto"/>
              <w:right w:val="single" w:sz="4" w:space="0" w:color="auto"/>
            </w:tcBorders>
            <w:noWrap/>
            <w:hideMark/>
          </w:tcPr>
          <w:p w14:paraId="70B32BAD"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10</w:t>
            </w:r>
          </w:p>
        </w:tc>
        <w:tc>
          <w:tcPr>
            <w:tcW w:w="1204" w:type="pct"/>
            <w:tcBorders>
              <w:top w:val="single" w:sz="4" w:space="0" w:color="auto"/>
              <w:left w:val="single" w:sz="4" w:space="0" w:color="auto"/>
              <w:bottom w:val="single" w:sz="4" w:space="0" w:color="auto"/>
              <w:right w:val="single" w:sz="4" w:space="0" w:color="auto"/>
            </w:tcBorders>
            <w:noWrap/>
            <w:hideMark/>
          </w:tcPr>
          <w:p w14:paraId="249F859C"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11.3%</w:t>
            </w:r>
          </w:p>
        </w:tc>
      </w:tr>
      <w:tr w:rsidR="004F4646" w:rsidRPr="004F4646" w14:paraId="22068675"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148D695C"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Total</w:t>
            </w:r>
          </w:p>
        </w:tc>
        <w:tc>
          <w:tcPr>
            <w:tcW w:w="1205" w:type="pct"/>
            <w:tcBorders>
              <w:top w:val="single" w:sz="4" w:space="0" w:color="auto"/>
              <w:left w:val="single" w:sz="4" w:space="0" w:color="auto"/>
              <w:bottom w:val="single" w:sz="4" w:space="0" w:color="auto"/>
              <w:right w:val="single" w:sz="4" w:space="0" w:color="auto"/>
            </w:tcBorders>
            <w:noWrap/>
            <w:hideMark/>
          </w:tcPr>
          <w:p w14:paraId="100F984F"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301</w:t>
            </w:r>
          </w:p>
        </w:tc>
        <w:tc>
          <w:tcPr>
            <w:tcW w:w="1204" w:type="pct"/>
            <w:tcBorders>
              <w:top w:val="single" w:sz="4" w:space="0" w:color="auto"/>
              <w:left w:val="single" w:sz="4" w:space="0" w:color="auto"/>
              <w:bottom w:val="single" w:sz="4" w:space="0" w:color="auto"/>
              <w:right w:val="single" w:sz="4" w:space="0" w:color="auto"/>
            </w:tcBorders>
            <w:noWrap/>
            <w:hideMark/>
          </w:tcPr>
          <w:p w14:paraId="4152D6C8"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100.0%</w:t>
            </w:r>
          </w:p>
        </w:tc>
      </w:tr>
      <w:tr w:rsidR="004F4646" w:rsidRPr="004F4646" w14:paraId="4B0583E2" w14:textId="77777777" w:rsidTr="00E762C3">
        <w:trPr>
          <w:trHeight w:val="246"/>
        </w:trPr>
        <w:tc>
          <w:tcPr>
            <w:tcW w:w="2591" w:type="pct"/>
            <w:tcBorders>
              <w:top w:val="single" w:sz="4" w:space="0" w:color="auto"/>
              <w:left w:val="single" w:sz="4" w:space="0" w:color="auto"/>
              <w:bottom w:val="single" w:sz="4" w:space="0" w:color="auto"/>
              <w:right w:val="single" w:sz="4" w:space="0" w:color="auto"/>
            </w:tcBorders>
            <w:hideMark/>
          </w:tcPr>
          <w:p w14:paraId="6F60FB23"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Level of study</w:t>
            </w:r>
          </w:p>
        </w:tc>
        <w:tc>
          <w:tcPr>
            <w:tcW w:w="1205" w:type="pct"/>
            <w:tcBorders>
              <w:top w:val="single" w:sz="4" w:space="0" w:color="auto"/>
              <w:left w:val="single" w:sz="4" w:space="0" w:color="auto"/>
              <w:bottom w:val="single" w:sz="4" w:space="0" w:color="auto"/>
              <w:right w:val="single" w:sz="4" w:space="0" w:color="auto"/>
            </w:tcBorders>
            <w:hideMark/>
          </w:tcPr>
          <w:p w14:paraId="768F563D"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Frequency</w:t>
            </w:r>
          </w:p>
        </w:tc>
        <w:tc>
          <w:tcPr>
            <w:tcW w:w="1204" w:type="pct"/>
            <w:tcBorders>
              <w:top w:val="single" w:sz="4" w:space="0" w:color="auto"/>
              <w:left w:val="single" w:sz="4" w:space="0" w:color="auto"/>
              <w:bottom w:val="single" w:sz="4" w:space="0" w:color="auto"/>
              <w:right w:val="single" w:sz="4" w:space="0" w:color="auto"/>
            </w:tcBorders>
            <w:hideMark/>
          </w:tcPr>
          <w:p w14:paraId="73EC4AFB" w14:textId="77777777" w:rsidR="004F4646" w:rsidRPr="004F4646" w:rsidRDefault="004F4646" w:rsidP="00301F60">
            <w:pPr>
              <w:spacing w:after="0" w:line="240" w:lineRule="auto"/>
              <w:jc w:val="both"/>
              <w:rPr>
                <w:rFonts w:ascii="Times New Roman" w:eastAsia="Calibri" w:hAnsi="Times New Roman" w:cs="Times New Roman"/>
                <w:b/>
                <w:bCs/>
                <w:sz w:val="24"/>
                <w:szCs w:val="24"/>
                <w:lang w:val="en-US"/>
              </w:rPr>
            </w:pPr>
            <w:r w:rsidRPr="004F4646">
              <w:rPr>
                <w:rFonts w:ascii="Times New Roman" w:eastAsia="Calibri" w:hAnsi="Times New Roman" w:cs="Times New Roman"/>
                <w:b/>
                <w:bCs/>
                <w:sz w:val="24"/>
                <w:szCs w:val="24"/>
                <w:lang w:val="en-US"/>
              </w:rPr>
              <w:t xml:space="preserve">Percentage </w:t>
            </w:r>
          </w:p>
        </w:tc>
      </w:tr>
      <w:tr w:rsidR="004F4646" w:rsidRPr="004F4646" w14:paraId="0CF0EDDE"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2DA142F4"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200 level</w:t>
            </w:r>
          </w:p>
        </w:tc>
        <w:tc>
          <w:tcPr>
            <w:tcW w:w="1205" w:type="pct"/>
            <w:tcBorders>
              <w:top w:val="single" w:sz="4" w:space="0" w:color="auto"/>
              <w:left w:val="single" w:sz="4" w:space="0" w:color="auto"/>
              <w:bottom w:val="single" w:sz="4" w:space="0" w:color="auto"/>
              <w:right w:val="single" w:sz="4" w:space="0" w:color="auto"/>
            </w:tcBorders>
            <w:noWrap/>
            <w:hideMark/>
          </w:tcPr>
          <w:p w14:paraId="1E9259EB"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58</w:t>
            </w:r>
          </w:p>
        </w:tc>
        <w:tc>
          <w:tcPr>
            <w:tcW w:w="1204" w:type="pct"/>
            <w:tcBorders>
              <w:top w:val="single" w:sz="4" w:space="0" w:color="auto"/>
              <w:left w:val="single" w:sz="4" w:space="0" w:color="auto"/>
              <w:bottom w:val="single" w:sz="4" w:space="0" w:color="auto"/>
              <w:right w:val="single" w:sz="4" w:space="0" w:color="auto"/>
            </w:tcBorders>
            <w:noWrap/>
            <w:hideMark/>
          </w:tcPr>
          <w:p w14:paraId="6F904696"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19.3%</w:t>
            </w:r>
          </w:p>
        </w:tc>
      </w:tr>
      <w:tr w:rsidR="004F4646" w:rsidRPr="004F4646" w14:paraId="073BF27C"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11E21D6A"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300 level</w:t>
            </w:r>
          </w:p>
        </w:tc>
        <w:tc>
          <w:tcPr>
            <w:tcW w:w="1205" w:type="pct"/>
            <w:tcBorders>
              <w:top w:val="single" w:sz="4" w:space="0" w:color="auto"/>
              <w:left w:val="single" w:sz="4" w:space="0" w:color="auto"/>
              <w:bottom w:val="single" w:sz="4" w:space="0" w:color="auto"/>
              <w:right w:val="single" w:sz="4" w:space="0" w:color="auto"/>
            </w:tcBorders>
            <w:noWrap/>
            <w:hideMark/>
          </w:tcPr>
          <w:p w14:paraId="2A8F3517"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133</w:t>
            </w:r>
          </w:p>
        </w:tc>
        <w:tc>
          <w:tcPr>
            <w:tcW w:w="1204" w:type="pct"/>
            <w:tcBorders>
              <w:top w:val="single" w:sz="4" w:space="0" w:color="auto"/>
              <w:left w:val="single" w:sz="4" w:space="0" w:color="auto"/>
              <w:bottom w:val="single" w:sz="4" w:space="0" w:color="auto"/>
              <w:right w:val="single" w:sz="4" w:space="0" w:color="auto"/>
            </w:tcBorders>
            <w:noWrap/>
            <w:hideMark/>
          </w:tcPr>
          <w:p w14:paraId="52F47511"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42.2%</w:t>
            </w:r>
          </w:p>
        </w:tc>
      </w:tr>
      <w:tr w:rsidR="004F4646" w:rsidRPr="004F4646" w14:paraId="5ACF3C6B"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21D22257"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400 level</w:t>
            </w:r>
          </w:p>
        </w:tc>
        <w:tc>
          <w:tcPr>
            <w:tcW w:w="1205" w:type="pct"/>
            <w:tcBorders>
              <w:top w:val="single" w:sz="4" w:space="0" w:color="auto"/>
              <w:left w:val="single" w:sz="4" w:space="0" w:color="auto"/>
              <w:bottom w:val="single" w:sz="4" w:space="0" w:color="auto"/>
              <w:right w:val="single" w:sz="4" w:space="0" w:color="auto"/>
            </w:tcBorders>
            <w:noWrap/>
            <w:hideMark/>
          </w:tcPr>
          <w:p w14:paraId="157C2C4A"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76</w:t>
            </w:r>
          </w:p>
        </w:tc>
        <w:tc>
          <w:tcPr>
            <w:tcW w:w="1204" w:type="pct"/>
            <w:tcBorders>
              <w:top w:val="single" w:sz="4" w:space="0" w:color="auto"/>
              <w:left w:val="single" w:sz="4" w:space="0" w:color="auto"/>
              <w:bottom w:val="single" w:sz="4" w:space="0" w:color="auto"/>
              <w:right w:val="single" w:sz="4" w:space="0" w:color="auto"/>
            </w:tcBorders>
            <w:noWrap/>
            <w:hideMark/>
          </w:tcPr>
          <w:p w14:paraId="57BBCDB3"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25.2%</w:t>
            </w:r>
          </w:p>
        </w:tc>
      </w:tr>
      <w:tr w:rsidR="004F4646" w:rsidRPr="004F4646" w14:paraId="618BC502"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5B4DC064"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500 level</w:t>
            </w:r>
          </w:p>
        </w:tc>
        <w:tc>
          <w:tcPr>
            <w:tcW w:w="1205" w:type="pct"/>
            <w:tcBorders>
              <w:top w:val="single" w:sz="4" w:space="0" w:color="auto"/>
              <w:left w:val="single" w:sz="4" w:space="0" w:color="auto"/>
              <w:bottom w:val="single" w:sz="4" w:space="0" w:color="auto"/>
              <w:right w:val="single" w:sz="4" w:space="0" w:color="auto"/>
            </w:tcBorders>
            <w:noWrap/>
            <w:hideMark/>
          </w:tcPr>
          <w:p w14:paraId="50DAAF44"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34</w:t>
            </w:r>
          </w:p>
        </w:tc>
        <w:tc>
          <w:tcPr>
            <w:tcW w:w="1204" w:type="pct"/>
            <w:tcBorders>
              <w:top w:val="single" w:sz="4" w:space="0" w:color="auto"/>
              <w:left w:val="single" w:sz="4" w:space="0" w:color="auto"/>
              <w:bottom w:val="single" w:sz="4" w:space="0" w:color="auto"/>
              <w:right w:val="single" w:sz="4" w:space="0" w:color="auto"/>
            </w:tcBorders>
            <w:noWrap/>
            <w:hideMark/>
          </w:tcPr>
          <w:p w14:paraId="7082B5F7"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11.3%</w:t>
            </w:r>
          </w:p>
        </w:tc>
      </w:tr>
      <w:tr w:rsidR="004F4646" w:rsidRPr="004F4646" w14:paraId="03AD1631" w14:textId="77777777" w:rsidTr="00E762C3">
        <w:trPr>
          <w:trHeight w:val="290"/>
        </w:trPr>
        <w:tc>
          <w:tcPr>
            <w:tcW w:w="2591" w:type="pct"/>
            <w:tcBorders>
              <w:top w:val="single" w:sz="4" w:space="0" w:color="auto"/>
              <w:left w:val="single" w:sz="4" w:space="0" w:color="auto"/>
              <w:bottom w:val="single" w:sz="4" w:space="0" w:color="auto"/>
              <w:right w:val="single" w:sz="4" w:space="0" w:color="auto"/>
            </w:tcBorders>
            <w:noWrap/>
            <w:hideMark/>
          </w:tcPr>
          <w:p w14:paraId="4A11B65E"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Total</w:t>
            </w:r>
          </w:p>
        </w:tc>
        <w:tc>
          <w:tcPr>
            <w:tcW w:w="1205" w:type="pct"/>
            <w:tcBorders>
              <w:top w:val="single" w:sz="4" w:space="0" w:color="auto"/>
              <w:left w:val="single" w:sz="4" w:space="0" w:color="auto"/>
              <w:bottom w:val="single" w:sz="4" w:space="0" w:color="auto"/>
              <w:right w:val="single" w:sz="4" w:space="0" w:color="auto"/>
            </w:tcBorders>
            <w:noWrap/>
            <w:hideMark/>
          </w:tcPr>
          <w:p w14:paraId="248E096B"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301</w:t>
            </w:r>
          </w:p>
        </w:tc>
        <w:tc>
          <w:tcPr>
            <w:tcW w:w="1204" w:type="pct"/>
            <w:tcBorders>
              <w:top w:val="single" w:sz="4" w:space="0" w:color="auto"/>
              <w:left w:val="single" w:sz="4" w:space="0" w:color="auto"/>
              <w:bottom w:val="single" w:sz="4" w:space="0" w:color="auto"/>
              <w:right w:val="single" w:sz="4" w:space="0" w:color="auto"/>
            </w:tcBorders>
            <w:noWrap/>
            <w:hideMark/>
          </w:tcPr>
          <w:p w14:paraId="780C1C78" w14:textId="77777777" w:rsidR="004F4646" w:rsidRPr="004F4646" w:rsidRDefault="004F4646" w:rsidP="00301F60">
            <w:pPr>
              <w:spacing w:after="0" w:line="240" w:lineRule="auto"/>
              <w:jc w:val="both"/>
              <w:rPr>
                <w:rFonts w:ascii="Times New Roman" w:eastAsia="Calibri" w:hAnsi="Times New Roman" w:cs="Times New Roman"/>
                <w:bCs/>
                <w:sz w:val="24"/>
                <w:szCs w:val="24"/>
              </w:rPr>
            </w:pPr>
            <w:r w:rsidRPr="004F4646">
              <w:rPr>
                <w:rFonts w:ascii="Times New Roman" w:eastAsia="Calibri" w:hAnsi="Times New Roman" w:cs="Times New Roman"/>
                <w:bCs/>
                <w:sz w:val="24"/>
                <w:szCs w:val="24"/>
              </w:rPr>
              <w:t>100.0%</w:t>
            </w:r>
          </w:p>
        </w:tc>
      </w:tr>
    </w:tbl>
    <w:p w14:paraId="22390D2D" w14:textId="77777777" w:rsidR="004F4646" w:rsidRPr="004F4646" w:rsidRDefault="004F4646" w:rsidP="004F4646">
      <w:pPr>
        <w:spacing w:after="200" w:line="276" w:lineRule="auto"/>
        <w:jc w:val="both"/>
        <w:rPr>
          <w:rFonts w:ascii="Times New Roman" w:eastAsia="Calibri" w:hAnsi="Times New Roman" w:cs="Times New Roman"/>
          <w:bCs/>
          <w:sz w:val="24"/>
          <w:szCs w:val="24"/>
          <w:lang w:val="en-US"/>
        </w:rPr>
      </w:pPr>
      <w:r w:rsidRPr="004F4646">
        <w:rPr>
          <w:rFonts w:ascii="Times New Roman" w:eastAsia="Calibri" w:hAnsi="Times New Roman" w:cs="Times New Roman"/>
          <w:bCs/>
          <w:sz w:val="24"/>
          <w:szCs w:val="24"/>
          <w:lang w:val="en-US"/>
        </w:rPr>
        <w:t>Source: Author’s computation (2024)</w:t>
      </w:r>
    </w:p>
    <w:p w14:paraId="01BB33BE" w14:textId="77777777" w:rsidR="004F4646" w:rsidRPr="004F4646" w:rsidRDefault="004F4646" w:rsidP="004F4646">
      <w:pPr>
        <w:spacing w:after="200" w:line="276" w:lineRule="auto"/>
        <w:jc w:val="both"/>
        <w:rPr>
          <w:rFonts w:ascii="Times New Roman" w:eastAsia="Calibri" w:hAnsi="Times New Roman" w:cs="Times New Roman"/>
          <w:bCs/>
          <w:sz w:val="24"/>
          <w:szCs w:val="24"/>
          <w:lang w:val="en-US"/>
        </w:rPr>
      </w:pPr>
      <w:r w:rsidRPr="004F4646">
        <w:rPr>
          <w:rFonts w:ascii="Times New Roman" w:eastAsia="Calibri" w:hAnsi="Times New Roman" w:cs="Times New Roman"/>
          <w:bCs/>
          <w:sz w:val="24"/>
          <w:szCs w:val="24"/>
          <w:lang w:val="en-US"/>
        </w:rPr>
        <w:t xml:space="preserve">The demographic analysis of Table </w:t>
      </w:r>
      <w:r w:rsidR="00456322">
        <w:rPr>
          <w:rFonts w:ascii="Times New Roman" w:eastAsia="Calibri" w:hAnsi="Times New Roman" w:cs="Times New Roman"/>
          <w:bCs/>
          <w:sz w:val="24"/>
          <w:szCs w:val="24"/>
          <w:lang w:val="en-US"/>
        </w:rPr>
        <w:t>1</w:t>
      </w:r>
      <w:r w:rsidRPr="004F4646">
        <w:rPr>
          <w:rFonts w:ascii="Times New Roman" w:eastAsia="Calibri" w:hAnsi="Times New Roman" w:cs="Times New Roman"/>
          <w:bCs/>
          <w:sz w:val="24"/>
          <w:szCs w:val="24"/>
          <w:lang w:val="en-US"/>
        </w:rPr>
        <w:t xml:space="preserve"> revealed that 53.5% of the participants were male students while 46.5% were females. This relatively balanced gender distribution suggests that both male and female perspectives are well-represented in the study, which is important for understanding gender-based differences in utilizing electronic information resources (EIRs).</w:t>
      </w:r>
      <w:r w:rsidR="00797FE1">
        <w:rPr>
          <w:rFonts w:ascii="Times New Roman" w:eastAsia="Calibri" w:hAnsi="Times New Roman" w:cs="Times New Roman"/>
          <w:bCs/>
          <w:sz w:val="24"/>
          <w:szCs w:val="24"/>
          <w:lang w:val="en-US"/>
        </w:rPr>
        <w:t xml:space="preserve"> </w:t>
      </w:r>
      <w:r w:rsidRPr="004F4646">
        <w:rPr>
          <w:rFonts w:ascii="Times New Roman" w:eastAsia="Calibri" w:hAnsi="Times New Roman" w:cs="Times New Roman"/>
          <w:bCs/>
          <w:sz w:val="24"/>
          <w:szCs w:val="24"/>
          <w:lang w:val="en-US"/>
        </w:rPr>
        <w:t>Most of the students fall within the 21-25 age group, representing 52.2% of the sample. The second-largest age group is 16-20 years, making up 26.9%. Students aged 26-30 years constitute 17.6%, while those above 30 years represent 11.3%. The predominance of students aged 21-25 suggests that the findings may be particularly relevant to younger adult learners, who are likely to be more familiar with digital technologies, which could positively influence their utilization of EIRs.</w:t>
      </w:r>
      <w:r w:rsidR="00797FE1">
        <w:rPr>
          <w:rFonts w:ascii="Times New Roman" w:eastAsia="Calibri" w:hAnsi="Times New Roman" w:cs="Times New Roman"/>
          <w:bCs/>
          <w:sz w:val="24"/>
          <w:szCs w:val="24"/>
          <w:lang w:val="en-US"/>
        </w:rPr>
        <w:t xml:space="preserve"> </w:t>
      </w:r>
      <w:r w:rsidRPr="004F4646">
        <w:rPr>
          <w:rFonts w:ascii="Times New Roman" w:eastAsia="Calibri" w:hAnsi="Times New Roman" w:cs="Times New Roman"/>
          <w:bCs/>
          <w:sz w:val="24"/>
          <w:szCs w:val="24"/>
          <w:lang w:val="en-US"/>
        </w:rPr>
        <w:t>In addition, most students are in their 300 level (42.2%), followed by 400 level students (25.2%), 200 level students (19.3%), and 500 level students (11.3%). The higher concentration of students in the middle levels (300 and 400 levels) indicates that the study captures the perspectives of students who are in the middle and later stages of their medical education, where the use of EIRs might be more critical due to increased academic demands.</w:t>
      </w:r>
    </w:p>
    <w:p w14:paraId="05BCC2F0" w14:textId="77777777" w:rsidR="00427C3F" w:rsidRDefault="00427C3F">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358F2C89" w14:textId="77777777" w:rsidR="00427C3F" w:rsidRPr="00427C3F" w:rsidRDefault="00571323" w:rsidP="00427C3F">
      <w:pPr>
        <w:spacing w:line="276" w:lineRule="auto"/>
        <w:ind w:left="360"/>
        <w:jc w:val="both"/>
        <w:rPr>
          <w:rFonts w:ascii="Times New Roman" w:eastAsia="Calibri" w:hAnsi="Times New Roman" w:cs="Times New Roman"/>
          <w:b/>
          <w:sz w:val="24"/>
          <w:szCs w:val="24"/>
        </w:rPr>
      </w:pPr>
      <w:r w:rsidRPr="00427C3F">
        <w:rPr>
          <w:rFonts w:ascii="Times New Roman" w:eastAsia="Calibri" w:hAnsi="Times New Roman" w:cs="Times New Roman"/>
          <w:b/>
          <w:sz w:val="24"/>
          <w:szCs w:val="24"/>
        </w:rPr>
        <w:lastRenderedPageBreak/>
        <w:t>Research Question 1:</w:t>
      </w:r>
      <w:r w:rsidR="00427C3F" w:rsidRPr="00427C3F">
        <w:rPr>
          <w:rFonts w:ascii="Times New Roman" w:eastAsia="Calibri" w:hAnsi="Times New Roman" w:cs="Times New Roman"/>
          <w:b/>
          <w:sz w:val="24"/>
          <w:szCs w:val="24"/>
        </w:rPr>
        <w:t xml:space="preserve"> What is the extent of EIRs utilization by medical students in federal universities in South-West, Nigeria?</w:t>
      </w:r>
    </w:p>
    <w:p w14:paraId="50AC48D8" w14:textId="77777777" w:rsidR="00427C3F" w:rsidRPr="00124940" w:rsidRDefault="00427C3F" w:rsidP="00427C3F">
      <w:pPr>
        <w:spacing w:after="0" w:line="240" w:lineRule="auto"/>
        <w:jc w:val="both"/>
        <w:rPr>
          <w:rFonts w:ascii="Times New Roman" w:eastAsia="Calibri" w:hAnsi="Times New Roman" w:cs="Times New Roman"/>
          <w:i/>
          <w:sz w:val="24"/>
          <w:szCs w:val="24"/>
        </w:rPr>
      </w:pPr>
      <w:r w:rsidRPr="00427C3F">
        <w:rPr>
          <w:rFonts w:ascii="Times New Roman" w:eastAsia="Calibri" w:hAnsi="Times New Roman" w:cs="Times New Roman"/>
          <w:sz w:val="24"/>
          <w:szCs w:val="24"/>
        </w:rPr>
        <w:t>Table</w:t>
      </w:r>
      <w:r>
        <w:rPr>
          <w:rFonts w:ascii="Times New Roman" w:eastAsia="Calibri" w:hAnsi="Times New Roman" w:cs="Times New Roman"/>
          <w:sz w:val="24"/>
          <w:szCs w:val="24"/>
        </w:rPr>
        <w:t xml:space="preserve"> 2</w:t>
      </w:r>
      <w:r w:rsidRPr="00427C3F">
        <w:rPr>
          <w:rFonts w:ascii="Times New Roman" w:eastAsia="Calibri" w:hAnsi="Times New Roman" w:cs="Times New Roman"/>
          <w:sz w:val="24"/>
          <w:szCs w:val="24"/>
        </w:rPr>
        <w:t xml:space="preserve">: </w:t>
      </w:r>
      <w:r w:rsidRPr="00124940">
        <w:rPr>
          <w:rFonts w:ascii="Times New Roman" w:eastAsia="Calibri" w:hAnsi="Times New Roman" w:cs="Times New Roman"/>
          <w:bCs/>
          <w:i/>
          <w:sz w:val="24"/>
          <w:szCs w:val="24"/>
        </w:rPr>
        <w:t>Extent of EIRs utilization by medical students in federal universities</w:t>
      </w:r>
    </w:p>
    <w:tbl>
      <w:tblPr>
        <w:tblStyle w:val="TableGrid3"/>
        <w:tblW w:w="10060" w:type="dxa"/>
        <w:tblInd w:w="0" w:type="dxa"/>
        <w:tblLook w:val="04A0" w:firstRow="1" w:lastRow="0" w:firstColumn="1" w:lastColumn="0" w:noHBand="0" w:noVBand="1"/>
      </w:tblPr>
      <w:tblGrid>
        <w:gridCol w:w="4412"/>
        <w:gridCol w:w="1093"/>
        <w:gridCol w:w="949"/>
        <w:gridCol w:w="931"/>
        <w:gridCol w:w="974"/>
        <w:gridCol w:w="850"/>
        <w:gridCol w:w="851"/>
      </w:tblGrid>
      <w:tr w:rsidR="00427C3F" w:rsidRPr="00124940" w14:paraId="572BBE49" w14:textId="77777777" w:rsidTr="00E762C3">
        <w:tc>
          <w:tcPr>
            <w:tcW w:w="4412" w:type="dxa"/>
            <w:tcBorders>
              <w:top w:val="single" w:sz="4" w:space="0" w:color="auto"/>
              <w:left w:val="single" w:sz="4" w:space="0" w:color="auto"/>
              <w:bottom w:val="single" w:sz="4" w:space="0" w:color="auto"/>
              <w:right w:val="single" w:sz="4" w:space="0" w:color="auto"/>
            </w:tcBorders>
          </w:tcPr>
          <w:p w14:paraId="7C736327"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EIRs Utilization</w:t>
            </w:r>
          </w:p>
          <w:p w14:paraId="71AFC374" w14:textId="77777777" w:rsidR="00427C3F" w:rsidRPr="00124940" w:rsidRDefault="00427C3F" w:rsidP="00E762C3">
            <w:pPr>
              <w:rPr>
                <w:rFonts w:ascii="Times New Roman" w:hAnsi="Times New Roman" w:cs="Times New Roman"/>
              </w:rPr>
            </w:pPr>
          </w:p>
          <w:p w14:paraId="7EEA35BE" w14:textId="77777777" w:rsidR="00427C3F" w:rsidRPr="00124940" w:rsidRDefault="00427C3F" w:rsidP="00E762C3">
            <w:pPr>
              <w:jc w:val="right"/>
              <w:rPr>
                <w:rFonts w:ascii="Times New Roman" w:hAnsi="Times New Roman" w:cs="Times New Roman"/>
              </w:rPr>
            </w:pPr>
          </w:p>
        </w:tc>
        <w:tc>
          <w:tcPr>
            <w:tcW w:w="1093" w:type="dxa"/>
            <w:tcBorders>
              <w:top w:val="single" w:sz="4" w:space="0" w:color="auto"/>
              <w:left w:val="single" w:sz="4" w:space="0" w:color="auto"/>
              <w:bottom w:val="single" w:sz="4" w:space="0" w:color="auto"/>
              <w:right w:val="single" w:sz="4" w:space="0" w:color="auto"/>
            </w:tcBorders>
            <w:hideMark/>
          </w:tcPr>
          <w:p w14:paraId="7A1CBCEC" w14:textId="77777777" w:rsidR="00427C3F" w:rsidRDefault="00427C3F" w:rsidP="00E762C3">
            <w:pPr>
              <w:spacing w:after="80" w:line="256" w:lineRule="auto"/>
              <w:jc w:val="both"/>
              <w:rPr>
                <w:rFonts w:ascii="Times New Roman" w:hAnsi="Times New Roman" w:cs="Times New Roman"/>
                <w:b/>
                <w:bCs/>
              </w:rPr>
            </w:pPr>
            <w:r>
              <w:rPr>
                <w:rFonts w:ascii="Times New Roman" w:hAnsi="Times New Roman" w:cs="Times New Roman"/>
                <w:b/>
                <w:bCs/>
              </w:rPr>
              <w:t>Very High Extent</w:t>
            </w:r>
          </w:p>
          <w:p w14:paraId="3B889029"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w:t>
            </w:r>
          </w:p>
        </w:tc>
        <w:tc>
          <w:tcPr>
            <w:tcW w:w="949" w:type="dxa"/>
            <w:tcBorders>
              <w:top w:val="single" w:sz="4" w:space="0" w:color="auto"/>
              <w:left w:val="single" w:sz="4" w:space="0" w:color="auto"/>
              <w:bottom w:val="single" w:sz="4" w:space="0" w:color="auto"/>
              <w:right w:val="single" w:sz="4" w:space="0" w:color="auto"/>
            </w:tcBorders>
            <w:hideMark/>
          </w:tcPr>
          <w:p w14:paraId="010F5A6D" w14:textId="77777777" w:rsidR="00427C3F" w:rsidRDefault="00427C3F" w:rsidP="00E762C3">
            <w:pPr>
              <w:spacing w:after="80" w:line="256" w:lineRule="auto"/>
              <w:jc w:val="both"/>
              <w:rPr>
                <w:rFonts w:ascii="Times New Roman" w:hAnsi="Times New Roman" w:cs="Times New Roman"/>
                <w:b/>
                <w:bCs/>
              </w:rPr>
            </w:pPr>
            <w:r>
              <w:rPr>
                <w:rFonts w:ascii="Times New Roman" w:hAnsi="Times New Roman" w:cs="Times New Roman"/>
                <w:b/>
                <w:bCs/>
              </w:rPr>
              <w:t>High Extent</w:t>
            </w:r>
          </w:p>
          <w:p w14:paraId="450CBFCB"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w:t>
            </w:r>
          </w:p>
        </w:tc>
        <w:tc>
          <w:tcPr>
            <w:tcW w:w="931" w:type="dxa"/>
            <w:tcBorders>
              <w:top w:val="single" w:sz="4" w:space="0" w:color="auto"/>
              <w:left w:val="single" w:sz="4" w:space="0" w:color="auto"/>
              <w:bottom w:val="single" w:sz="4" w:space="0" w:color="auto"/>
              <w:right w:val="single" w:sz="4" w:space="0" w:color="auto"/>
            </w:tcBorders>
            <w:hideMark/>
          </w:tcPr>
          <w:p w14:paraId="1526B16E" w14:textId="77777777" w:rsidR="00427C3F" w:rsidRDefault="00427C3F" w:rsidP="00E762C3">
            <w:pPr>
              <w:spacing w:after="80" w:line="256" w:lineRule="auto"/>
              <w:jc w:val="both"/>
              <w:rPr>
                <w:rFonts w:ascii="Times New Roman" w:hAnsi="Times New Roman" w:cs="Times New Roman"/>
                <w:b/>
                <w:bCs/>
              </w:rPr>
            </w:pPr>
            <w:r>
              <w:rPr>
                <w:rFonts w:ascii="Times New Roman" w:hAnsi="Times New Roman" w:cs="Times New Roman"/>
                <w:b/>
                <w:bCs/>
              </w:rPr>
              <w:t>Low Extent</w:t>
            </w:r>
          </w:p>
          <w:p w14:paraId="0871905F"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w:t>
            </w:r>
          </w:p>
        </w:tc>
        <w:tc>
          <w:tcPr>
            <w:tcW w:w="974" w:type="dxa"/>
            <w:tcBorders>
              <w:top w:val="single" w:sz="4" w:space="0" w:color="auto"/>
              <w:left w:val="single" w:sz="4" w:space="0" w:color="auto"/>
              <w:bottom w:val="single" w:sz="4" w:space="0" w:color="auto"/>
              <w:right w:val="single" w:sz="4" w:space="0" w:color="auto"/>
            </w:tcBorders>
            <w:hideMark/>
          </w:tcPr>
          <w:p w14:paraId="07BC43F6" w14:textId="77777777" w:rsidR="00427C3F" w:rsidRPr="00124940" w:rsidRDefault="00427C3F" w:rsidP="00E762C3">
            <w:pPr>
              <w:spacing w:after="80" w:line="256" w:lineRule="auto"/>
              <w:jc w:val="both"/>
              <w:rPr>
                <w:rFonts w:ascii="Times New Roman" w:hAnsi="Times New Roman" w:cs="Times New Roman"/>
                <w:b/>
                <w:bCs/>
              </w:rPr>
            </w:pPr>
            <w:r>
              <w:rPr>
                <w:rFonts w:ascii="Times New Roman" w:hAnsi="Times New Roman" w:cs="Times New Roman"/>
                <w:b/>
                <w:bCs/>
              </w:rPr>
              <w:t>Very Low Exten</w:t>
            </w:r>
            <w:r w:rsidRPr="00124940">
              <w:rPr>
                <w:rFonts w:ascii="Times New Roman" w:hAnsi="Times New Roman" w:cs="Times New Roman"/>
                <w:b/>
                <w:bCs/>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5C87F7BA"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Mean (x̅)</w:t>
            </w:r>
          </w:p>
        </w:tc>
        <w:tc>
          <w:tcPr>
            <w:tcW w:w="851" w:type="dxa"/>
            <w:tcBorders>
              <w:top w:val="single" w:sz="4" w:space="0" w:color="auto"/>
              <w:left w:val="single" w:sz="4" w:space="0" w:color="auto"/>
              <w:bottom w:val="single" w:sz="4" w:space="0" w:color="auto"/>
              <w:right w:val="single" w:sz="4" w:space="0" w:color="auto"/>
            </w:tcBorders>
            <w:hideMark/>
          </w:tcPr>
          <w:p w14:paraId="67377FB9"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SD</w:t>
            </w:r>
          </w:p>
        </w:tc>
      </w:tr>
      <w:tr w:rsidR="00427C3F" w:rsidRPr="00124940" w14:paraId="657ACE78"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442FEDC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b/>
                <w:bCs/>
              </w:rPr>
              <w:t>Availability of resource</w:t>
            </w:r>
          </w:p>
        </w:tc>
        <w:tc>
          <w:tcPr>
            <w:tcW w:w="1093" w:type="dxa"/>
            <w:tcBorders>
              <w:top w:val="single" w:sz="4" w:space="0" w:color="auto"/>
              <w:left w:val="single" w:sz="4" w:space="0" w:color="auto"/>
              <w:bottom w:val="single" w:sz="4" w:space="0" w:color="auto"/>
              <w:right w:val="single" w:sz="4" w:space="0" w:color="auto"/>
            </w:tcBorders>
            <w:hideMark/>
          </w:tcPr>
          <w:p w14:paraId="7DC2D844" w14:textId="77777777" w:rsidR="00427C3F" w:rsidRPr="00124940" w:rsidRDefault="00427C3F" w:rsidP="00E762C3">
            <w:pPr>
              <w:spacing w:line="256" w:lineRule="auto"/>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36EFA024" w14:textId="77777777" w:rsidR="00427C3F" w:rsidRPr="00124940" w:rsidRDefault="00427C3F" w:rsidP="00E762C3">
            <w:pPr>
              <w:rPr>
                <w:sz w:val="20"/>
                <w:szCs w:val="20"/>
                <w:lang w:val="en-US"/>
              </w:rPr>
            </w:pPr>
          </w:p>
        </w:tc>
        <w:tc>
          <w:tcPr>
            <w:tcW w:w="931" w:type="dxa"/>
            <w:tcBorders>
              <w:top w:val="single" w:sz="4" w:space="0" w:color="auto"/>
              <w:left w:val="single" w:sz="4" w:space="0" w:color="auto"/>
              <w:bottom w:val="single" w:sz="4" w:space="0" w:color="auto"/>
              <w:right w:val="single" w:sz="4" w:space="0" w:color="auto"/>
            </w:tcBorders>
            <w:hideMark/>
          </w:tcPr>
          <w:p w14:paraId="21DF4D3C" w14:textId="77777777" w:rsidR="00427C3F" w:rsidRPr="00124940" w:rsidRDefault="00427C3F" w:rsidP="00E762C3">
            <w:pPr>
              <w:rPr>
                <w:sz w:val="20"/>
                <w:szCs w:val="20"/>
                <w:lang w:val="en-US"/>
              </w:rPr>
            </w:pPr>
          </w:p>
        </w:tc>
        <w:tc>
          <w:tcPr>
            <w:tcW w:w="974" w:type="dxa"/>
            <w:tcBorders>
              <w:top w:val="single" w:sz="4" w:space="0" w:color="auto"/>
              <w:left w:val="single" w:sz="4" w:space="0" w:color="auto"/>
              <w:bottom w:val="single" w:sz="4" w:space="0" w:color="auto"/>
              <w:right w:val="single" w:sz="4" w:space="0" w:color="auto"/>
            </w:tcBorders>
            <w:hideMark/>
          </w:tcPr>
          <w:p w14:paraId="0EA2CD91" w14:textId="77777777" w:rsidR="00427C3F" w:rsidRPr="00124940" w:rsidRDefault="00427C3F" w:rsidP="00E762C3">
            <w:pPr>
              <w:rPr>
                <w:sz w:val="20"/>
                <w:szCs w:val="20"/>
                <w:lang w:val="en-US"/>
              </w:rPr>
            </w:pPr>
          </w:p>
        </w:tc>
        <w:tc>
          <w:tcPr>
            <w:tcW w:w="850" w:type="dxa"/>
            <w:tcBorders>
              <w:top w:val="single" w:sz="4" w:space="0" w:color="auto"/>
              <w:left w:val="single" w:sz="4" w:space="0" w:color="auto"/>
              <w:bottom w:val="single" w:sz="4" w:space="0" w:color="auto"/>
              <w:right w:val="single" w:sz="4" w:space="0" w:color="auto"/>
            </w:tcBorders>
            <w:hideMark/>
          </w:tcPr>
          <w:p w14:paraId="16B4F431"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3.26</w:t>
            </w:r>
          </w:p>
        </w:tc>
        <w:tc>
          <w:tcPr>
            <w:tcW w:w="851" w:type="dxa"/>
            <w:tcBorders>
              <w:top w:val="single" w:sz="4" w:space="0" w:color="auto"/>
              <w:left w:val="single" w:sz="4" w:space="0" w:color="auto"/>
              <w:bottom w:val="single" w:sz="4" w:space="0" w:color="auto"/>
              <w:right w:val="single" w:sz="4" w:space="0" w:color="auto"/>
            </w:tcBorders>
            <w:hideMark/>
          </w:tcPr>
          <w:p w14:paraId="3708BE57"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0.43</w:t>
            </w:r>
          </w:p>
        </w:tc>
      </w:tr>
      <w:tr w:rsidR="00427C3F" w:rsidRPr="00124940" w14:paraId="2C9AEE2E"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334FBAA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I have different EIRs link at my reach</w:t>
            </w:r>
          </w:p>
        </w:tc>
        <w:tc>
          <w:tcPr>
            <w:tcW w:w="1093" w:type="dxa"/>
            <w:tcBorders>
              <w:top w:val="single" w:sz="4" w:space="0" w:color="auto"/>
              <w:left w:val="single" w:sz="4" w:space="0" w:color="auto"/>
              <w:bottom w:val="single" w:sz="4" w:space="0" w:color="auto"/>
              <w:right w:val="single" w:sz="4" w:space="0" w:color="auto"/>
            </w:tcBorders>
            <w:hideMark/>
          </w:tcPr>
          <w:p w14:paraId="14B818B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127 (42.2%)</w:t>
            </w:r>
          </w:p>
        </w:tc>
        <w:tc>
          <w:tcPr>
            <w:tcW w:w="949" w:type="dxa"/>
            <w:tcBorders>
              <w:top w:val="single" w:sz="4" w:space="0" w:color="auto"/>
              <w:left w:val="single" w:sz="4" w:space="0" w:color="auto"/>
              <w:bottom w:val="single" w:sz="4" w:space="0" w:color="auto"/>
              <w:right w:val="single" w:sz="4" w:space="0" w:color="auto"/>
            </w:tcBorders>
            <w:hideMark/>
          </w:tcPr>
          <w:p w14:paraId="759A11D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154 (51.2%)</w:t>
            </w:r>
          </w:p>
        </w:tc>
        <w:tc>
          <w:tcPr>
            <w:tcW w:w="931" w:type="dxa"/>
            <w:tcBorders>
              <w:top w:val="single" w:sz="4" w:space="0" w:color="auto"/>
              <w:left w:val="single" w:sz="4" w:space="0" w:color="auto"/>
              <w:bottom w:val="single" w:sz="4" w:space="0" w:color="auto"/>
              <w:right w:val="single" w:sz="4" w:space="0" w:color="auto"/>
            </w:tcBorders>
            <w:hideMark/>
          </w:tcPr>
          <w:p w14:paraId="32AAE5E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20 (6.6%)</w:t>
            </w:r>
          </w:p>
        </w:tc>
        <w:tc>
          <w:tcPr>
            <w:tcW w:w="974" w:type="dxa"/>
            <w:tcBorders>
              <w:top w:val="single" w:sz="4" w:space="0" w:color="auto"/>
              <w:left w:val="single" w:sz="4" w:space="0" w:color="auto"/>
              <w:bottom w:val="single" w:sz="4" w:space="0" w:color="auto"/>
              <w:right w:val="single" w:sz="4" w:space="0" w:color="auto"/>
            </w:tcBorders>
            <w:hideMark/>
          </w:tcPr>
          <w:p w14:paraId="6143B54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14:paraId="7D8F1CA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3.36</w:t>
            </w:r>
          </w:p>
        </w:tc>
        <w:tc>
          <w:tcPr>
            <w:tcW w:w="851" w:type="dxa"/>
            <w:tcBorders>
              <w:top w:val="single" w:sz="4" w:space="0" w:color="auto"/>
              <w:left w:val="single" w:sz="4" w:space="0" w:color="auto"/>
              <w:bottom w:val="single" w:sz="4" w:space="0" w:color="auto"/>
              <w:right w:val="single" w:sz="4" w:space="0" w:color="auto"/>
            </w:tcBorders>
            <w:hideMark/>
          </w:tcPr>
          <w:p w14:paraId="764ABF5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0.60</w:t>
            </w:r>
          </w:p>
        </w:tc>
      </w:tr>
      <w:tr w:rsidR="00427C3F" w:rsidRPr="00124940" w14:paraId="7A5A8133"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4EB02D82"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I know how and where to get EIRs to meet my needs.</w:t>
            </w:r>
          </w:p>
        </w:tc>
        <w:tc>
          <w:tcPr>
            <w:tcW w:w="1093" w:type="dxa"/>
            <w:tcBorders>
              <w:top w:val="single" w:sz="4" w:space="0" w:color="auto"/>
              <w:left w:val="single" w:sz="4" w:space="0" w:color="auto"/>
              <w:bottom w:val="single" w:sz="4" w:space="0" w:color="auto"/>
              <w:right w:val="single" w:sz="4" w:space="0" w:color="auto"/>
            </w:tcBorders>
            <w:hideMark/>
          </w:tcPr>
          <w:p w14:paraId="57CEA30D"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66 (21.9%)</w:t>
            </w:r>
          </w:p>
        </w:tc>
        <w:tc>
          <w:tcPr>
            <w:tcW w:w="949" w:type="dxa"/>
            <w:tcBorders>
              <w:top w:val="single" w:sz="4" w:space="0" w:color="auto"/>
              <w:left w:val="single" w:sz="4" w:space="0" w:color="auto"/>
              <w:bottom w:val="single" w:sz="4" w:space="0" w:color="auto"/>
              <w:right w:val="single" w:sz="4" w:space="0" w:color="auto"/>
            </w:tcBorders>
            <w:hideMark/>
          </w:tcPr>
          <w:p w14:paraId="2D5206D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221 (73.4%)</w:t>
            </w:r>
          </w:p>
        </w:tc>
        <w:tc>
          <w:tcPr>
            <w:tcW w:w="931" w:type="dxa"/>
            <w:tcBorders>
              <w:top w:val="single" w:sz="4" w:space="0" w:color="auto"/>
              <w:left w:val="single" w:sz="4" w:space="0" w:color="auto"/>
              <w:bottom w:val="single" w:sz="4" w:space="0" w:color="auto"/>
              <w:right w:val="single" w:sz="4" w:space="0" w:color="auto"/>
            </w:tcBorders>
            <w:hideMark/>
          </w:tcPr>
          <w:p w14:paraId="3EDDF74B"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9 (3.0%)</w:t>
            </w:r>
          </w:p>
        </w:tc>
        <w:tc>
          <w:tcPr>
            <w:tcW w:w="974" w:type="dxa"/>
            <w:tcBorders>
              <w:top w:val="single" w:sz="4" w:space="0" w:color="auto"/>
              <w:left w:val="single" w:sz="4" w:space="0" w:color="auto"/>
              <w:bottom w:val="single" w:sz="4" w:space="0" w:color="auto"/>
              <w:right w:val="single" w:sz="4" w:space="0" w:color="auto"/>
            </w:tcBorders>
            <w:hideMark/>
          </w:tcPr>
          <w:p w14:paraId="6464DC2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5 (1.7%)</w:t>
            </w:r>
          </w:p>
        </w:tc>
        <w:tc>
          <w:tcPr>
            <w:tcW w:w="850" w:type="dxa"/>
            <w:tcBorders>
              <w:top w:val="single" w:sz="4" w:space="0" w:color="auto"/>
              <w:left w:val="single" w:sz="4" w:space="0" w:color="auto"/>
              <w:bottom w:val="single" w:sz="4" w:space="0" w:color="auto"/>
              <w:right w:val="single" w:sz="4" w:space="0" w:color="auto"/>
            </w:tcBorders>
            <w:hideMark/>
          </w:tcPr>
          <w:p w14:paraId="0C5D9656"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3.16</w:t>
            </w:r>
          </w:p>
        </w:tc>
        <w:tc>
          <w:tcPr>
            <w:tcW w:w="851" w:type="dxa"/>
            <w:tcBorders>
              <w:top w:val="single" w:sz="4" w:space="0" w:color="auto"/>
              <w:left w:val="single" w:sz="4" w:space="0" w:color="auto"/>
              <w:bottom w:val="single" w:sz="4" w:space="0" w:color="auto"/>
              <w:right w:val="single" w:sz="4" w:space="0" w:color="auto"/>
            </w:tcBorders>
            <w:hideMark/>
          </w:tcPr>
          <w:p w14:paraId="7D5D2B7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0.54</w:t>
            </w:r>
          </w:p>
        </w:tc>
      </w:tr>
      <w:tr w:rsidR="00427C3F" w:rsidRPr="00124940" w14:paraId="00D65867"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7D1B684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b/>
                <w:bCs/>
              </w:rPr>
              <w:t>Behavioural intention</w:t>
            </w:r>
          </w:p>
        </w:tc>
        <w:tc>
          <w:tcPr>
            <w:tcW w:w="1093" w:type="dxa"/>
            <w:tcBorders>
              <w:top w:val="single" w:sz="4" w:space="0" w:color="auto"/>
              <w:left w:val="single" w:sz="4" w:space="0" w:color="auto"/>
              <w:bottom w:val="single" w:sz="4" w:space="0" w:color="auto"/>
              <w:right w:val="single" w:sz="4" w:space="0" w:color="auto"/>
            </w:tcBorders>
            <w:hideMark/>
          </w:tcPr>
          <w:p w14:paraId="1F7B60A7" w14:textId="77777777" w:rsidR="00427C3F" w:rsidRPr="00124940" w:rsidRDefault="00427C3F" w:rsidP="00E762C3">
            <w:pPr>
              <w:spacing w:line="256" w:lineRule="auto"/>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5B37B4D1" w14:textId="77777777" w:rsidR="00427C3F" w:rsidRPr="00124940" w:rsidRDefault="00427C3F" w:rsidP="00E762C3">
            <w:pPr>
              <w:rPr>
                <w:sz w:val="20"/>
                <w:szCs w:val="20"/>
                <w:lang w:val="en-US"/>
              </w:rPr>
            </w:pPr>
          </w:p>
        </w:tc>
        <w:tc>
          <w:tcPr>
            <w:tcW w:w="931" w:type="dxa"/>
            <w:tcBorders>
              <w:top w:val="single" w:sz="4" w:space="0" w:color="auto"/>
              <w:left w:val="single" w:sz="4" w:space="0" w:color="auto"/>
              <w:bottom w:val="single" w:sz="4" w:space="0" w:color="auto"/>
              <w:right w:val="single" w:sz="4" w:space="0" w:color="auto"/>
            </w:tcBorders>
            <w:hideMark/>
          </w:tcPr>
          <w:p w14:paraId="0320A114" w14:textId="77777777" w:rsidR="00427C3F" w:rsidRPr="00124940" w:rsidRDefault="00427C3F" w:rsidP="00E762C3">
            <w:pPr>
              <w:rPr>
                <w:sz w:val="20"/>
                <w:szCs w:val="20"/>
                <w:lang w:val="en-US"/>
              </w:rPr>
            </w:pPr>
          </w:p>
        </w:tc>
        <w:tc>
          <w:tcPr>
            <w:tcW w:w="974" w:type="dxa"/>
            <w:tcBorders>
              <w:top w:val="single" w:sz="4" w:space="0" w:color="auto"/>
              <w:left w:val="single" w:sz="4" w:space="0" w:color="auto"/>
              <w:bottom w:val="single" w:sz="4" w:space="0" w:color="auto"/>
              <w:right w:val="single" w:sz="4" w:space="0" w:color="auto"/>
            </w:tcBorders>
            <w:hideMark/>
          </w:tcPr>
          <w:p w14:paraId="15D02601" w14:textId="77777777" w:rsidR="00427C3F" w:rsidRPr="00124940" w:rsidRDefault="00427C3F" w:rsidP="00E762C3">
            <w:pPr>
              <w:rPr>
                <w:sz w:val="20"/>
                <w:szCs w:val="20"/>
                <w:lang w:val="en-US"/>
              </w:rPr>
            </w:pPr>
          </w:p>
        </w:tc>
        <w:tc>
          <w:tcPr>
            <w:tcW w:w="850" w:type="dxa"/>
            <w:tcBorders>
              <w:top w:val="single" w:sz="4" w:space="0" w:color="auto"/>
              <w:left w:val="single" w:sz="4" w:space="0" w:color="auto"/>
              <w:bottom w:val="single" w:sz="4" w:space="0" w:color="auto"/>
              <w:right w:val="single" w:sz="4" w:space="0" w:color="auto"/>
            </w:tcBorders>
            <w:hideMark/>
          </w:tcPr>
          <w:p w14:paraId="6D4EAE82"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3.05</w:t>
            </w:r>
          </w:p>
        </w:tc>
        <w:tc>
          <w:tcPr>
            <w:tcW w:w="851" w:type="dxa"/>
            <w:tcBorders>
              <w:top w:val="single" w:sz="4" w:space="0" w:color="auto"/>
              <w:left w:val="single" w:sz="4" w:space="0" w:color="auto"/>
              <w:bottom w:val="single" w:sz="4" w:space="0" w:color="auto"/>
              <w:right w:val="single" w:sz="4" w:space="0" w:color="auto"/>
            </w:tcBorders>
            <w:hideMark/>
          </w:tcPr>
          <w:p w14:paraId="7E89A044"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0.38</w:t>
            </w:r>
          </w:p>
        </w:tc>
      </w:tr>
      <w:tr w:rsidR="00427C3F" w:rsidRPr="00124940" w14:paraId="1636D3BA"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3A0A191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I have developed strategies of incorporating EIRs into my learning and study routine</w:t>
            </w:r>
          </w:p>
        </w:tc>
        <w:tc>
          <w:tcPr>
            <w:tcW w:w="1093" w:type="dxa"/>
            <w:tcBorders>
              <w:top w:val="single" w:sz="4" w:space="0" w:color="auto"/>
              <w:left w:val="single" w:sz="4" w:space="0" w:color="auto"/>
              <w:bottom w:val="single" w:sz="4" w:space="0" w:color="auto"/>
              <w:right w:val="single" w:sz="4" w:space="0" w:color="auto"/>
            </w:tcBorders>
            <w:hideMark/>
          </w:tcPr>
          <w:p w14:paraId="307197F8"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121 (40.2%)</w:t>
            </w:r>
          </w:p>
        </w:tc>
        <w:tc>
          <w:tcPr>
            <w:tcW w:w="949" w:type="dxa"/>
            <w:tcBorders>
              <w:top w:val="single" w:sz="4" w:space="0" w:color="auto"/>
              <w:left w:val="single" w:sz="4" w:space="0" w:color="auto"/>
              <w:bottom w:val="single" w:sz="4" w:space="0" w:color="auto"/>
              <w:right w:val="single" w:sz="4" w:space="0" w:color="auto"/>
            </w:tcBorders>
            <w:hideMark/>
          </w:tcPr>
          <w:p w14:paraId="10DFD9C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156 (51.8%)</w:t>
            </w:r>
          </w:p>
        </w:tc>
        <w:tc>
          <w:tcPr>
            <w:tcW w:w="931" w:type="dxa"/>
            <w:tcBorders>
              <w:top w:val="single" w:sz="4" w:space="0" w:color="auto"/>
              <w:left w:val="single" w:sz="4" w:space="0" w:color="auto"/>
              <w:bottom w:val="single" w:sz="4" w:space="0" w:color="auto"/>
              <w:right w:val="single" w:sz="4" w:space="0" w:color="auto"/>
            </w:tcBorders>
            <w:hideMark/>
          </w:tcPr>
          <w:p w14:paraId="76B1F16B"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15 (5.0%)</w:t>
            </w:r>
          </w:p>
        </w:tc>
        <w:tc>
          <w:tcPr>
            <w:tcW w:w="974" w:type="dxa"/>
            <w:tcBorders>
              <w:top w:val="single" w:sz="4" w:space="0" w:color="auto"/>
              <w:left w:val="single" w:sz="4" w:space="0" w:color="auto"/>
              <w:bottom w:val="single" w:sz="4" w:space="0" w:color="auto"/>
              <w:right w:val="single" w:sz="4" w:space="0" w:color="auto"/>
            </w:tcBorders>
            <w:hideMark/>
          </w:tcPr>
          <w:p w14:paraId="23877F1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9 (3.0%)</w:t>
            </w:r>
          </w:p>
        </w:tc>
        <w:tc>
          <w:tcPr>
            <w:tcW w:w="850" w:type="dxa"/>
            <w:tcBorders>
              <w:top w:val="single" w:sz="4" w:space="0" w:color="auto"/>
              <w:left w:val="single" w:sz="4" w:space="0" w:color="auto"/>
              <w:bottom w:val="single" w:sz="4" w:space="0" w:color="auto"/>
              <w:right w:val="single" w:sz="4" w:space="0" w:color="auto"/>
            </w:tcBorders>
            <w:hideMark/>
          </w:tcPr>
          <w:p w14:paraId="2022B048"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3.29</w:t>
            </w:r>
          </w:p>
        </w:tc>
        <w:tc>
          <w:tcPr>
            <w:tcW w:w="851" w:type="dxa"/>
            <w:tcBorders>
              <w:top w:val="single" w:sz="4" w:space="0" w:color="auto"/>
              <w:left w:val="single" w:sz="4" w:space="0" w:color="auto"/>
              <w:bottom w:val="single" w:sz="4" w:space="0" w:color="auto"/>
              <w:right w:val="single" w:sz="4" w:space="0" w:color="auto"/>
            </w:tcBorders>
            <w:hideMark/>
          </w:tcPr>
          <w:p w14:paraId="6DD16C5B"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0.79</w:t>
            </w:r>
          </w:p>
        </w:tc>
      </w:tr>
      <w:tr w:rsidR="00427C3F" w:rsidRPr="00124940" w14:paraId="1166259F"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5065330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I prefer using EIRs to stay updated in the field of medicine</w:t>
            </w:r>
          </w:p>
        </w:tc>
        <w:tc>
          <w:tcPr>
            <w:tcW w:w="1093" w:type="dxa"/>
            <w:tcBorders>
              <w:top w:val="single" w:sz="4" w:space="0" w:color="auto"/>
              <w:left w:val="single" w:sz="4" w:space="0" w:color="auto"/>
              <w:bottom w:val="single" w:sz="4" w:space="0" w:color="auto"/>
              <w:right w:val="single" w:sz="4" w:space="0" w:color="auto"/>
            </w:tcBorders>
            <w:hideMark/>
          </w:tcPr>
          <w:p w14:paraId="55627C3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42 (14.0%)</w:t>
            </w:r>
          </w:p>
        </w:tc>
        <w:tc>
          <w:tcPr>
            <w:tcW w:w="949" w:type="dxa"/>
            <w:tcBorders>
              <w:top w:val="single" w:sz="4" w:space="0" w:color="auto"/>
              <w:left w:val="single" w:sz="4" w:space="0" w:color="auto"/>
              <w:bottom w:val="single" w:sz="4" w:space="0" w:color="auto"/>
              <w:right w:val="single" w:sz="4" w:space="0" w:color="auto"/>
            </w:tcBorders>
            <w:hideMark/>
          </w:tcPr>
          <w:p w14:paraId="3E431A9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241 (80.1%)</w:t>
            </w:r>
          </w:p>
        </w:tc>
        <w:tc>
          <w:tcPr>
            <w:tcW w:w="931" w:type="dxa"/>
            <w:tcBorders>
              <w:top w:val="single" w:sz="4" w:space="0" w:color="auto"/>
              <w:left w:val="single" w:sz="4" w:space="0" w:color="auto"/>
              <w:bottom w:val="single" w:sz="4" w:space="0" w:color="auto"/>
              <w:right w:val="single" w:sz="4" w:space="0" w:color="auto"/>
            </w:tcBorders>
            <w:hideMark/>
          </w:tcPr>
          <w:p w14:paraId="2F5F4AC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18 (6.0%)</w:t>
            </w:r>
          </w:p>
        </w:tc>
        <w:tc>
          <w:tcPr>
            <w:tcW w:w="974" w:type="dxa"/>
            <w:tcBorders>
              <w:top w:val="single" w:sz="4" w:space="0" w:color="auto"/>
              <w:left w:val="single" w:sz="4" w:space="0" w:color="auto"/>
              <w:bottom w:val="single" w:sz="4" w:space="0" w:color="auto"/>
              <w:right w:val="single" w:sz="4" w:space="0" w:color="auto"/>
            </w:tcBorders>
            <w:hideMark/>
          </w:tcPr>
          <w:p w14:paraId="75C471C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14:paraId="0C4EF0E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3.08</w:t>
            </w:r>
          </w:p>
        </w:tc>
        <w:tc>
          <w:tcPr>
            <w:tcW w:w="851" w:type="dxa"/>
            <w:tcBorders>
              <w:top w:val="single" w:sz="4" w:space="0" w:color="auto"/>
              <w:left w:val="single" w:sz="4" w:space="0" w:color="auto"/>
              <w:bottom w:val="single" w:sz="4" w:space="0" w:color="auto"/>
              <w:right w:val="single" w:sz="4" w:space="0" w:color="auto"/>
            </w:tcBorders>
            <w:hideMark/>
          </w:tcPr>
          <w:p w14:paraId="4B7CE4E6"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0.44</w:t>
            </w:r>
          </w:p>
        </w:tc>
      </w:tr>
      <w:tr w:rsidR="00427C3F" w:rsidRPr="00124940" w14:paraId="13093257"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16BE04FA"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I prefer utilizing EIRs regularly as my primary source of information</w:t>
            </w:r>
          </w:p>
        </w:tc>
        <w:tc>
          <w:tcPr>
            <w:tcW w:w="1093" w:type="dxa"/>
            <w:tcBorders>
              <w:top w:val="single" w:sz="4" w:space="0" w:color="auto"/>
              <w:left w:val="single" w:sz="4" w:space="0" w:color="auto"/>
              <w:bottom w:val="single" w:sz="4" w:space="0" w:color="auto"/>
              <w:right w:val="single" w:sz="4" w:space="0" w:color="auto"/>
            </w:tcBorders>
            <w:hideMark/>
          </w:tcPr>
          <w:p w14:paraId="12D1B7DA"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47 (15.6%)</w:t>
            </w:r>
          </w:p>
        </w:tc>
        <w:tc>
          <w:tcPr>
            <w:tcW w:w="949" w:type="dxa"/>
            <w:tcBorders>
              <w:top w:val="single" w:sz="4" w:space="0" w:color="auto"/>
              <w:left w:val="single" w:sz="4" w:space="0" w:color="auto"/>
              <w:bottom w:val="single" w:sz="4" w:space="0" w:color="auto"/>
              <w:right w:val="single" w:sz="4" w:space="0" w:color="auto"/>
            </w:tcBorders>
            <w:hideMark/>
          </w:tcPr>
          <w:p w14:paraId="1286CF2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158 (52.5%)</w:t>
            </w:r>
          </w:p>
        </w:tc>
        <w:tc>
          <w:tcPr>
            <w:tcW w:w="931" w:type="dxa"/>
            <w:tcBorders>
              <w:top w:val="single" w:sz="4" w:space="0" w:color="auto"/>
              <w:left w:val="single" w:sz="4" w:space="0" w:color="auto"/>
              <w:bottom w:val="single" w:sz="4" w:space="0" w:color="auto"/>
              <w:right w:val="single" w:sz="4" w:space="0" w:color="auto"/>
            </w:tcBorders>
            <w:hideMark/>
          </w:tcPr>
          <w:p w14:paraId="58C6FF4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77 (25.6%)</w:t>
            </w:r>
          </w:p>
        </w:tc>
        <w:tc>
          <w:tcPr>
            <w:tcW w:w="974" w:type="dxa"/>
            <w:tcBorders>
              <w:top w:val="single" w:sz="4" w:space="0" w:color="auto"/>
              <w:left w:val="single" w:sz="4" w:space="0" w:color="auto"/>
              <w:bottom w:val="single" w:sz="4" w:space="0" w:color="auto"/>
              <w:right w:val="single" w:sz="4" w:space="0" w:color="auto"/>
            </w:tcBorders>
            <w:hideMark/>
          </w:tcPr>
          <w:p w14:paraId="653B883A"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19 (6.3%)</w:t>
            </w:r>
          </w:p>
        </w:tc>
        <w:tc>
          <w:tcPr>
            <w:tcW w:w="850" w:type="dxa"/>
            <w:tcBorders>
              <w:top w:val="single" w:sz="4" w:space="0" w:color="auto"/>
              <w:left w:val="single" w:sz="4" w:space="0" w:color="auto"/>
              <w:bottom w:val="single" w:sz="4" w:space="0" w:color="auto"/>
              <w:right w:val="single" w:sz="4" w:space="0" w:color="auto"/>
            </w:tcBorders>
            <w:hideMark/>
          </w:tcPr>
          <w:p w14:paraId="37E5FF9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2.77</w:t>
            </w:r>
          </w:p>
        </w:tc>
        <w:tc>
          <w:tcPr>
            <w:tcW w:w="851" w:type="dxa"/>
            <w:tcBorders>
              <w:top w:val="single" w:sz="4" w:space="0" w:color="auto"/>
              <w:left w:val="single" w:sz="4" w:space="0" w:color="auto"/>
              <w:bottom w:val="single" w:sz="4" w:space="0" w:color="auto"/>
              <w:right w:val="single" w:sz="4" w:space="0" w:color="auto"/>
            </w:tcBorders>
            <w:hideMark/>
          </w:tcPr>
          <w:p w14:paraId="0D8A707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0.79</w:t>
            </w:r>
          </w:p>
        </w:tc>
      </w:tr>
      <w:tr w:rsidR="00427C3F" w:rsidRPr="00124940" w14:paraId="4FD698A5"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62DCF46B"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Relative advantage</w:t>
            </w:r>
          </w:p>
          <w:p w14:paraId="51998B48"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b/>
                <w:lang w:val="en-US"/>
              </w:rPr>
              <w:t>EIRs offer advantages such as….</w:t>
            </w:r>
          </w:p>
        </w:tc>
        <w:tc>
          <w:tcPr>
            <w:tcW w:w="1093" w:type="dxa"/>
            <w:tcBorders>
              <w:top w:val="single" w:sz="4" w:space="0" w:color="auto"/>
              <w:left w:val="single" w:sz="4" w:space="0" w:color="auto"/>
              <w:bottom w:val="single" w:sz="4" w:space="0" w:color="auto"/>
              <w:right w:val="single" w:sz="4" w:space="0" w:color="auto"/>
            </w:tcBorders>
            <w:hideMark/>
          </w:tcPr>
          <w:p w14:paraId="0A811DE7" w14:textId="77777777" w:rsidR="00427C3F" w:rsidRPr="00124940" w:rsidRDefault="00427C3F" w:rsidP="00E762C3">
            <w:pPr>
              <w:spacing w:line="256" w:lineRule="auto"/>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1664EB1B" w14:textId="77777777" w:rsidR="00427C3F" w:rsidRPr="00124940" w:rsidRDefault="00427C3F" w:rsidP="00E762C3">
            <w:pPr>
              <w:rPr>
                <w:sz w:val="20"/>
                <w:szCs w:val="20"/>
                <w:lang w:val="en-US"/>
              </w:rPr>
            </w:pPr>
          </w:p>
        </w:tc>
        <w:tc>
          <w:tcPr>
            <w:tcW w:w="931" w:type="dxa"/>
            <w:tcBorders>
              <w:top w:val="single" w:sz="4" w:space="0" w:color="auto"/>
              <w:left w:val="single" w:sz="4" w:space="0" w:color="auto"/>
              <w:bottom w:val="single" w:sz="4" w:space="0" w:color="auto"/>
              <w:right w:val="single" w:sz="4" w:space="0" w:color="auto"/>
            </w:tcBorders>
            <w:hideMark/>
          </w:tcPr>
          <w:p w14:paraId="389C2986" w14:textId="77777777" w:rsidR="00427C3F" w:rsidRPr="00124940" w:rsidRDefault="00427C3F" w:rsidP="00E762C3">
            <w:pPr>
              <w:rPr>
                <w:sz w:val="20"/>
                <w:szCs w:val="20"/>
                <w:lang w:val="en-US"/>
              </w:rPr>
            </w:pPr>
          </w:p>
        </w:tc>
        <w:tc>
          <w:tcPr>
            <w:tcW w:w="974" w:type="dxa"/>
            <w:tcBorders>
              <w:top w:val="single" w:sz="4" w:space="0" w:color="auto"/>
              <w:left w:val="single" w:sz="4" w:space="0" w:color="auto"/>
              <w:bottom w:val="single" w:sz="4" w:space="0" w:color="auto"/>
              <w:right w:val="single" w:sz="4" w:space="0" w:color="auto"/>
            </w:tcBorders>
            <w:hideMark/>
          </w:tcPr>
          <w:p w14:paraId="59F1D4CB" w14:textId="77777777" w:rsidR="00427C3F" w:rsidRPr="00124940" w:rsidRDefault="00427C3F" w:rsidP="00E762C3">
            <w:pPr>
              <w:rPr>
                <w:sz w:val="20"/>
                <w:szCs w:val="20"/>
                <w:lang w:val="en-US"/>
              </w:rPr>
            </w:pPr>
          </w:p>
        </w:tc>
        <w:tc>
          <w:tcPr>
            <w:tcW w:w="850" w:type="dxa"/>
            <w:tcBorders>
              <w:top w:val="single" w:sz="4" w:space="0" w:color="auto"/>
              <w:left w:val="single" w:sz="4" w:space="0" w:color="auto"/>
              <w:bottom w:val="single" w:sz="4" w:space="0" w:color="auto"/>
              <w:right w:val="single" w:sz="4" w:space="0" w:color="auto"/>
            </w:tcBorders>
            <w:hideMark/>
          </w:tcPr>
          <w:p w14:paraId="2D7D44CB"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2.96</w:t>
            </w:r>
          </w:p>
        </w:tc>
        <w:tc>
          <w:tcPr>
            <w:tcW w:w="851" w:type="dxa"/>
            <w:tcBorders>
              <w:top w:val="single" w:sz="4" w:space="0" w:color="auto"/>
              <w:left w:val="single" w:sz="4" w:space="0" w:color="auto"/>
              <w:bottom w:val="single" w:sz="4" w:space="0" w:color="auto"/>
              <w:right w:val="single" w:sz="4" w:space="0" w:color="auto"/>
            </w:tcBorders>
            <w:hideMark/>
          </w:tcPr>
          <w:p w14:paraId="39C4D971"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0.40</w:t>
            </w:r>
          </w:p>
        </w:tc>
      </w:tr>
      <w:tr w:rsidR="00427C3F" w:rsidRPr="00124940" w14:paraId="5F187E5A"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76AACE8D"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 xml:space="preserve">Providing diverse and comprehensive information resources </w:t>
            </w:r>
          </w:p>
        </w:tc>
        <w:tc>
          <w:tcPr>
            <w:tcW w:w="1093" w:type="dxa"/>
            <w:tcBorders>
              <w:top w:val="single" w:sz="4" w:space="0" w:color="auto"/>
              <w:left w:val="single" w:sz="4" w:space="0" w:color="auto"/>
              <w:bottom w:val="single" w:sz="4" w:space="0" w:color="auto"/>
              <w:right w:val="single" w:sz="4" w:space="0" w:color="auto"/>
            </w:tcBorders>
            <w:hideMark/>
          </w:tcPr>
          <w:p w14:paraId="11C2E48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53 (17.6%)</w:t>
            </w:r>
          </w:p>
        </w:tc>
        <w:tc>
          <w:tcPr>
            <w:tcW w:w="949" w:type="dxa"/>
            <w:tcBorders>
              <w:top w:val="single" w:sz="4" w:space="0" w:color="auto"/>
              <w:left w:val="single" w:sz="4" w:space="0" w:color="auto"/>
              <w:bottom w:val="single" w:sz="4" w:space="0" w:color="auto"/>
              <w:right w:val="single" w:sz="4" w:space="0" w:color="auto"/>
            </w:tcBorders>
            <w:hideMark/>
          </w:tcPr>
          <w:p w14:paraId="7CC682E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207 (68.8%)</w:t>
            </w:r>
          </w:p>
        </w:tc>
        <w:tc>
          <w:tcPr>
            <w:tcW w:w="931" w:type="dxa"/>
            <w:tcBorders>
              <w:top w:val="single" w:sz="4" w:space="0" w:color="auto"/>
              <w:left w:val="single" w:sz="4" w:space="0" w:color="auto"/>
              <w:bottom w:val="single" w:sz="4" w:space="0" w:color="auto"/>
              <w:right w:val="single" w:sz="4" w:space="0" w:color="auto"/>
            </w:tcBorders>
            <w:hideMark/>
          </w:tcPr>
          <w:p w14:paraId="6699EDE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32 (10.6%)</w:t>
            </w:r>
          </w:p>
        </w:tc>
        <w:tc>
          <w:tcPr>
            <w:tcW w:w="974" w:type="dxa"/>
            <w:tcBorders>
              <w:top w:val="single" w:sz="4" w:space="0" w:color="auto"/>
              <w:left w:val="single" w:sz="4" w:space="0" w:color="auto"/>
              <w:bottom w:val="single" w:sz="4" w:space="0" w:color="auto"/>
              <w:right w:val="single" w:sz="4" w:space="0" w:color="auto"/>
            </w:tcBorders>
            <w:hideMark/>
          </w:tcPr>
          <w:p w14:paraId="3A47AFA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9 (3.0%)</w:t>
            </w:r>
          </w:p>
        </w:tc>
        <w:tc>
          <w:tcPr>
            <w:tcW w:w="850" w:type="dxa"/>
            <w:tcBorders>
              <w:top w:val="single" w:sz="4" w:space="0" w:color="auto"/>
              <w:left w:val="single" w:sz="4" w:space="0" w:color="auto"/>
              <w:bottom w:val="single" w:sz="4" w:space="0" w:color="auto"/>
              <w:right w:val="single" w:sz="4" w:space="0" w:color="auto"/>
            </w:tcBorders>
            <w:hideMark/>
          </w:tcPr>
          <w:p w14:paraId="6B2B38A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3.01</w:t>
            </w:r>
          </w:p>
        </w:tc>
        <w:tc>
          <w:tcPr>
            <w:tcW w:w="851" w:type="dxa"/>
            <w:tcBorders>
              <w:top w:val="single" w:sz="4" w:space="0" w:color="auto"/>
              <w:left w:val="single" w:sz="4" w:space="0" w:color="auto"/>
              <w:bottom w:val="single" w:sz="4" w:space="0" w:color="auto"/>
              <w:right w:val="single" w:sz="4" w:space="0" w:color="auto"/>
            </w:tcBorders>
            <w:hideMark/>
          </w:tcPr>
          <w:p w14:paraId="7428DFA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0.64</w:t>
            </w:r>
          </w:p>
        </w:tc>
      </w:tr>
      <w:tr w:rsidR="00427C3F" w:rsidRPr="00124940" w14:paraId="64056309"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49B4329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Providing evidence-based resources for medical students</w:t>
            </w:r>
          </w:p>
        </w:tc>
        <w:tc>
          <w:tcPr>
            <w:tcW w:w="1093" w:type="dxa"/>
            <w:tcBorders>
              <w:top w:val="single" w:sz="4" w:space="0" w:color="auto"/>
              <w:left w:val="single" w:sz="4" w:space="0" w:color="auto"/>
              <w:bottom w:val="single" w:sz="4" w:space="0" w:color="auto"/>
              <w:right w:val="single" w:sz="4" w:space="0" w:color="auto"/>
            </w:tcBorders>
            <w:hideMark/>
          </w:tcPr>
          <w:p w14:paraId="21049F6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53 (17.6%)</w:t>
            </w:r>
          </w:p>
        </w:tc>
        <w:tc>
          <w:tcPr>
            <w:tcW w:w="949" w:type="dxa"/>
            <w:tcBorders>
              <w:top w:val="single" w:sz="4" w:space="0" w:color="auto"/>
              <w:left w:val="single" w:sz="4" w:space="0" w:color="auto"/>
              <w:bottom w:val="single" w:sz="4" w:space="0" w:color="auto"/>
              <w:right w:val="single" w:sz="4" w:space="0" w:color="auto"/>
            </w:tcBorders>
            <w:hideMark/>
          </w:tcPr>
          <w:p w14:paraId="4964B54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196 (65.1%)</w:t>
            </w:r>
          </w:p>
        </w:tc>
        <w:tc>
          <w:tcPr>
            <w:tcW w:w="931" w:type="dxa"/>
            <w:tcBorders>
              <w:top w:val="single" w:sz="4" w:space="0" w:color="auto"/>
              <w:left w:val="single" w:sz="4" w:space="0" w:color="auto"/>
              <w:bottom w:val="single" w:sz="4" w:space="0" w:color="auto"/>
              <w:right w:val="single" w:sz="4" w:space="0" w:color="auto"/>
            </w:tcBorders>
            <w:hideMark/>
          </w:tcPr>
          <w:p w14:paraId="378BEDE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38 (12.6%)</w:t>
            </w:r>
          </w:p>
        </w:tc>
        <w:tc>
          <w:tcPr>
            <w:tcW w:w="974" w:type="dxa"/>
            <w:tcBorders>
              <w:top w:val="single" w:sz="4" w:space="0" w:color="auto"/>
              <w:left w:val="single" w:sz="4" w:space="0" w:color="auto"/>
              <w:bottom w:val="single" w:sz="4" w:space="0" w:color="auto"/>
              <w:right w:val="single" w:sz="4" w:space="0" w:color="auto"/>
            </w:tcBorders>
            <w:hideMark/>
          </w:tcPr>
          <w:p w14:paraId="0E32100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14 (4.7%)</w:t>
            </w:r>
          </w:p>
        </w:tc>
        <w:tc>
          <w:tcPr>
            <w:tcW w:w="850" w:type="dxa"/>
            <w:tcBorders>
              <w:top w:val="single" w:sz="4" w:space="0" w:color="auto"/>
              <w:left w:val="single" w:sz="4" w:space="0" w:color="auto"/>
              <w:bottom w:val="single" w:sz="4" w:space="0" w:color="auto"/>
              <w:right w:val="single" w:sz="4" w:space="0" w:color="auto"/>
            </w:tcBorders>
            <w:hideMark/>
          </w:tcPr>
          <w:p w14:paraId="319DD25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2.96</w:t>
            </w:r>
          </w:p>
        </w:tc>
        <w:tc>
          <w:tcPr>
            <w:tcW w:w="851" w:type="dxa"/>
            <w:tcBorders>
              <w:top w:val="single" w:sz="4" w:space="0" w:color="auto"/>
              <w:left w:val="single" w:sz="4" w:space="0" w:color="auto"/>
              <w:bottom w:val="single" w:sz="4" w:space="0" w:color="auto"/>
              <w:right w:val="single" w:sz="4" w:space="0" w:color="auto"/>
            </w:tcBorders>
            <w:hideMark/>
          </w:tcPr>
          <w:p w14:paraId="0E9ACF0A"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0.70</w:t>
            </w:r>
          </w:p>
        </w:tc>
      </w:tr>
      <w:tr w:rsidR="00427C3F" w:rsidRPr="00124940" w14:paraId="6A5FF5E4"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3DB53726"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Timely access to information compared to traditional resources</w:t>
            </w:r>
          </w:p>
        </w:tc>
        <w:tc>
          <w:tcPr>
            <w:tcW w:w="1093" w:type="dxa"/>
            <w:tcBorders>
              <w:top w:val="single" w:sz="4" w:space="0" w:color="auto"/>
              <w:left w:val="single" w:sz="4" w:space="0" w:color="auto"/>
              <w:bottom w:val="single" w:sz="4" w:space="0" w:color="auto"/>
              <w:right w:val="single" w:sz="4" w:space="0" w:color="auto"/>
            </w:tcBorders>
            <w:hideMark/>
          </w:tcPr>
          <w:p w14:paraId="6C116F5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28 (9.3%)</w:t>
            </w:r>
          </w:p>
        </w:tc>
        <w:tc>
          <w:tcPr>
            <w:tcW w:w="949" w:type="dxa"/>
            <w:tcBorders>
              <w:top w:val="single" w:sz="4" w:space="0" w:color="auto"/>
              <w:left w:val="single" w:sz="4" w:space="0" w:color="auto"/>
              <w:bottom w:val="single" w:sz="4" w:space="0" w:color="auto"/>
              <w:right w:val="single" w:sz="4" w:space="0" w:color="auto"/>
            </w:tcBorders>
            <w:hideMark/>
          </w:tcPr>
          <w:p w14:paraId="73E941D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221 (73.4%)</w:t>
            </w:r>
          </w:p>
        </w:tc>
        <w:tc>
          <w:tcPr>
            <w:tcW w:w="931" w:type="dxa"/>
            <w:tcBorders>
              <w:top w:val="single" w:sz="4" w:space="0" w:color="auto"/>
              <w:left w:val="single" w:sz="4" w:space="0" w:color="auto"/>
              <w:bottom w:val="single" w:sz="4" w:space="0" w:color="auto"/>
              <w:right w:val="single" w:sz="4" w:space="0" w:color="auto"/>
            </w:tcBorders>
            <w:hideMark/>
          </w:tcPr>
          <w:p w14:paraId="568F718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52 (17.3%)</w:t>
            </w:r>
          </w:p>
        </w:tc>
        <w:tc>
          <w:tcPr>
            <w:tcW w:w="974" w:type="dxa"/>
            <w:tcBorders>
              <w:top w:val="single" w:sz="4" w:space="0" w:color="auto"/>
              <w:left w:val="single" w:sz="4" w:space="0" w:color="auto"/>
              <w:bottom w:val="single" w:sz="4" w:space="0" w:color="auto"/>
              <w:right w:val="single" w:sz="4" w:space="0" w:color="auto"/>
            </w:tcBorders>
            <w:hideMark/>
          </w:tcPr>
          <w:p w14:paraId="580235B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14:paraId="67D34468"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2.92</w:t>
            </w:r>
          </w:p>
        </w:tc>
        <w:tc>
          <w:tcPr>
            <w:tcW w:w="851" w:type="dxa"/>
            <w:tcBorders>
              <w:top w:val="single" w:sz="4" w:space="0" w:color="auto"/>
              <w:left w:val="single" w:sz="4" w:space="0" w:color="auto"/>
              <w:bottom w:val="single" w:sz="4" w:space="0" w:color="auto"/>
              <w:right w:val="single" w:sz="4" w:space="0" w:color="auto"/>
            </w:tcBorders>
            <w:hideMark/>
          </w:tcPr>
          <w:p w14:paraId="2EF439F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0.51</w:t>
            </w:r>
          </w:p>
        </w:tc>
      </w:tr>
      <w:tr w:rsidR="00427C3F" w:rsidRPr="00124940" w14:paraId="357FAA49"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7E692B21"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Accessibility of Resources</w:t>
            </w:r>
          </w:p>
          <w:p w14:paraId="23A88222"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b/>
                <w:bCs/>
                <w:lang w:val="en-US"/>
              </w:rPr>
              <w:t>I can easily …</w:t>
            </w:r>
          </w:p>
        </w:tc>
        <w:tc>
          <w:tcPr>
            <w:tcW w:w="1093" w:type="dxa"/>
            <w:tcBorders>
              <w:top w:val="single" w:sz="4" w:space="0" w:color="auto"/>
              <w:left w:val="single" w:sz="4" w:space="0" w:color="auto"/>
              <w:bottom w:val="single" w:sz="4" w:space="0" w:color="auto"/>
              <w:right w:val="single" w:sz="4" w:space="0" w:color="auto"/>
            </w:tcBorders>
            <w:hideMark/>
          </w:tcPr>
          <w:p w14:paraId="1295109F" w14:textId="77777777" w:rsidR="00427C3F" w:rsidRPr="00124940" w:rsidRDefault="00427C3F" w:rsidP="00E762C3">
            <w:pPr>
              <w:spacing w:line="256" w:lineRule="auto"/>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7BAB5510" w14:textId="77777777" w:rsidR="00427C3F" w:rsidRPr="00124940" w:rsidRDefault="00427C3F" w:rsidP="00E762C3">
            <w:pPr>
              <w:rPr>
                <w:sz w:val="20"/>
                <w:szCs w:val="20"/>
                <w:lang w:val="en-US"/>
              </w:rPr>
            </w:pPr>
          </w:p>
        </w:tc>
        <w:tc>
          <w:tcPr>
            <w:tcW w:w="931" w:type="dxa"/>
            <w:tcBorders>
              <w:top w:val="single" w:sz="4" w:space="0" w:color="auto"/>
              <w:left w:val="single" w:sz="4" w:space="0" w:color="auto"/>
              <w:bottom w:val="single" w:sz="4" w:space="0" w:color="auto"/>
              <w:right w:val="single" w:sz="4" w:space="0" w:color="auto"/>
            </w:tcBorders>
            <w:hideMark/>
          </w:tcPr>
          <w:p w14:paraId="76EB3494" w14:textId="77777777" w:rsidR="00427C3F" w:rsidRPr="00124940" w:rsidRDefault="00427C3F" w:rsidP="00E762C3">
            <w:pPr>
              <w:rPr>
                <w:sz w:val="20"/>
                <w:szCs w:val="20"/>
                <w:lang w:val="en-US"/>
              </w:rPr>
            </w:pPr>
          </w:p>
        </w:tc>
        <w:tc>
          <w:tcPr>
            <w:tcW w:w="974" w:type="dxa"/>
            <w:tcBorders>
              <w:top w:val="single" w:sz="4" w:space="0" w:color="auto"/>
              <w:left w:val="single" w:sz="4" w:space="0" w:color="auto"/>
              <w:bottom w:val="single" w:sz="4" w:space="0" w:color="auto"/>
              <w:right w:val="single" w:sz="4" w:space="0" w:color="auto"/>
            </w:tcBorders>
            <w:hideMark/>
          </w:tcPr>
          <w:p w14:paraId="384D1604" w14:textId="77777777" w:rsidR="00427C3F" w:rsidRPr="00124940" w:rsidRDefault="00427C3F" w:rsidP="00E762C3">
            <w:pPr>
              <w:rPr>
                <w:sz w:val="20"/>
                <w:szCs w:val="20"/>
                <w:lang w:val="en-US"/>
              </w:rPr>
            </w:pPr>
          </w:p>
        </w:tc>
        <w:tc>
          <w:tcPr>
            <w:tcW w:w="850" w:type="dxa"/>
            <w:tcBorders>
              <w:top w:val="single" w:sz="4" w:space="0" w:color="auto"/>
              <w:left w:val="single" w:sz="4" w:space="0" w:color="auto"/>
              <w:bottom w:val="single" w:sz="4" w:space="0" w:color="auto"/>
              <w:right w:val="single" w:sz="4" w:space="0" w:color="auto"/>
            </w:tcBorders>
            <w:hideMark/>
          </w:tcPr>
          <w:p w14:paraId="005261DC"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2.92</w:t>
            </w:r>
          </w:p>
        </w:tc>
        <w:tc>
          <w:tcPr>
            <w:tcW w:w="851" w:type="dxa"/>
            <w:tcBorders>
              <w:top w:val="single" w:sz="4" w:space="0" w:color="auto"/>
              <w:left w:val="single" w:sz="4" w:space="0" w:color="auto"/>
              <w:bottom w:val="single" w:sz="4" w:space="0" w:color="auto"/>
              <w:right w:val="single" w:sz="4" w:space="0" w:color="auto"/>
            </w:tcBorders>
            <w:hideMark/>
          </w:tcPr>
          <w:p w14:paraId="7380F68E"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0.73</w:t>
            </w:r>
          </w:p>
        </w:tc>
      </w:tr>
      <w:tr w:rsidR="00427C3F" w:rsidRPr="00124940" w14:paraId="3DD2384E"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7DB48EC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Identify different EIRs required to contribute to the undergraduates academic success.</w:t>
            </w:r>
          </w:p>
        </w:tc>
        <w:tc>
          <w:tcPr>
            <w:tcW w:w="1093" w:type="dxa"/>
            <w:tcBorders>
              <w:top w:val="single" w:sz="4" w:space="0" w:color="auto"/>
              <w:left w:val="single" w:sz="4" w:space="0" w:color="auto"/>
              <w:bottom w:val="single" w:sz="4" w:space="0" w:color="auto"/>
              <w:right w:val="single" w:sz="4" w:space="0" w:color="auto"/>
            </w:tcBorders>
            <w:hideMark/>
          </w:tcPr>
          <w:p w14:paraId="12D572F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76 (25.2%)</w:t>
            </w:r>
          </w:p>
        </w:tc>
        <w:tc>
          <w:tcPr>
            <w:tcW w:w="949" w:type="dxa"/>
            <w:tcBorders>
              <w:top w:val="single" w:sz="4" w:space="0" w:color="auto"/>
              <w:left w:val="single" w:sz="4" w:space="0" w:color="auto"/>
              <w:bottom w:val="single" w:sz="4" w:space="0" w:color="auto"/>
              <w:right w:val="single" w:sz="4" w:space="0" w:color="auto"/>
            </w:tcBorders>
            <w:hideMark/>
          </w:tcPr>
          <w:p w14:paraId="21A7E9C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135 (44.9%)</w:t>
            </w:r>
          </w:p>
        </w:tc>
        <w:tc>
          <w:tcPr>
            <w:tcW w:w="931" w:type="dxa"/>
            <w:tcBorders>
              <w:top w:val="single" w:sz="4" w:space="0" w:color="auto"/>
              <w:left w:val="single" w:sz="4" w:space="0" w:color="auto"/>
              <w:bottom w:val="single" w:sz="4" w:space="0" w:color="auto"/>
              <w:right w:val="single" w:sz="4" w:space="0" w:color="auto"/>
            </w:tcBorders>
            <w:hideMark/>
          </w:tcPr>
          <w:p w14:paraId="41BF9FA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81 (26.9%)</w:t>
            </w:r>
          </w:p>
        </w:tc>
        <w:tc>
          <w:tcPr>
            <w:tcW w:w="974" w:type="dxa"/>
            <w:tcBorders>
              <w:top w:val="single" w:sz="4" w:space="0" w:color="auto"/>
              <w:left w:val="single" w:sz="4" w:space="0" w:color="auto"/>
              <w:bottom w:val="single" w:sz="4" w:space="0" w:color="auto"/>
              <w:right w:val="single" w:sz="4" w:space="0" w:color="auto"/>
            </w:tcBorders>
            <w:hideMark/>
          </w:tcPr>
          <w:p w14:paraId="6F5BA96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9 (3.0%)</w:t>
            </w:r>
          </w:p>
        </w:tc>
        <w:tc>
          <w:tcPr>
            <w:tcW w:w="850" w:type="dxa"/>
            <w:tcBorders>
              <w:top w:val="single" w:sz="4" w:space="0" w:color="auto"/>
              <w:left w:val="single" w:sz="4" w:space="0" w:color="auto"/>
              <w:bottom w:val="single" w:sz="4" w:space="0" w:color="auto"/>
              <w:right w:val="single" w:sz="4" w:space="0" w:color="auto"/>
            </w:tcBorders>
            <w:hideMark/>
          </w:tcPr>
          <w:p w14:paraId="2A7E739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2.92</w:t>
            </w:r>
          </w:p>
        </w:tc>
        <w:tc>
          <w:tcPr>
            <w:tcW w:w="851" w:type="dxa"/>
            <w:tcBorders>
              <w:top w:val="single" w:sz="4" w:space="0" w:color="auto"/>
              <w:left w:val="single" w:sz="4" w:space="0" w:color="auto"/>
              <w:bottom w:val="single" w:sz="4" w:space="0" w:color="auto"/>
              <w:right w:val="single" w:sz="4" w:space="0" w:color="auto"/>
            </w:tcBorders>
            <w:hideMark/>
          </w:tcPr>
          <w:p w14:paraId="502530E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0.80</w:t>
            </w:r>
          </w:p>
        </w:tc>
      </w:tr>
      <w:tr w:rsidR="00427C3F" w:rsidRPr="00124940" w14:paraId="3E033865"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44C6E42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Access varieties of EIRs for my medical career</w:t>
            </w:r>
          </w:p>
        </w:tc>
        <w:tc>
          <w:tcPr>
            <w:tcW w:w="1093" w:type="dxa"/>
            <w:tcBorders>
              <w:top w:val="single" w:sz="4" w:space="0" w:color="auto"/>
              <w:left w:val="single" w:sz="4" w:space="0" w:color="auto"/>
              <w:bottom w:val="single" w:sz="4" w:space="0" w:color="auto"/>
              <w:right w:val="single" w:sz="4" w:space="0" w:color="auto"/>
            </w:tcBorders>
            <w:hideMark/>
          </w:tcPr>
          <w:p w14:paraId="1D2A66A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84 (27.9%)</w:t>
            </w:r>
          </w:p>
        </w:tc>
        <w:tc>
          <w:tcPr>
            <w:tcW w:w="949" w:type="dxa"/>
            <w:tcBorders>
              <w:top w:val="single" w:sz="4" w:space="0" w:color="auto"/>
              <w:left w:val="single" w:sz="4" w:space="0" w:color="auto"/>
              <w:bottom w:val="single" w:sz="4" w:space="0" w:color="auto"/>
              <w:right w:val="single" w:sz="4" w:space="0" w:color="auto"/>
            </w:tcBorders>
            <w:hideMark/>
          </w:tcPr>
          <w:p w14:paraId="7EB11C5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127 (42.2%)</w:t>
            </w:r>
          </w:p>
        </w:tc>
        <w:tc>
          <w:tcPr>
            <w:tcW w:w="931" w:type="dxa"/>
            <w:tcBorders>
              <w:top w:val="single" w:sz="4" w:space="0" w:color="auto"/>
              <w:left w:val="single" w:sz="4" w:space="0" w:color="auto"/>
              <w:bottom w:val="single" w:sz="4" w:space="0" w:color="auto"/>
              <w:right w:val="single" w:sz="4" w:space="0" w:color="auto"/>
            </w:tcBorders>
            <w:hideMark/>
          </w:tcPr>
          <w:p w14:paraId="6B99F3C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71 (23.6%)</w:t>
            </w:r>
          </w:p>
        </w:tc>
        <w:tc>
          <w:tcPr>
            <w:tcW w:w="974" w:type="dxa"/>
            <w:tcBorders>
              <w:top w:val="single" w:sz="4" w:space="0" w:color="auto"/>
              <w:left w:val="single" w:sz="4" w:space="0" w:color="auto"/>
              <w:bottom w:val="single" w:sz="4" w:space="0" w:color="auto"/>
              <w:right w:val="single" w:sz="4" w:space="0" w:color="auto"/>
            </w:tcBorders>
            <w:hideMark/>
          </w:tcPr>
          <w:p w14:paraId="0C28F02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19 (6.3%)</w:t>
            </w:r>
          </w:p>
        </w:tc>
        <w:tc>
          <w:tcPr>
            <w:tcW w:w="850" w:type="dxa"/>
            <w:tcBorders>
              <w:top w:val="single" w:sz="4" w:space="0" w:color="auto"/>
              <w:left w:val="single" w:sz="4" w:space="0" w:color="auto"/>
              <w:bottom w:val="single" w:sz="4" w:space="0" w:color="auto"/>
              <w:right w:val="single" w:sz="4" w:space="0" w:color="auto"/>
            </w:tcBorders>
            <w:hideMark/>
          </w:tcPr>
          <w:p w14:paraId="1992F00D"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2.92</w:t>
            </w:r>
          </w:p>
        </w:tc>
        <w:tc>
          <w:tcPr>
            <w:tcW w:w="851" w:type="dxa"/>
            <w:tcBorders>
              <w:top w:val="single" w:sz="4" w:space="0" w:color="auto"/>
              <w:left w:val="single" w:sz="4" w:space="0" w:color="auto"/>
              <w:bottom w:val="single" w:sz="4" w:space="0" w:color="auto"/>
              <w:right w:val="single" w:sz="4" w:space="0" w:color="auto"/>
            </w:tcBorders>
            <w:hideMark/>
          </w:tcPr>
          <w:p w14:paraId="350FE64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0.87</w:t>
            </w:r>
          </w:p>
        </w:tc>
      </w:tr>
      <w:tr w:rsidR="00427C3F" w:rsidRPr="00124940" w14:paraId="4F41754B"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1C975069"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Perceived usefulness</w:t>
            </w:r>
          </w:p>
          <w:p w14:paraId="73F49E3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b/>
                <w:bCs/>
                <w:lang w:val="en-US"/>
              </w:rPr>
              <w:t>I use EIR to …</w:t>
            </w:r>
          </w:p>
        </w:tc>
        <w:tc>
          <w:tcPr>
            <w:tcW w:w="1093" w:type="dxa"/>
            <w:tcBorders>
              <w:top w:val="single" w:sz="4" w:space="0" w:color="auto"/>
              <w:left w:val="single" w:sz="4" w:space="0" w:color="auto"/>
              <w:bottom w:val="single" w:sz="4" w:space="0" w:color="auto"/>
              <w:right w:val="single" w:sz="4" w:space="0" w:color="auto"/>
            </w:tcBorders>
            <w:hideMark/>
          </w:tcPr>
          <w:p w14:paraId="0A6593AC" w14:textId="77777777" w:rsidR="00427C3F" w:rsidRPr="00124940" w:rsidRDefault="00427C3F" w:rsidP="00E762C3">
            <w:pPr>
              <w:spacing w:line="256" w:lineRule="auto"/>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75DEE740" w14:textId="77777777" w:rsidR="00427C3F" w:rsidRPr="00124940" w:rsidRDefault="00427C3F" w:rsidP="00E762C3">
            <w:pPr>
              <w:rPr>
                <w:sz w:val="20"/>
                <w:szCs w:val="20"/>
                <w:lang w:val="en-US"/>
              </w:rPr>
            </w:pPr>
          </w:p>
        </w:tc>
        <w:tc>
          <w:tcPr>
            <w:tcW w:w="931" w:type="dxa"/>
            <w:tcBorders>
              <w:top w:val="single" w:sz="4" w:space="0" w:color="auto"/>
              <w:left w:val="single" w:sz="4" w:space="0" w:color="auto"/>
              <w:bottom w:val="single" w:sz="4" w:space="0" w:color="auto"/>
              <w:right w:val="single" w:sz="4" w:space="0" w:color="auto"/>
            </w:tcBorders>
            <w:hideMark/>
          </w:tcPr>
          <w:p w14:paraId="035A842E" w14:textId="77777777" w:rsidR="00427C3F" w:rsidRPr="00124940" w:rsidRDefault="00427C3F" w:rsidP="00E762C3">
            <w:pPr>
              <w:rPr>
                <w:sz w:val="20"/>
                <w:szCs w:val="20"/>
                <w:lang w:val="en-US"/>
              </w:rPr>
            </w:pPr>
          </w:p>
        </w:tc>
        <w:tc>
          <w:tcPr>
            <w:tcW w:w="974" w:type="dxa"/>
            <w:tcBorders>
              <w:top w:val="single" w:sz="4" w:space="0" w:color="auto"/>
              <w:left w:val="single" w:sz="4" w:space="0" w:color="auto"/>
              <w:bottom w:val="single" w:sz="4" w:space="0" w:color="auto"/>
              <w:right w:val="single" w:sz="4" w:space="0" w:color="auto"/>
            </w:tcBorders>
            <w:hideMark/>
          </w:tcPr>
          <w:p w14:paraId="428D8AFD" w14:textId="77777777" w:rsidR="00427C3F" w:rsidRPr="00124940" w:rsidRDefault="00427C3F" w:rsidP="00E762C3">
            <w:pPr>
              <w:rPr>
                <w:sz w:val="20"/>
                <w:szCs w:val="20"/>
                <w:lang w:val="en-US"/>
              </w:rPr>
            </w:pPr>
          </w:p>
        </w:tc>
        <w:tc>
          <w:tcPr>
            <w:tcW w:w="850" w:type="dxa"/>
            <w:tcBorders>
              <w:top w:val="single" w:sz="4" w:space="0" w:color="auto"/>
              <w:left w:val="single" w:sz="4" w:space="0" w:color="auto"/>
              <w:bottom w:val="single" w:sz="4" w:space="0" w:color="auto"/>
              <w:right w:val="single" w:sz="4" w:space="0" w:color="auto"/>
            </w:tcBorders>
            <w:hideMark/>
          </w:tcPr>
          <w:p w14:paraId="4B19E12E"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2.85</w:t>
            </w:r>
          </w:p>
        </w:tc>
        <w:tc>
          <w:tcPr>
            <w:tcW w:w="851" w:type="dxa"/>
            <w:tcBorders>
              <w:top w:val="single" w:sz="4" w:space="0" w:color="auto"/>
              <w:left w:val="single" w:sz="4" w:space="0" w:color="auto"/>
              <w:bottom w:val="single" w:sz="4" w:space="0" w:color="auto"/>
              <w:right w:val="single" w:sz="4" w:space="0" w:color="auto"/>
            </w:tcBorders>
            <w:hideMark/>
          </w:tcPr>
          <w:p w14:paraId="3AE07050"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0.68</w:t>
            </w:r>
          </w:p>
        </w:tc>
      </w:tr>
      <w:tr w:rsidR="00427C3F" w:rsidRPr="00124940" w14:paraId="121B9137"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1D3D9BF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Find current and evidence</w:t>
            </w:r>
            <w:r w:rsidR="0080751E">
              <w:rPr>
                <w:rFonts w:ascii="Times New Roman" w:hAnsi="Times New Roman" w:cs="Times New Roman"/>
                <w:lang w:val="en-US"/>
              </w:rPr>
              <w:t>-</w:t>
            </w:r>
            <w:r w:rsidRPr="00124940">
              <w:rPr>
                <w:rFonts w:ascii="Times New Roman" w:hAnsi="Times New Roman" w:cs="Times New Roman"/>
                <w:lang w:val="en-US"/>
              </w:rPr>
              <w:t>based resources for my medical courses</w:t>
            </w:r>
          </w:p>
        </w:tc>
        <w:tc>
          <w:tcPr>
            <w:tcW w:w="1093" w:type="dxa"/>
            <w:tcBorders>
              <w:top w:val="single" w:sz="4" w:space="0" w:color="auto"/>
              <w:left w:val="single" w:sz="4" w:space="0" w:color="auto"/>
              <w:bottom w:val="single" w:sz="4" w:space="0" w:color="auto"/>
              <w:right w:val="single" w:sz="4" w:space="0" w:color="auto"/>
            </w:tcBorders>
            <w:hideMark/>
          </w:tcPr>
          <w:p w14:paraId="5F95CEF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108 (35.9%)</w:t>
            </w:r>
          </w:p>
        </w:tc>
        <w:tc>
          <w:tcPr>
            <w:tcW w:w="949" w:type="dxa"/>
            <w:tcBorders>
              <w:top w:val="single" w:sz="4" w:space="0" w:color="auto"/>
              <w:left w:val="single" w:sz="4" w:space="0" w:color="auto"/>
              <w:bottom w:val="single" w:sz="4" w:space="0" w:color="auto"/>
              <w:right w:val="single" w:sz="4" w:space="0" w:color="auto"/>
            </w:tcBorders>
            <w:hideMark/>
          </w:tcPr>
          <w:p w14:paraId="1130B67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79 (26.2%)</w:t>
            </w:r>
          </w:p>
        </w:tc>
        <w:tc>
          <w:tcPr>
            <w:tcW w:w="931" w:type="dxa"/>
            <w:tcBorders>
              <w:top w:val="single" w:sz="4" w:space="0" w:color="auto"/>
              <w:left w:val="single" w:sz="4" w:space="0" w:color="auto"/>
              <w:bottom w:val="single" w:sz="4" w:space="0" w:color="auto"/>
              <w:right w:val="single" w:sz="4" w:space="0" w:color="auto"/>
            </w:tcBorders>
            <w:hideMark/>
          </w:tcPr>
          <w:p w14:paraId="14D4AE9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90 (29.9%)</w:t>
            </w:r>
          </w:p>
        </w:tc>
        <w:tc>
          <w:tcPr>
            <w:tcW w:w="974" w:type="dxa"/>
            <w:tcBorders>
              <w:top w:val="single" w:sz="4" w:space="0" w:color="auto"/>
              <w:left w:val="single" w:sz="4" w:space="0" w:color="auto"/>
              <w:bottom w:val="single" w:sz="4" w:space="0" w:color="auto"/>
              <w:right w:val="single" w:sz="4" w:space="0" w:color="auto"/>
            </w:tcBorders>
            <w:hideMark/>
          </w:tcPr>
          <w:p w14:paraId="3E3A11D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24 (8.0%)</w:t>
            </w:r>
          </w:p>
        </w:tc>
        <w:tc>
          <w:tcPr>
            <w:tcW w:w="850" w:type="dxa"/>
            <w:tcBorders>
              <w:top w:val="single" w:sz="4" w:space="0" w:color="auto"/>
              <w:left w:val="single" w:sz="4" w:space="0" w:color="auto"/>
              <w:bottom w:val="single" w:sz="4" w:space="0" w:color="auto"/>
              <w:right w:val="single" w:sz="4" w:space="0" w:color="auto"/>
            </w:tcBorders>
            <w:hideMark/>
          </w:tcPr>
          <w:p w14:paraId="54CB808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2.90</w:t>
            </w:r>
          </w:p>
        </w:tc>
        <w:tc>
          <w:tcPr>
            <w:tcW w:w="851" w:type="dxa"/>
            <w:tcBorders>
              <w:top w:val="single" w:sz="4" w:space="0" w:color="auto"/>
              <w:left w:val="single" w:sz="4" w:space="0" w:color="auto"/>
              <w:bottom w:val="single" w:sz="4" w:space="0" w:color="auto"/>
              <w:right w:val="single" w:sz="4" w:space="0" w:color="auto"/>
            </w:tcBorders>
            <w:hideMark/>
          </w:tcPr>
          <w:p w14:paraId="1E0DCA6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0.985</w:t>
            </w:r>
          </w:p>
        </w:tc>
      </w:tr>
      <w:tr w:rsidR="00427C3F" w:rsidRPr="00124940" w14:paraId="6AF10A77"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469EA7B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Get medical resources on relevant topics to do my assignments</w:t>
            </w:r>
          </w:p>
        </w:tc>
        <w:tc>
          <w:tcPr>
            <w:tcW w:w="1093" w:type="dxa"/>
            <w:tcBorders>
              <w:top w:val="single" w:sz="4" w:space="0" w:color="auto"/>
              <w:left w:val="single" w:sz="4" w:space="0" w:color="auto"/>
              <w:bottom w:val="single" w:sz="4" w:space="0" w:color="auto"/>
              <w:right w:val="single" w:sz="4" w:space="0" w:color="auto"/>
            </w:tcBorders>
            <w:hideMark/>
          </w:tcPr>
          <w:p w14:paraId="4F96302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43 (14.3%)</w:t>
            </w:r>
          </w:p>
        </w:tc>
        <w:tc>
          <w:tcPr>
            <w:tcW w:w="949" w:type="dxa"/>
            <w:tcBorders>
              <w:top w:val="single" w:sz="4" w:space="0" w:color="auto"/>
              <w:left w:val="single" w:sz="4" w:space="0" w:color="auto"/>
              <w:bottom w:val="single" w:sz="4" w:space="0" w:color="auto"/>
              <w:right w:val="single" w:sz="4" w:space="0" w:color="auto"/>
            </w:tcBorders>
            <w:hideMark/>
          </w:tcPr>
          <w:p w14:paraId="4FC1A22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192 (63.8%)</w:t>
            </w:r>
          </w:p>
        </w:tc>
        <w:tc>
          <w:tcPr>
            <w:tcW w:w="931" w:type="dxa"/>
            <w:tcBorders>
              <w:top w:val="single" w:sz="4" w:space="0" w:color="auto"/>
              <w:left w:val="single" w:sz="4" w:space="0" w:color="auto"/>
              <w:bottom w:val="single" w:sz="4" w:space="0" w:color="auto"/>
              <w:right w:val="single" w:sz="4" w:space="0" w:color="auto"/>
            </w:tcBorders>
            <w:hideMark/>
          </w:tcPr>
          <w:p w14:paraId="5277950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56 (18.6%)</w:t>
            </w:r>
          </w:p>
        </w:tc>
        <w:tc>
          <w:tcPr>
            <w:tcW w:w="974" w:type="dxa"/>
            <w:tcBorders>
              <w:top w:val="single" w:sz="4" w:space="0" w:color="auto"/>
              <w:left w:val="single" w:sz="4" w:space="0" w:color="auto"/>
              <w:bottom w:val="single" w:sz="4" w:space="0" w:color="auto"/>
              <w:right w:val="single" w:sz="4" w:space="0" w:color="auto"/>
            </w:tcBorders>
            <w:hideMark/>
          </w:tcPr>
          <w:p w14:paraId="509D10F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10 (3.3%)</w:t>
            </w:r>
          </w:p>
        </w:tc>
        <w:tc>
          <w:tcPr>
            <w:tcW w:w="850" w:type="dxa"/>
            <w:tcBorders>
              <w:top w:val="single" w:sz="4" w:space="0" w:color="auto"/>
              <w:left w:val="single" w:sz="4" w:space="0" w:color="auto"/>
              <w:bottom w:val="single" w:sz="4" w:space="0" w:color="auto"/>
              <w:right w:val="single" w:sz="4" w:space="0" w:color="auto"/>
            </w:tcBorders>
            <w:hideMark/>
          </w:tcPr>
          <w:p w14:paraId="34A0FBB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2.89</w:t>
            </w:r>
          </w:p>
        </w:tc>
        <w:tc>
          <w:tcPr>
            <w:tcW w:w="851" w:type="dxa"/>
            <w:tcBorders>
              <w:top w:val="single" w:sz="4" w:space="0" w:color="auto"/>
              <w:left w:val="single" w:sz="4" w:space="0" w:color="auto"/>
              <w:bottom w:val="single" w:sz="4" w:space="0" w:color="auto"/>
              <w:right w:val="single" w:sz="4" w:space="0" w:color="auto"/>
            </w:tcBorders>
            <w:hideMark/>
          </w:tcPr>
          <w:p w14:paraId="1EE5A4D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0.672</w:t>
            </w:r>
          </w:p>
        </w:tc>
      </w:tr>
      <w:tr w:rsidR="00427C3F" w:rsidRPr="00124940" w14:paraId="15447348"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3C2B72F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lastRenderedPageBreak/>
              <w:t>Improves my academic performance</w:t>
            </w:r>
          </w:p>
        </w:tc>
        <w:tc>
          <w:tcPr>
            <w:tcW w:w="1093" w:type="dxa"/>
            <w:tcBorders>
              <w:top w:val="single" w:sz="4" w:space="0" w:color="auto"/>
              <w:left w:val="single" w:sz="4" w:space="0" w:color="auto"/>
              <w:bottom w:val="single" w:sz="4" w:space="0" w:color="auto"/>
              <w:right w:val="single" w:sz="4" w:space="0" w:color="auto"/>
            </w:tcBorders>
            <w:hideMark/>
          </w:tcPr>
          <w:p w14:paraId="69E536D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81 (26.9%)</w:t>
            </w:r>
          </w:p>
        </w:tc>
        <w:tc>
          <w:tcPr>
            <w:tcW w:w="949" w:type="dxa"/>
            <w:tcBorders>
              <w:top w:val="single" w:sz="4" w:space="0" w:color="auto"/>
              <w:left w:val="single" w:sz="4" w:space="0" w:color="auto"/>
              <w:bottom w:val="single" w:sz="4" w:space="0" w:color="auto"/>
              <w:right w:val="single" w:sz="4" w:space="0" w:color="auto"/>
            </w:tcBorders>
            <w:hideMark/>
          </w:tcPr>
          <w:p w14:paraId="19755476"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102 (33.9%)</w:t>
            </w:r>
          </w:p>
        </w:tc>
        <w:tc>
          <w:tcPr>
            <w:tcW w:w="931" w:type="dxa"/>
            <w:tcBorders>
              <w:top w:val="single" w:sz="4" w:space="0" w:color="auto"/>
              <w:left w:val="single" w:sz="4" w:space="0" w:color="auto"/>
              <w:bottom w:val="single" w:sz="4" w:space="0" w:color="auto"/>
              <w:right w:val="single" w:sz="4" w:space="0" w:color="auto"/>
            </w:tcBorders>
            <w:hideMark/>
          </w:tcPr>
          <w:p w14:paraId="4535E67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78 (25.9%)</w:t>
            </w:r>
          </w:p>
        </w:tc>
        <w:tc>
          <w:tcPr>
            <w:tcW w:w="974" w:type="dxa"/>
            <w:tcBorders>
              <w:top w:val="single" w:sz="4" w:space="0" w:color="auto"/>
              <w:left w:val="single" w:sz="4" w:space="0" w:color="auto"/>
              <w:bottom w:val="single" w:sz="4" w:space="0" w:color="auto"/>
              <w:right w:val="single" w:sz="4" w:space="0" w:color="auto"/>
            </w:tcBorders>
            <w:hideMark/>
          </w:tcPr>
          <w:p w14:paraId="3FD84F62"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40 (13.3%)</w:t>
            </w:r>
          </w:p>
        </w:tc>
        <w:tc>
          <w:tcPr>
            <w:tcW w:w="850" w:type="dxa"/>
            <w:tcBorders>
              <w:top w:val="single" w:sz="4" w:space="0" w:color="auto"/>
              <w:left w:val="single" w:sz="4" w:space="0" w:color="auto"/>
              <w:bottom w:val="single" w:sz="4" w:space="0" w:color="auto"/>
              <w:right w:val="single" w:sz="4" w:space="0" w:color="auto"/>
            </w:tcBorders>
            <w:hideMark/>
          </w:tcPr>
          <w:p w14:paraId="686A33B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2.74</w:t>
            </w:r>
          </w:p>
        </w:tc>
        <w:tc>
          <w:tcPr>
            <w:tcW w:w="851" w:type="dxa"/>
            <w:tcBorders>
              <w:top w:val="single" w:sz="4" w:space="0" w:color="auto"/>
              <w:left w:val="single" w:sz="4" w:space="0" w:color="auto"/>
              <w:bottom w:val="single" w:sz="4" w:space="0" w:color="auto"/>
              <w:right w:val="single" w:sz="4" w:space="0" w:color="auto"/>
            </w:tcBorders>
            <w:hideMark/>
          </w:tcPr>
          <w:p w14:paraId="4D501BB9"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1.10</w:t>
            </w:r>
          </w:p>
        </w:tc>
      </w:tr>
      <w:tr w:rsidR="00427C3F" w:rsidRPr="00124940" w14:paraId="7F7876D4"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7E075A48" w14:textId="77777777" w:rsidR="00427C3F" w:rsidRPr="00124940" w:rsidRDefault="00427C3F" w:rsidP="00E762C3">
            <w:pPr>
              <w:spacing w:after="80" w:line="256" w:lineRule="auto"/>
              <w:jc w:val="both"/>
              <w:rPr>
                <w:rFonts w:ascii="Times New Roman" w:hAnsi="Times New Roman" w:cs="Times New Roman"/>
                <w:b/>
                <w:bCs/>
              </w:rPr>
            </w:pPr>
            <w:r w:rsidRPr="00124940">
              <w:rPr>
                <w:rFonts w:ascii="Times New Roman" w:hAnsi="Times New Roman" w:cs="Times New Roman"/>
                <w:b/>
                <w:bCs/>
              </w:rPr>
              <w:t>Perceived ease of use</w:t>
            </w:r>
          </w:p>
          <w:p w14:paraId="7B1F872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b/>
                <w:bCs/>
                <w:lang w:val="en-US"/>
              </w:rPr>
              <w:t>I find EIRs easy to use in …</w:t>
            </w:r>
          </w:p>
        </w:tc>
        <w:tc>
          <w:tcPr>
            <w:tcW w:w="1093" w:type="dxa"/>
            <w:tcBorders>
              <w:top w:val="single" w:sz="4" w:space="0" w:color="auto"/>
              <w:left w:val="single" w:sz="4" w:space="0" w:color="auto"/>
              <w:bottom w:val="single" w:sz="4" w:space="0" w:color="auto"/>
              <w:right w:val="single" w:sz="4" w:space="0" w:color="auto"/>
            </w:tcBorders>
            <w:hideMark/>
          </w:tcPr>
          <w:p w14:paraId="0390948D" w14:textId="77777777" w:rsidR="00427C3F" w:rsidRPr="00124940" w:rsidRDefault="00427C3F" w:rsidP="00E762C3">
            <w:pPr>
              <w:spacing w:line="256" w:lineRule="auto"/>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14:paraId="5C9F8D4F" w14:textId="77777777" w:rsidR="00427C3F" w:rsidRPr="00124940" w:rsidRDefault="00427C3F" w:rsidP="00E762C3">
            <w:pPr>
              <w:rPr>
                <w:sz w:val="20"/>
                <w:szCs w:val="20"/>
                <w:lang w:val="en-US"/>
              </w:rPr>
            </w:pPr>
          </w:p>
        </w:tc>
        <w:tc>
          <w:tcPr>
            <w:tcW w:w="931" w:type="dxa"/>
            <w:tcBorders>
              <w:top w:val="single" w:sz="4" w:space="0" w:color="auto"/>
              <w:left w:val="single" w:sz="4" w:space="0" w:color="auto"/>
              <w:bottom w:val="single" w:sz="4" w:space="0" w:color="auto"/>
              <w:right w:val="single" w:sz="4" w:space="0" w:color="auto"/>
            </w:tcBorders>
            <w:hideMark/>
          </w:tcPr>
          <w:p w14:paraId="6FFCF05B" w14:textId="77777777" w:rsidR="00427C3F" w:rsidRPr="00124940" w:rsidRDefault="00427C3F" w:rsidP="00E762C3">
            <w:pPr>
              <w:rPr>
                <w:sz w:val="20"/>
                <w:szCs w:val="20"/>
                <w:lang w:val="en-US"/>
              </w:rPr>
            </w:pPr>
          </w:p>
        </w:tc>
        <w:tc>
          <w:tcPr>
            <w:tcW w:w="974" w:type="dxa"/>
            <w:tcBorders>
              <w:top w:val="single" w:sz="4" w:space="0" w:color="auto"/>
              <w:left w:val="single" w:sz="4" w:space="0" w:color="auto"/>
              <w:bottom w:val="single" w:sz="4" w:space="0" w:color="auto"/>
              <w:right w:val="single" w:sz="4" w:space="0" w:color="auto"/>
            </w:tcBorders>
            <w:hideMark/>
          </w:tcPr>
          <w:p w14:paraId="559DB909" w14:textId="77777777" w:rsidR="00427C3F" w:rsidRPr="00124940" w:rsidRDefault="00427C3F" w:rsidP="00E762C3">
            <w:pPr>
              <w:rPr>
                <w:sz w:val="20"/>
                <w:szCs w:val="20"/>
                <w:lang w:val="en-US"/>
              </w:rPr>
            </w:pPr>
          </w:p>
        </w:tc>
        <w:tc>
          <w:tcPr>
            <w:tcW w:w="850" w:type="dxa"/>
            <w:tcBorders>
              <w:top w:val="single" w:sz="4" w:space="0" w:color="auto"/>
              <w:left w:val="single" w:sz="4" w:space="0" w:color="auto"/>
              <w:bottom w:val="single" w:sz="4" w:space="0" w:color="auto"/>
              <w:right w:val="single" w:sz="4" w:space="0" w:color="auto"/>
            </w:tcBorders>
            <w:hideMark/>
          </w:tcPr>
          <w:p w14:paraId="1ED0705A"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2.82</w:t>
            </w:r>
          </w:p>
        </w:tc>
        <w:tc>
          <w:tcPr>
            <w:tcW w:w="851" w:type="dxa"/>
            <w:tcBorders>
              <w:top w:val="single" w:sz="4" w:space="0" w:color="auto"/>
              <w:left w:val="single" w:sz="4" w:space="0" w:color="auto"/>
              <w:bottom w:val="single" w:sz="4" w:space="0" w:color="auto"/>
              <w:right w:val="single" w:sz="4" w:space="0" w:color="auto"/>
            </w:tcBorders>
            <w:hideMark/>
          </w:tcPr>
          <w:p w14:paraId="3D72FD9E" w14:textId="77777777" w:rsidR="00427C3F" w:rsidRPr="00124940" w:rsidRDefault="00427C3F" w:rsidP="00E762C3">
            <w:pPr>
              <w:spacing w:after="80" w:line="256" w:lineRule="auto"/>
              <w:jc w:val="both"/>
              <w:rPr>
                <w:rFonts w:ascii="Times New Roman" w:hAnsi="Times New Roman" w:cs="Times New Roman"/>
                <w:b/>
              </w:rPr>
            </w:pPr>
            <w:r w:rsidRPr="00124940">
              <w:rPr>
                <w:rFonts w:ascii="Times New Roman" w:hAnsi="Times New Roman" w:cs="Times New Roman"/>
                <w:b/>
              </w:rPr>
              <w:t>0.88</w:t>
            </w:r>
          </w:p>
        </w:tc>
      </w:tr>
      <w:tr w:rsidR="00427C3F" w:rsidRPr="00124940" w14:paraId="7916B882"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4B739A73"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Learning new innovation in medical courses effortless.</w:t>
            </w:r>
          </w:p>
        </w:tc>
        <w:tc>
          <w:tcPr>
            <w:tcW w:w="1093" w:type="dxa"/>
            <w:tcBorders>
              <w:top w:val="single" w:sz="4" w:space="0" w:color="auto"/>
              <w:left w:val="single" w:sz="4" w:space="0" w:color="auto"/>
              <w:bottom w:val="single" w:sz="4" w:space="0" w:color="auto"/>
              <w:right w:val="single" w:sz="4" w:space="0" w:color="auto"/>
            </w:tcBorders>
            <w:hideMark/>
          </w:tcPr>
          <w:p w14:paraId="2CF91C4C"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66 (21.9%)</w:t>
            </w:r>
          </w:p>
        </w:tc>
        <w:tc>
          <w:tcPr>
            <w:tcW w:w="949" w:type="dxa"/>
            <w:tcBorders>
              <w:top w:val="single" w:sz="4" w:space="0" w:color="auto"/>
              <w:left w:val="single" w:sz="4" w:space="0" w:color="auto"/>
              <w:bottom w:val="single" w:sz="4" w:space="0" w:color="auto"/>
              <w:right w:val="single" w:sz="4" w:space="0" w:color="auto"/>
            </w:tcBorders>
            <w:hideMark/>
          </w:tcPr>
          <w:p w14:paraId="6BBF6660"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156 (51.8%)</w:t>
            </w:r>
          </w:p>
        </w:tc>
        <w:tc>
          <w:tcPr>
            <w:tcW w:w="931" w:type="dxa"/>
            <w:tcBorders>
              <w:top w:val="single" w:sz="4" w:space="0" w:color="auto"/>
              <w:left w:val="single" w:sz="4" w:space="0" w:color="auto"/>
              <w:bottom w:val="single" w:sz="4" w:space="0" w:color="auto"/>
              <w:right w:val="single" w:sz="4" w:space="0" w:color="auto"/>
            </w:tcBorders>
            <w:hideMark/>
          </w:tcPr>
          <w:p w14:paraId="28C757C1"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51 (16.9%)</w:t>
            </w:r>
          </w:p>
        </w:tc>
        <w:tc>
          <w:tcPr>
            <w:tcW w:w="974" w:type="dxa"/>
            <w:tcBorders>
              <w:top w:val="single" w:sz="4" w:space="0" w:color="auto"/>
              <w:left w:val="single" w:sz="4" w:space="0" w:color="auto"/>
              <w:bottom w:val="single" w:sz="4" w:space="0" w:color="auto"/>
              <w:right w:val="single" w:sz="4" w:space="0" w:color="auto"/>
            </w:tcBorders>
            <w:hideMark/>
          </w:tcPr>
          <w:p w14:paraId="027E49BB"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28 (9.3%)</w:t>
            </w:r>
          </w:p>
        </w:tc>
        <w:tc>
          <w:tcPr>
            <w:tcW w:w="850" w:type="dxa"/>
            <w:tcBorders>
              <w:top w:val="single" w:sz="4" w:space="0" w:color="auto"/>
              <w:left w:val="single" w:sz="4" w:space="0" w:color="auto"/>
              <w:bottom w:val="single" w:sz="4" w:space="0" w:color="auto"/>
              <w:right w:val="single" w:sz="4" w:space="0" w:color="auto"/>
            </w:tcBorders>
            <w:hideMark/>
          </w:tcPr>
          <w:p w14:paraId="41DF2A67"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2.86</w:t>
            </w:r>
          </w:p>
        </w:tc>
        <w:tc>
          <w:tcPr>
            <w:tcW w:w="851" w:type="dxa"/>
            <w:tcBorders>
              <w:top w:val="single" w:sz="4" w:space="0" w:color="auto"/>
              <w:left w:val="single" w:sz="4" w:space="0" w:color="auto"/>
              <w:bottom w:val="single" w:sz="4" w:space="0" w:color="auto"/>
              <w:right w:val="single" w:sz="4" w:space="0" w:color="auto"/>
            </w:tcBorders>
            <w:hideMark/>
          </w:tcPr>
          <w:p w14:paraId="296A965A"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0.86</w:t>
            </w:r>
          </w:p>
        </w:tc>
      </w:tr>
      <w:tr w:rsidR="00427C3F" w:rsidRPr="00124940" w14:paraId="0409911B" w14:textId="77777777" w:rsidTr="00E762C3">
        <w:tc>
          <w:tcPr>
            <w:tcW w:w="4412" w:type="dxa"/>
            <w:tcBorders>
              <w:top w:val="single" w:sz="4" w:space="0" w:color="auto"/>
              <w:left w:val="single" w:sz="4" w:space="0" w:color="auto"/>
              <w:bottom w:val="single" w:sz="4" w:space="0" w:color="auto"/>
              <w:right w:val="single" w:sz="4" w:space="0" w:color="auto"/>
            </w:tcBorders>
            <w:hideMark/>
          </w:tcPr>
          <w:p w14:paraId="77B14DCE"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lang w:val="en-US"/>
              </w:rPr>
              <w:t>Navigating and searching for information on medical topics</w:t>
            </w:r>
          </w:p>
        </w:tc>
        <w:tc>
          <w:tcPr>
            <w:tcW w:w="1093" w:type="dxa"/>
            <w:tcBorders>
              <w:top w:val="single" w:sz="4" w:space="0" w:color="auto"/>
              <w:left w:val="single" w:sz="4" w:space="0" w:color="auto"/>
              <w:bottom w:val="single" w:sz="4" w:space="0" w:color="auto"/>
              <w:right w:val="single" w:sz="4" w:space="0" w:color="auto"/>
            </w:tcBorders>
            <w:hideMark/>
          </w:tcPr>
          <w:p w14:paraId="6802DE5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88 (29.2%)</w:t>
            </w:r>
          </w:p>
        </w:tc>
        <w:tc>
          <w:tcPr>
            <w:tcW w:w="949" w:type="dxa"/>
            <w:tcBorders>
              <w:top w:val="single" w:sz="4" w:space="0" w:color="auto"/>
              <w:left w:val="single" w:sz="4" w:space="0" w:color="auto"/>
              <w:bottom w:val="single" w:sz="4" w:space="0" w:color="auto"/>
              <w:right w:val="single" w:sz="4" w:space="0" w:color="auto"/>
            </w:tcBorders>
            <w:hideMark/>
          </w:tcPr>
          <w:p w14:paraId="51183E84"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94 (31.2%)</w:t>
            </w:r>
          </w:p>
        </w:tc>
        <w:tc>
          <w:tcPr>
            <w:tcW w:w="931" w:type="dxa"/>
            <w:tcBorders>
              <w:top w:val="single" w:sz="4" w:space="0" w:color="auto"/>
              <w:left w:val="single" w:sz="4" w:space="0" w:color="auto"/>
              <w:bottom w:val="single" w:sz="4" w:space="0" w:color="auto"/>
              <w:right w:val="single" w:sz="4" w:space="0" w:color="auto"/>
            </w:tcBorders>
            <w:hideMark/>
          </w:tcPr>
          <w:p w14:paraId="2A232D6A"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84 (27.9%)</w:t>
            </w:r>
          </w:p>
        </w:tc>
        <w:tc>
          <w:tcPr>
            <w:tcW w:w="974" w:type="dxa"/>
            <w:tcBorders>
              <w:top w:val="single" w:sz="4" w:space="0" w:color="auto"/>
              <w:left w:val="single" w:sz="4" w:space="0" w:color="auto"/>
              <w:bottom w:val="single" w:sz="4" w:space="0" w:color="auto"/>
              <w:right w:val="single" w:sz="4" w:space="0" w:color="auto"/>
            </w:tcBorders>
            <w:hideMark/>
          </w:tcPr>
          <w:p w14:paraId="2291FEB8"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35 (11.6%)</w:t>
            </w:r>
          </w:p>
        </w:tc>
        <w:tc>
          <w:tcPr>
            <w:tcW w:w="850" w:type="dxa"/>
            <w:tcBorders>
              <w:top w:val="single" w:sz="4" w:space="0" w:color="auto"/>
              <w:left w:val="single" w:sz="4" w:space="0" w:color="auto"/>
              <w:bottom w:val="single" w:sz="4" w:space="0" w:color="auto"/>
              <w:right w:val="single" w:sz="4" w:space="0" w:color="auto"/>
            </w:tcBorders>
            <w:hideMark/>
          </w:tcPr>
          <w:p w14:paraId="55E5B00F"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2.78</w:t>
            </w:r>
          </w:p>
        </w:tc>
        <w:tc>
          <w:tcPr>
            <w:tcW w:w="851" w:type="dxa"/>
            <w:tcBorders>
              <w:top w:val="single" w:sz="4" w:space="0" w:color="auto"/>
              <w:left w:val="single" w:sz="4" w:space="0" w:color="auto"/>
              <w:bottom w:val="single" w:sz="4" w:space="0" w:color="auto"/>
              <w:right w:val="single" w:sz="4" w:space="0" w:color="auto"/>
            </w:tcBorders>
            <w:hideMark/>
          </w:tcPr>
          <w:p w14:paraId="67A019C5" w14:textId="77777777" w:rsidR="00427C3F" w:rsidRPr="00124940" w:rsidRDefault="00427C3F" w:rsidP="00E762C3">
            <w:pPr>
              <w:spacing w:after="80" w:line="256" w:lineRule="auto"/>
              <w:jc w:val="both"/>
              <w:rPr>
                <w:rFonts w:ascii="Times New Roman" w:hAnsi="Times New Roman" w:cs="Times New Roman"/>
              </w:rPr>
            </w:pPr>
            <w:r w:rsidRPr="00124940">
              <w:rPr>
                <w:rFonts w:ascii="Times New Roman" w:hAnsi="Times New Roman" w:cs="Times New Roman"/>
              </w:rPr>
              <w:t>1.10</w:t>
            </w:r>
          </w:p>
        </w:tc>
      </w:tr>
      <w:tr w:rsidR="00427C3F" w:rsidRPr="00124940" w14:paraId="592226A7" w14:textId="77777777" w:rsidTr="00E762C3">
        <w:tc>
          <w:tcPr>
            <w:tcW w:w="10060" w:type="dxa"/>
            <w:gridSpan w:val="7"/>
            <w:tcBorders>
              <w:top w:val="single" w:sz="4" w:space="0" w:color="auto"/>
              <w:left w:val="single" w:sz="4" w:space="0" w:color="auto"/>
              <w:bottom w:val="single" w:sz="4" w:space="0" w:color="auto"/>
              <w:right w:val="single" w:sz="4" w:space="0" w:color="auto"/>
            </w:tcBorders>
            <w:hideMark/>
          </w:tcPr>
          <w:p w14:paraId="7E1079EB" w14:textId="77777777" w:rsidR="00427C3F" w:rsidRPr="00124940" w:rsidRDefault="00427C3F" w:rsidP="00E762C3">
            <w:pPr>
              <w:spacing w:after="80"/>
              <w:jc w:val="both"/>
              <w:rPr>
                <w:rFonts w:ascii="Times New Roman" w:hAnsi="Times New Roman" w:cs="Times New Roman"/>
              </w:rPr>
            </w:pPr>
            <w:r w:rsidRPr="00124940">
              <w:rPr>
                <w:rFonts w:ascii="Times New Roman" w:hAnsi="Times New Roman" w:cs="Times New Roman"/>
                <w:b/>
                <w:bCs/>
              </w:rPr>
              <w:t>Overall Average Mean</w:t>
            </w:r>
            <w:r w:rsidRPr="00124940">
              <w:rPr>
                <w:rFonts w:ascii="Times New Roman" w:hAnsi="Times New Roman" w:cs="Times New Roman"/>
                <w:b/>
              </w:rPr>
              <w:t xml:space="preserve"> = 2.98; </w:t>
            </w:r>
            <w:r w:rsidRPr="00124940">
              <w:rPr>
                <w:rFonts w:ascii="Times New Roman" w:hAnsi="Times New Roman" w:cs="Times New Roman"/>
                <w:b/>
                <w:bCs/>
              </w:rPr>
              <w:t xml:space="preserve">Overall Standard Deviation </w:t>
            </w:r>
            <w:r w:rsidRPr="00124940">
              <w:rPr>
                <w:rFonts w:ascii="Times New Roman" w:hAnsi="Times New Roman" w:cs="Times New Roman"/>
                <w:b/>
              </w:rPr>
              <w:t>= 0.41</w:t>
            </w:r>
          </w:p>
        </w:tc>
      </w:tr>
    </w:tbl>
    <w:p w14:paraId="0E31BF4B" w14:textId="77777777" w:rsidR="00427C3F" w:rsidRPr="00124940" w:rsidRDefault="00427C3F" w:rsidP="00427C3F">
      <w:pPr>
        <w:spacing w:after="80" w:line="256" w:lineRule="auto"/>
        <w:jc w:val="both"/>
        <w:rPr>
          <w:rFonts w:ascii="Times New Roman" w:eastAsia="Calibri" w:hAnsi="Times New Roman" w:cs="Times New Roman"/>
          <w:b/>
          <w:color w:val="000000"/>
          <w:sz w:val="24"/>
          <w:szCs w:val="24"/>
          <w:lang w:val="en-US"/>
        </w:rPr>
      </w:pPr>
      <w:r w:rsidRPr="00124940">
        <w:rPr>
          <w:rFonts w:ascii="Times New Roman" w:eastAsia="Calibri" w:hAnsi="Times New Roman" w:cs="Times New Roman"/>
          <w:sz w:val="24"/>
          <w:szCs w:val="24"/>
          <w:lang w:val="en-US"/>
        </w:rPr>
        <w:t>Source: Researcher’s computation (2024)</w:t>
      </w:r>
    </w:p>
    <w:p w14:paraId="258465EE" w14:textId="77777777" w:rsidR="00427C3F" w:rsidRPr="00124940" w:rsidRDefault="00427C3F" w:rsidP="00427C3F">
      <w:pPr>
        <w:spacing w:after="80" w:line="256" w:lineRule="auto"/>
        <w:jc w:val="both"/>
        <w:rPr>
          <w:rFonts w:ascii="Times New Roman" w:eastAsia="Times New Roman" w:hAnsi="Times New Roman" w:cs="Times New Roman"/>
          <w:sz w:val="20"/>
          <w:szCs w:val="20"/>
          <w:lang w:eastAsia="en-GB"/>
        </w:rPr>
      </w:pPr>
      <w:r w:rsidRPr="00124940">
        <w:rPr>
          <w:rFonts w:ascii="Times New Roman" w:eastAsia="Times New Roman" w:hAnsi="Times New Roman" w:cs="Times New Roman"/>
          <w:sz w:val="20"/>
          <w:szCs w:val="20"/>
          <w:lang w:eastAsia="en-GB"/>
        </w:rPr>
        <w:t xml:space="preserve">The decision rule states that: </w:t>
      </w:r>
      <w:r w:rsidRPr="00124940">
        <w:rPr>
          <w:rFonts w:ascii="Times New Roman" w:eastAsia="Calibri" w:hAnsi="Times New Roman" w:cs="Times New Roman"/>
          <w:color w:val="000000"/>
          <w:sz w:val="20"/>
          <w:szCs w:val="20"/>
          <w:lang w:val="en-US"/>
        </w:rPr>
        <w:t xml:space="preserve">If the mean is 1.0 - 1.74 = Very low; 1.75 to 2.49=Low; 2.50 to 3.24 = High; 3.25 to 4 = Very High. </w:t>
      </w:r>
      <w:r w:rsidRPr="00124940">
        <w:rPr>
          <w:rFonts w:ascii="Times New Roman" w:eastAsia="Times New Roman" w:hAnsi="Times New Roman" w:cs="Times New Roman"/>
          <w:sz w:val="20"/>
          <w:szCs w:val="20"/>
          <w:lang w:eastAsia="en-GB"/>
        </w:rPr>
        <w:t xml:space="preserve">Criteria mean of 2.5 is calculated as follows; 4+ 3+2+1= 10/4= 2.5 by implication, any score above 2.5, is considered “High” or “Very High” </w:t>
      </w:r>
      <w:r w:rsidRPr="00124940">
        <w:rPr>
          <w:rFonts w:ascii="Times New Roman" w:eastAsia="Calibri" w:hAnsi="Times New Roman" w:cs="Times New Roman"/>
          <w:sz w:val="20"/>
          <w:szCs w:val="20"/>
          <w:lang w:val="en-US"/>
        </w:rPr>
        <w:t>Extent of EIRs Utilization</w:t>
      </w:r>
      <w:r w:rsidRPr="00124940">
        <w:rPr>
          <w:rFonts w:ascii="Times New Roman" w:eastAsia="Times New Roman" w:hAnsi="Times New Roman" w:cs="Times New Roman"/>
          <w:sz w:val="20"/>
          <w:szCs w:val="20"/>
          <w:lang w:eastAsia="en-GB"/>
        </w:rPr>
        <w:t xml:space="preserve"> while mean scores below 2.5 are considered “Low” or “Very Low” </w:t>
      </w:r>
      <w:r w:rsidRPr="00124940">
        <w:rPr>
          <w:rFonts w:ascii="Times New Roman" w:eastAsia="Calibri" w:hAnsi="Times New Roman" w:cs="Times New Roman"/>
          <w:sz w:val="20"/>
          <w:szCs w:val="20"/>
          <w:lang w:val="en-US"/>
        </w:rPr>
        <w:t>Extent of EIRs Utilization</w:t>
      </w:r>
      <w:r w:rsidRPr="00124940">
        <w:rPr>
          <w:rFonts w:ascii="Times New Roman" w:eastAsia="Times New Roman" w:hAnsi="Times New Roman" w:cs="Times New Roman"/>
          <w:sz w:val="20"/>
          <w:szCs w:val="20"/>
          <w:lang w:eastAsia="en-GB"/>
        </w:rPr>
        <w:t>.</w:t>
      </w:r>
    </w:p>
    <w:p w14:paraId="63473273" w14:textId="77777777" w:rsidR="0070798C" w:rsidRPr="0070798C" w:rsidRDefault="0070798C" w:rsidP="0070798C">
      <w:pPr>
        <w:spacing w:after="200" w:line="276" w:lineRule="auto"/>
        <w:jc w:val="both"/>
        <w:rPr>
          <w:rFonts w:ascii="Times New Roman" w:eastAsia="Calibri" w:hAnsi="Times New Roman" w:cs="Times New Roman"/>
          <w:bCs/>
          <w:sz w:val="24"/>
          <w:szCs w:val="24"/>
          <w:lang w:val="en-US"/>
        </w:rPr>
      </w:pPr>
      <w:r w:rsidRPr="0070798C">
        <w:rPr>
          <w:rFonts w:ascii="Times New Roman" w:eastAsia="Calibri" w:hAnsi="Times New Roman" w:cs="Times New Roman"/>
          <w:bCs/>
          <w:sz w:val="24"/>
          <w:szCs w:val="24"/>
        </w:rPr>
        <w:t xml:space="preserve">Table </w:t>
      </w:r>
      <w:r w:rsidR="00EB1462">
        <w:rPr>
          <w:rFonts w:ascii="Times New Roman" w:eastAsia="Calibri" w:hAnsi="Times New Roman" w:cs="Times New Roman"/>
          <w:bCs/>
          <w:sz w:val="24"/>
          <w:szCs w:val="24"/>
        </w:rPr>
        <w:t>2</w:t>
      </w:r>
      <w:r w:rsidRPr="0070798C">
        <w:rPr>
          <w:rFonts w:ascii="Times New Roman" w:eastAsia="Calibri" w:hAnsi="Times New Roman" w:cs="Times New Roman"/>
          <w:bCs/>
          <w:sz w:val="24"/>
          <w:szCs w:val="24"/>
        </w:rPr>
        <w:t xml:space="preserve"> revealed that </w:t>
      </w:r>
      <w:bookmarkStart w:id="0" w:name="_Hlk190939986"/>
      <w:r w:rsidRPr="0070798C">
        <w:rPr>
          <w:rFonts w:ascii="Times New Roman" w:eastAsia="Calibri" w:hAnsi="Times New Roman" w:cs="Times New Roman"/>
          <w:bCs/>
          <w:sz w:val="24"/>
          <w:szCs w:val="24"/>
        </w:rPr>
        <w:t>the overall extent of EIRs utilization by medical students is high (overall average mean = 2.98, SD = 0.41).</w:t>
      </w:r>
      <w:bookmarkEnd w:id="0"/>
      <w:r w:rsidRPr="0070798C">
        <w:rPr>
          <w:rFonts w:ascii="Times New Roman" w:eastAsia="Calibri" w:hAnsi="Times New Roman" w:cs="Times New Roman"/>
          <w:bCs/>
          <w:sz w:val="24"/>
          <w:szCs w:val="24"/>
        </w:rPr>
        <w:t xml:space="preserve"> </w:t>
      </w:r>
      <w:r w:rsidRPr="0070798C">
        <w:rPr>
          <w:rFonts w:ascii="Times New Roman" w:eastAsia="Calibri" w:hAnsi="Times New Roman" w:cs="Times New Roman"/>
          <w:bCs/>
          <w:sz w:val="24"/>
          <w:szCs w:val="24"/>
          <w:lang w:val="en-US"/>
        </w:rPr>
        <w:t xml:space="preserve">This suggests that medical students generally utilize EIRs effectively and value their benefits. However, from the construct used to measure </w:t>
      </w:r>
      <w:r w:rsidRPr="0070798C">
        <w:rPr>
          <w:rFonts w:ascii="Times New Roman" w:eastAsia="Calibri" w:hAnsi="Times New Roman" w:cs="Times New Roman"/>
          <w:bCs/>
          <w:sz w:val="24"/>
          <w:szCs w:val="24"/>
        </w:rPr>
        <w:t xml:space="preserve">EIRs utilization, the table explained that the level of availability of resources (average mean = 3.26, SD = 0.43) </w:t>
      </w:r>
      <w:r w:rsidRPr="0070798C">
        <w:rPr>
          <w:rFonts w:ascii="Times New Roman" w:eastAsia="Calibri" w:hAnsi="Times New Roman" w:cs="Times New Roman"/>
          <w:bCs/>
          <w:sz w:val="24"/>
          <w:szCs w:val="24"/>
          <w:lang w:val="en-US"/>
        </w:rPr>
        <w:t xml:space="preserve">was very high, suggesting that </w:t>
      </w:r>
      <w:r w:rsidRPr="0070798C">
        <w:rPr>
          <w:rFonts w:ascii="Times New Roman" w:eastAsia="Calibri" w:hAnsi="Times New Roman" w:cs="Times New Roman"/>
          <w:bCs/>
          <w:sz w:val="24"/>
          <w:szCs w:val="24"/>
        </w:rPr>
        <w:t>most students have links to various electronic information resources at their reach and know how to access them. Also, the extent of behavioural intention (average mean = 3.05, SD = 0.38) of medical students towards the use of EIRs was high.</w:t>
      </w:r>
      <w:r w:rsidRPr="0070798C">
        <w:rPr>
          <w:rFonts w:ascii="Times New Roman" w:eastAsia="Calibri" w:hAnsi="Times New Roman" w:cs="Times New Roman"/>
          <w:bCs/>
          <w:sz w:val="24"/>
          <w:szCs w:val="24"/>
          <w:lang w:val="en-US"/>
        </w:rPr>
        <w:t xml:space="preserve"> 25.6% of students reported a low frequency and 6.3% of students reported very low frequency in preferring to utilize EIRs regularly as their primary source of information, highlighting a potential area for improvement in EIR integration into regular study habits.</w:t>
      </w:r>
      <w:r>
        <w:rPr>
          <w:rFonts w:ascii="Times New Roman" w:eastAsia="Calibri" w:hAnsi="Times New Roman" w:cs="Times New Roman"/>
          <w:bCs/>
          <w:sz w:val="24"/>
          <w:szCs w:val="24"/>
          <w:lang w:val="en-US"/>
        </w:rPr>
        <w:t xml:space="preserve"> </w:t>
      </w:r>
      <w:r w:rsidRPr="0070798C">
        <w:rPr>
          <w:rFonts w:ascii="Times New Roman" w:eastAsia="Calibri" w:hAnsi="Times New Roman" w:cs="Times New Roman"/>
          <w:bCs/>
          <w:sz w:val="24"/>
          <w:szCs w:val="24"/>
        </w:rPr>
        <w:t>The relative advantage</w:t>
      </w:r>
      <w:r w:rsidRPr="0070798C">
        <w:rPr>
          <w:rFonts w:ascii="Times New Roman" w:eastAsia="Calibri" w:hAnsi="Times New Roman" w:cs="Times New Roman"/>
          <w:b/>
          <w:bCs/>
          <w:sz w:val="24"/>
          <w:szCs w:val="24"/>
        </w:rPr>
        <w:t xml:space="preserve"> </w:t>
      </w:r>
      <w:r w:rsidRPr="0070798C">
        <w:rPr>
          <w:rFonts w:ascii="Times New Roman" w:eastAsia="Calibri" w:hAnsi="Times New Roman" w:cs="Times New Roman"/>
          <w:bCs/>
          <w:sz w:val="24"/>
          <w:szCs w:val="24"/>
        </w:rPr>
        <w:t xml:space="preserve">of EIRs utilization was high (average mean = 2.96, SD = 0.40), inferring that medical students perceive EIRs to offer significant advantages, such as providing diverse information, evidence-based resources, and timely access. </w:t>
      </w:r>
      <w:r w:rsidRPr="0070798C">
        <w:rPr>
          <w:rFonts w:ascii="Times New Roman" w:eastAsia="Calibri" w:hAnsi="Times New Roman" w:cs="Times New Roman"/>
          <w:bCs/>
          <w:sz w:val="24"/>
          <w:szCs w:val="24"/>
          <w:lang w:val="en-US"/>
        </w:rPr>
        <w:t xml:space="preserve">17.3% of students found the timely access to information compared to traditional resources to be low, which may suggest challenges in quickly accessing EIRs. </w:t>
      </w:r>
      <w:r w:rsidRPr="0070798C">
        <w:rPr>
          <w:rFonts w:ascii="Times New Roman" w:eastAsia="Calibri" w:hAnsi="Times New Roman" w:cs="Times New Roman"/>
          <w:bCs/>
          <w:sz w:val="24"/>
          <w:szCs w:val="24"/>
        </w:rPr>
        <w:t xml:space="preserve">Accessibility of resources was also highly perceived by the medical students (average mean = 2.92, SD = 0.73), suggesting that medical students generally find it easy to identify and access different EIRs for their medical careers. </w:t>
      </w:r>
    </w:p>
    <w:p w14:paraId="3D67618F" w14:textId="77777777" w:rsidR="0070798C" w:rsidRPr="0070798C" w:rsidRDefault="0070798C" w:rsidP="0070798C">
      <w:pPr>
        <w:spacing w:after="200" w:line="276" w:lineRule="auto"/>
        <w:jc w:val="both"/>
        <w:rPr>
          <w:rFonts w:ascii="Times New Roman" w:eastAsia="Calibri" w:hAnsi="Times New Roman" w:cs="Times New Roman"/>
          <w:bCs/>
          <w:sz w:val="24"/>
          <w:szCs w:val="24"/>
        </w:rPr>
      </w:pPr>
      <w:r w:rsidRPr="0070798C">
        <w:rPr>
          <w:rFonts w:ascii="Times New Roman" w:eastAsia="Calibri" w:hAnsi="Times New Roman" w:cs="Times New Roman"/>
          <w:bCs/>
          <w:sz w:val="24"/>
          <w:szCs w:val="24"/>
        </w:rPr>
        <w:t xml:space="preserve">The average mean of 2.85, SD = 0.68 for perceived usefulness suggests that medical students valued EIRs for finding current and evidence-based resources, but a smaller percentage (39.2%) perceived them as significantly improving their academic performance. </w:t>
      </w:r>
      <w:r w:rsidRPr="0070798C">
        <w:rPr>
          <w:rFonts w:ascii="Times New Roman" w:eastAsia="Calibri" w:hAnsi="Times New Roman" w:cs="Times New Roman"/>
          <w:bCs/>
          <w:sz w:val="24"/>
          <w:szCs w:val="24"/>
          <w:lang w:val="en-US"/>
        </w:rPr>
        <w:t>The</w:t>
      </w:r>
      <w:r w:rsidRPr="0070798C">
        <w:rPr>
          <w:rFonts w:ascii="Times New Roman" w:eastAsia="Calibri" w:hAnsi="Times New Roman" w:cs="Times New Roman"/>
          <w:b/>
          <w:bCs/>
          <w:sz w:val="24"/>
          <w:szCs w:val="24"/>
          <w:lang w:val="en-US"/>
        </w:rPr>
        <w:t xml:space="preserve"> </w:t>
      </w:r>
      <w:r w:rsidRPr="0070798C">
        <w:rPr>
          <w:rFonts w:ascii="Times New Roman" w:eastAsia="Calibri" w:hAnsi="Times New Roman" w:cs="Times New Roman"/>
          <w:bCs/>
          <w:sz w:val="24"/>
          <w:szCs w:val="24"/>
        </w:rPr>
        <w:t xml:space="preserve">perceived ease of use with an average mean of 2.82, SD = 0.88 indicated a high level of perception among the medical students, inferring that while most students find EIRs easy to use for learning innovations, navigating and searching for information can be more challenging for some. </w:t>
      </w:r>
      <w:r w:rsidRPr="0070798C">
        <w:rPr>
          <w:rFonts w:ascii="Times New Roman" w:eastAsia="Calibri" w:hAnsi="Times New Roman" w:cs="Times New Roman"/>
          <w:bCs/>
          <w:sz w:val="24"/>
          <w:szCs w:val="24"/>
          <w:lang w:val="en-US"/>
        </w:rPr>
        <w:t xml:space="preserve">The standard deviations of 0.41, 0.43, 0.38, 0.40, 0.73, 0.68, and 0.88 for EIRs utilization, </w:t>
      </w:r>
      <w:r w:rsidRPr="0070798C">
        <w:rPr>
          <w:rFonts w:ascii="Times New Roman" w:eastAsia="Calibri" w:hAnsi="Times New Roman" w:cs="Times New Roman"/>
          <w:bCs/>
          <w:sz w:val="24"/>
          <w:szCs w:val="24"/>
        </w:rPr>
        <w:t xml:space="preserve">availability of resources, behavioural intention, relative advantage, accessibility of resources, perceived usefulness, and perceived ease of use </w:t>
      </w:r>
      <w:r w:rsidRPr="0070798C">
        <w:rPr>
          <w:rFonts w:ascii="Times New Roman" w:eastAsia="Calibri" w:hAnsi="Times New Roman" w:cs="Times New Roman"/>
          <w:bCs/>
          <w:sz w:val="24"/>
          <w:szCs w:val="24"/>
          <w:lang w:val="en-US"/>
        </w:rPr>
        <w:t>imply a relatively consistent response among the participants.</w:t>
      </w:r>
    </w:p>
    <w:p w14:paraId="4216877C" w14:textId="77777777" w:rsidR="00BA71AC" w:rsidRPr="00BA71AC" w:rsidRDefault="00BA71AC" w:rsidP="00BA71AC">
      <w:pPr>
        <w:spacing w:after="200" w:line="276" w:lineRule="auto"/>
        <w:jc w:val="both"/>
        <w:rPr>
          <w:rFonts w:ascii="Times New Roman" w:eastAsia="Calibri" w:hAnsi="Times New Roman" w:cs="Times New Roman"/>
          <w:b/>
          <w:bCs/>
          <w:sz w:val="24"/>
          <w:szCs w:val="24"/>
          <w:lang w:val="en-US"/>
        </w:rPr>
      </w:pPr>
      <w:r w:rsidRPr="00BA71AC">
        <w:rPr>
          <w:rFonts w:ascii="Times New Roman" w:eastAsia="Calibri" w:hAnsi="Times New Roman" w:cs="Times New Roman"/>
          <w:b/>
          <w:bCs/>
          <w:sz w:val="24"/>
          <w:szCs w:val="24"/>
        </w:rPr>
        <w:lastRenderedPageBreak/>
        <w:t xml:space="preserve">Research Question </w:t>
      </w:r>
      <w:r w:rsidR="001B75C5">
        <w:rPr>
          <w:rFonts w:ascii="Times New Roman" w:eastAsia="Calibri" w:hAnsi="Times New Roman" w:cs="Times New Roman"/>
          <w:b/>
          <w:bCs/>
          <w:sz w:val="24"/>
          <w:szCs w:val="24"/>
        </w:rPr>
        <w:t>2</w:t>
      </w:r>
      <w:r w:rsidRPr="00BA71AC">
        <w:rPr>
          <w:rFonts w:ascii="Times New Roman" w:eastAsia="Calibri" w:hAnsi="Times New Roman" w:cs="Times New Roman"/>
          <w:b/>
          <w:bCs/>
          <w:sz w:val="24"/>
          <w:szCs w:val="24"/>
        </w:rPr>
        <w:t>: What is medical students' perception of gender differentiation concerning EIRs utilization in federal universities in South-West Nigeria?</w:t>
      </w:r>
    </w:p>
    <w:p w14:paraId="75588665" w14:textId="77777777" w:rsidR="00BA71AC" w:rsidRPr="00BA71AC" w:rsidRDefault="00BA71AC" w:rsidP="001B75C5">
      <w:pPr>
        <w:spacing w:after="0" w:line="240" w:lineRule="auto"/>
        <w:jc w:val="both"/>
        <w:rPr>
          <w:rFonts w:ascii="Times New Roman" w:eastAsia="Calibri" w:hAnsi="Times New Roman" w:cs="Times New Roman"/>
          <w:sz w:val="24"/>
          <w:szCs w:val="24"/>
        </w:rPr>
      </w:pPr>
      <w:r w:rsidRPr="00BA71AC">
        <w:rPr>
          <w:rFonts w:ascii="Times New Roman" w:eastAsia="Calibri" w:hAnsi="Times New Roman" w:cs="Times New Roman"/>
          <w:sz w:val="24"/>
          <w:szCs w:val="24"/>
        </w:rPr>
        <w:t xml:space="preserve">Table </w:t>
      </w:r>
      <w:r w:rsidR="007254BF">
        <w:rPr>
          <w:rFonts w:ascii="Times New Roman" w:eastAsia="Calibri" w:hAnsi="Times New Roman" w:cs="Times New Roman"/>
          <w:sz w:val="24"/>
          <w:szCs w:val="24"/>
        </w:rPr>
        <w:t>3</w:t>
      </w:r>
      <w:r w:rsidRPr="00BA71AC">
        <w:rPr>
          <w:rFonts w:ascii="Times New Roman" w:eastAsia="Calibri" w:hAnsi="Times New Roman" w:cs="Times New Roman"/>
          <w:sz w:val="24"/>
          <w:szCs w:val="24"/>
        </w:rPr>
        <w:t xml:space="preserve">: </w:t>
      </w:r>
      <w:r w:rsidRPr="00BA71AC">
        <w:rPr>
          <w:rFonts w:ascii="Times New Roman" w:eastAsia="Calibri" w:hAnsi="Times New Roman" w:cs="Times New Roman"/>
          <w:bCs/>
          <w:i/>
          <w:sz w:val="24"/>
          <w:szCs w:val="24"/>
        </w:rPr>
        <w:t xml:space="preserve">Perception of medical students regarding gender differentiation </w:t>
      </w:r>
    </w:p>
    <w:tbl>
      <w:tblPr>
        <w:tblW w:w="10849" w:type="dxa"/>
        <w:tblInd w:w="-289" w:type="dxa"/>
        <w:tblLayout w:type="fixed"/>
        <w:tblLook w:val="04A0" w:firstRow="1" w:lastRow="0" w:firstColumn="1" w:lastColumn="0" w:noHBand="0" w:noVBand="1"/>
      </w:tblPr>
      <w:tblGrid>
        <w:gridCol w:w="4678"/>
        <w:gridCol w:w="1134"/>
        <w:gridCol w:w="791"/>
        <w:gridCol w:w="1284"/>
        <w:gridCol w:w="1438"/>
        <w:gridCol w:w="858"/>
        <w:gridCol w:w="640"/>
        <w:gridCol w:w="26"/>
      </w:tblGrid>
      <w:tr w:rsidR="00BA71AC" w:rsidRPr="00BA71AC" w14:paraId="3E646F39"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tcPr>
          <w:p w14:paraId="6028D58A"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Gender Differentiation</w:t>
            </w:r>
          </w:p>
          <w:p w14:paraId="1994EAE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p w14:paraId="010526C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14:paraId="3DAD0E89"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Strongly Agree Freq. (%)</w:t>
            </w:r>
          </w:p>
        </w:tc>
        <w:tc>
          <w:tcPr>
            <w:tcW w:w="791" w:type="dxa"/>
            <w:tcBorders>
              <w:top w:val="single" w:sz="4" w:space="0" w:color="auto"/>
              <w:left w:val="single" w:sz="4" w:space="0" w:color="auto"/>
              <w:bottom w:val="single" w:sz="4" w:space="0" w:color="auto"/>
              <w:right w:val="single" w:sz="4" w:space="0" w:color="auto"/>
            </w:tcBorders>
            <w:hideMark/>
          </w:tcPr>
          <w:p w14:paraId="331375BD"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Agree Freq. (%)</w:t>
            </w:r>
          </w:p>
        </w:tc>
        <w:tc>
          <w:tcPr>
            <w:tcW w:w="1284" w:type="dxa"/>
            <w:tcBorders>
              <w:top w:val="single" w:sz="4" w:space="0" w:color="auto"/>
              <w:left w:val="single" w:sz="4" w:space="0" w:color="auto"/>
              <w:bottom w:val="single" w:sz="4" w:space="0" w:color="auto"/>
              <w:right w:val="single" w:sz="4" w:space="0" w:color="auto"/>
            </w:tcBorders>
            <w:hideMark/>
          </w:tcPr>
          <w:p w14:paraId="0C989C0B"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Disagree Freq. (%)</w:t>
            </w:r>
          </w:p>
        </w:tc>
        <w:tc>
          <w:tcPr>
            <w:tcW w:w="1438" w:type="dxa"/>
            <w:tcBorders>
              <w:top w:val="single" w:sz="4" w:space="0" w:color="auto"/>
              <w:left w:val="single" w:sz="4" w:space="0" w:color="auto"/>
              <w:bottom w:val="single" w:sz="4" w:space="0" w:color="auto"/>
              <w:right w:val="single" w:sz="4" w:space="0" w:color="auto"/>
            </w:tcBorders>
            <w:hideMark/>
          </w:tcPr>
          <w:p w14:paraId="55A7174E"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Strongly Disagree Freq. (%)</w:t>
            </w:r>
          </w:p>
        </w:tc>
        <w:tc>
          <w:tcPr>
            <w:tcW w:w="858" w:type="dxa"/>
            <w:tcBorders>
              <w:top w:val="single" w:sz="4" w:space="0" w:color="auto"/>
              <w:left w:val="single" w:sz="4" w:space="0" w:color="auto"/>
              <w:bottom w:val="single" w:sz="4" w:space="0" w:color="auto"/>
              <w:right w:val="single" w:sz="4" w:space="0" w:color="auto"/>
            </w:tcBorders>
            <w:hideMark/>
          </w:tcPr>
          <w:p w14:paraId="0635E5DA"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Mean (x̅)</w:t>
            </w:r>
          </w:p>
        </w:tc>
        <w:tc>
          <w:tcPr>
            <w:tcW w:w="640" w:type="dxa"/>
            <w:tcBorders>
              <w:top w:val="single" w:sz="4" w:space="0" w:color="auto"/>
              <w:left w:val="single" w:sz="4" w:space="0" w:color="auto"/>
              <w:bottom w:val="single" w:sz="4" w:space="0" w:color="auto"/>
              <w:right w:val="single" w:sz="4" w:space="0" w:color="auto"/>
            </w:tcBorders>
            <w:hideMark/>
          </w:tcPr>
          <w:p w14:paraId="5CBF9FDB"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SD</w:t>
            </w:r>
          </w:p>
        </w:tc>
      </w:tr>
      <w:tr w:rsidR="00BA71AC" w:rsidRPr="00BA71AC" w14:paraId="366C827F"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2E0BAF4E"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
                <w:bCs/>
                <w:sz w:val="24"/>
                <w:szCs w:val="24"/>
              </w:rPr>
              <w:t>Division of Labour</w:t>
            </w:r>
          </w:p>
        </w:tc>
        <w:tc>
          <w:tcPr>
            <w:tcW w:w="1134" w:type="dxa"/>
            <w:tcBorders>
              <w:top w:val="single" w:sz="4" w:space="0" w:color="auto"/>
              <w:left w:val="single" w:sz="4" w:space="0" w:color="auto"/>
              <w:bottom w:val="single" w:sz="4" w:space="0" w:color="auto"/>
              <w:right w:val="single" w:sz="4" w:space="0" w:color="auto"/>
            </w:tcBorders>
            <w:hideMark/>
          </w:tcPr>
          <w:p w14:paraId="115115C3"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tc>
        <w:tc>
          <w:tcPr>
            <w:tcW w:w="791" w:type="dxa"/>
            <w:tcBorders>
              <w:top w:val="single" w:sz="4" w:space="0" w:color="auto"/>
              <w:left w:val="single" w:sz="4" w:space="0" w:color="auto"/>
              <w:bottom w:val="single" w:sz="4" w:space="0" w:color="auto"/>
              <w:right w:val="single" w:sz="4" w:space="0" w:color="auto"/>
            </w:tcBorders>
            <w:hideMark/>
          </w:tcPr>
          <w:p w14:paraId="6EBC85D2"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284" w:type="dxa"/>
            <w:tcBorders>
              <w:top w:val="single" w:sz="4" w:space="0" w:color="auto"/>
              <w:left w:val="single" w:sz="4" w:space="0" w:color="auto"/>
              <w:bottom w:val="single" w:sz="4" w:space="0" w:color="auto"/>
              <w:right w:val="single" w:sz="4" w:space="0" w:color="auto"/>
            </w:tcBorders>
            <w:hideMark/>
          </w:tcPr>
          <w:p w14:paraId="5166BB08"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438" w:type="dxa"/>
            <w:tcBorders>
              <w:top w:val="single" w:sz="4" w:space="0" w:color="auto"/>
              <w:left w:val="single" w:sz="4" w:space="0" w:color="auto"/>
              <w:bottom w:val="single" w:sz="4" w:space="0" w:color="auto"/>
              <w:right w:val="single" w:sz="4" w:space="0" w:color="auto"/>
            </w:tcBorders>
            <w:hideMark/>
          </w:tcPr>
          <w:p w14:paraId="6D21F18D"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hideMark/>
          </w:tcPr>
          <w:p w14:paraId="4A3CB1A6"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2.75</w:t>
            </w:r>
          </w:p>
        </w:tc>
        <w:tc>
          <w:tcPr>
            <w:tcW w:w="640" w:type="dxa"/>
            <w:tcBorders>
              <w:top w:val="single" w:sz="4" w:space="0" w:color="auto"/>
              <w:left w:val="single" w:sz="4" w:space="0" w:color="auto"/>
              <w:bottom w:val="single" w:sz="4" w:space="0" w:color="auto"/>
              <w:right w:val="single" w:sz="4" w:space="0" w:color="auto"/>
            </w:tcBorders>
            <w:hideMark/>
          </w:tcPr>
          <w:p w14:paraId="1577F7DC"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.72</w:t>
            </w:r>
          </w:p>
        </w:tc>
      </w:tr>
      <w:tr w:rsidR="00BA71AC" w:rsidRPr="00BA71AC" w14:paraId="306E42A7"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7BD7183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Tasks related to finding and sharing EIRs are fairly distributed in my class between male and female medical students</w:t>
            </w:r>
          </w:p>
        </w:tc>
        <w:tc>
          <w:tcPr>
            <w:tcW w:w="1134" w:type="dxa"/>
            <w:tcBorders>
              <w:top w:val="single" w:sz="4" w:space="0" w:color="auto"/>
              <w:left w:val="single" w:sz="4" w:space="0" w:color="auto"/>
              <w:bottom w:val="single" w:sz="4" w:space="0" w:color="auto"/>
              <w:right w:val="single" w:sz="4" w:space="0" w:color="auto"/>
            </w:tcBorders>
            <w:hideMark/>
          </w:tcPr>
          <w:p w14:paraId="05C95DF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54 (17.9%)</w:t>
            </w:r>
          </w:p>
        </w:tc>
        <w:tc>
          <w:tcPr>
            <w:tcW w:w="791" w:type="dxa"/>
            <w:tcBorders>
              <w:top w:val="single" w:sz="4" w:space="0" w:color="auto"/>
              <w:left w:val="single" w:sz="4" w:space="0" w:color="auto"/>
              <w:bottom w:val="single" w:sz="4" w:space="0" w:color="auto"/>
              <w:right w:val="single" w:sz="4" w:space="0" w:color="auto"/>
            </w:tcBorders>
            <w:hideMark/>
          </w:tcPr>
          <w:p w14:paraId="192667A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158 (52.5%)</w:t>
            </w:r>
          </w:p>
        </w:tc>
        <w:tc>
          <w:tcPr>
            <w:tcW w:w="1284" w:type="dxa"/>
            <w:tcBorders>
              <w:top w:val="single" w:sz="4" w:space="0" w:color="auto"/>
              <w:left w:val="single" w:sz="4" w:space="0" w:color="auto"/>
              <w:bottom w:val="single" w:sz="4" w:space="0" w:color="auto"/>
              <w:right w:val="single" w:sz="4" w:space="0" w:color="auto"/>
            </w:tcBorders>
            <w:hideMark/>
          </w:tcPr>
          <w:p w14:paraId="71626D5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57 (18.9%)</w:t>
            </w:r>
          </w:p>
        </w:tc>
        <w:tc>
          <w:tcPr>
            <w:tcW w:w="1438" w:type="dxa"/>
            <w:tcBorders>
              <w:top w:val="single" w:sz="4" w:space="0" w:color="auto"/>
              <w:left w:val="single" w:sz="4" w:space="0" w:color="auto"/>
              <w:bottom w:val="single" w:sz="4" w:space="0" w:color="auto"/>
              <w:right w:val="single" w:sz="4" w:space="0" w:color="auto"/>
            </w:tcBorders>
            <w:hideMark/>
          </w:tcPr>
          <w:p w14:paraId="6809AB59"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32 (10.6%)</w:t>
            </w:r>
          </w:p>
        </w:tc>
        <w:tc>
          <w:tcPr>
            <w:tcW w:w="858" w:type="dxa"/>
            <w:tcBorders>
              <w:top w:val="single" w:sz="4" w:space="0" w:color="auto"/>
              <w:left w:val="single" w:sz="4" w:space="0" w:color="auto"/>
              <w:bottom w:val="single" w:sz="4" w:space="0" w:color="auto"/>
              <w:right w:val="single" w:sz="4" w:space="0" w:color="auto"/>
            </w:tcBorders>
            <w:hideMark/>
          </w:tcPr>
          <w:p w14:paraId="55FF623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2.78</w:t>
            </w:r>
          </w:p>
        </w:tc>
        <w:tc>
          <w:tcPr>
            <w:tcW w:w="640" w:type="dxa"/>
            <w:tcBorders>
              <w:top w:val="single" w:sz="4" w:space="0" w:color="auto"/>
              <w:left w:val="single" w:sz="4" w:space="0" w:color="auto"/>
              <w:bottom w:val="single" w:sz="4" w:space="0" w:color="auto"/>
              <w:right w:val="single" w:sz="4" w:space="0" w:color="auto"/>
            </w:tcBorders>
            <w:hideMark/>
          </w:tcPr>
          <w:p w14:paraId="41673BCF"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.86</w:t>
            </w:r>
          </w:p>
        </w:tc>
      </w:tr>
      <w:tr w:rsidR="00BA71AC" w:rsidRPr="00BA71AC" w14:paraId="5593D771"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10FFBAF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Male medical students are more likely to take the lead in utilizing EIRs compared to female medical students.</w:t>
            </w:r>
          </w:p>
        </w:tc>
        <w:tc>
          <w:tcPr>
            <w:tcW w:w="1134" w:type="dxa"/>
            <w:tcBorders>
              <w:top w:val="single" w:sz="4" w:space="0" w:color="auto"/>
              <w:left w:val="single" w:sz="4" w:space="0" w:color="auto"/>
              <w:bottom w:val="single" w:sz="4" w:space="0" w:color="auto"/>
              <w:right w:val="single" w:sz="4" w:space="0" w:color="auto"/>
            </w:tcBorders>
            <w:hideMark/>
          </w:tcPr>
          <w:p w14:paraId="3DB4555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95 (31.6%)</w:t>
            </w:r>
          </w:p>
        </w:tc>
        <w:tc>
          <w:tcPr>
            <w:tcW w:w="791" w:type="dxa"/>
            <w:tcBorders>
              <w:top w:val="single" w:sz="4" w:space="0" w:color="auto"/>
              <w:left w:val="single" w:sz="4" w:space="0" w:color="auto"/>
              <w:bottom w:val="single" w:sz="4" w:space="0" w:color="auto"/>
              <w:right w:val="single" w:sz="4" w:space="0" w:color="auto"/>
            </w:tcBorders>
            <w:hideMark/>
          </w:tcPr>
          <w:p w14:paraId="4A3AF2F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92 (30.6%)</w:t>
            </w:r>
          </w:p>
        </w:tc>
        <w:tc>
          <w:tcPr>
            <w:tcW w:w="1284" w:type="dxa"/>
            <w:tcBorders>
              <w:top w:val="single" w:sz="4" w:space="0" w:color="auto"/>
              <w:left w:val="single" w:sz="4" w:space="0" w:color="auto"/>
              <w:bottom w:val="single" w:sz="4" w:space="0" w:color="auto"/>
              <w:right w:val="single" w:sz="4" w:space="0" w:color="auto"/>
            </w:tcBorders>
            <w:hideMark/>
          </w:tcPr>
          <w:p w14:paraId="52882AC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48 (15.9%)</w:t>
            </w:r>
          </w:p>
        </w:tc>
        <w:tc>
          <w:tcPr>
            <w:tcW w:w="1438" w:type="dxa"/>
            <w:tcBorders>
              <w:top w:val="single" w:sz="4" w:space="0" w:color="auto"/>
              <w:left w:val="single" w:sz="4" w:space="0" w:color="auto"/>
              <w:bottom w:val="single" w:sz="4" w:space="0" w:color="auto"/>
              <w:right w:val="single" w:sz="4" w:space="0" w:color="auto"/>
            </w:tcBorders>
            <w:hideMark/>
          </w:tcPr>
          <w:p w14:paraId="4CDDD27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66 (21.9%)</w:t>
            </w:r>
          </w:p>
        </w:tc>
        <w:tc>
          <w:tcPr>
            <w:tcW w:w="858" w:type="dxa"/>
            <w:tcBorders>
              <w:top w:val="single" w:sz="4" w:space="0" w:color="auto"/>
              <w:left w:val="single" w:sz="4" w:space="0" w:color="auto"/>
              <w:bottom w:val="single" w:sz="4" w:space="0" w:color="auto"/>
              <w:right w:val="single" w:sz="4" w:space="0" w:color="auto"/>
            </w:tcBorders>
            <w:hideMark/>
          </w:tcPr>
          <w:p w14:paraId="74E0AFBE"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2.72</w:t>
            </w:r>
          </w:p>
        </w:tc>
        <w:tc>
          <w:tcPr>
            <w:tcW w:w="640" w:type="dxa"/>
            <w:tcBorders>
              <w:top w:val="single" w:sz="4" w:space="0" w:color="auto"/>
              <w:left w:val="single" w:sz="4" w:space="0" w:color="auto"/>
              <w:bottom w:val="single" w:sz="4" w:space="0" w:color="auto"/>
              <w:right w:val="single" w:sz="4" w:space="0" w:color="auto"/>
            </w:tcBorders>
            <w:hideMark/>
          </w:tcPr>
          <w:p w14:paraId="6AC2FDE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1.13</w:t>
            </w:r>
          </w:p>
        </w:tc>
      </w:tr>
      <w:tr w:rsidR="00BA71AC" w:rsidRPr="00BA71AC" w14:paraId="562B01F9"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23BCF74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
                <w:bCs/>
                <w:sz w:val="24"/>
                <w:szCs w:val="24"/>
              </w:rPr>
              <w:t>Gender Role</w:t>
            </w:r>
          </w:p>
        </w:tc>
        <w:tc>
          <w:tcPr>
            <w:tcW w:w="1134" w:type="dxa"/>
            <w:tcBorders>
              <w:top w:val="single" w:sz="4" w:space="0" w:color="auto"/>
              <w:left w:val="single" w:sz="4" w:space="0" w:color="auto"/>
              <w:bottom w:val="single" w:sz="4" w:space="0" w:color="auto"/>
              <w:right w:val="single" w:sz="4" w:space="0" w:color="auto"/>
            </w:tcBorders>
            <w:hideMark/>
          </w:tcPr>
          <w:p w14:paraId="2367F20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tc>
        <w:tc>
          <w:tcPr>
            <w:tcW w:w="791" w:type="dxa"/>
            <w:tcBorders>
              <w:top w:val="single" w:sz="4" w:space="0" w:color="auto"/>
              <w:left w:val="single" w:sz="4" w:space="0" w:color="auto"/>
              <w:bottom w:val="single" w:sz="4" w:space="0" w:color="auto"/>
              <w:right w:val="single" w:sz="4" w:space="0" w:color="auto"/>
            </w:tcBorders>
            <w:hideMark/>
          </w:tcPr>
          <w:p w14:paraId="65BBF092"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284" w:type="dxa"/>
            <w:tcBorders>
              <w:top w:val="single" w:sz="4" w:space="0" w:color="auto"/>
              <w:left w:val="single" w:sz="4" w:space="0" w:color="auto"/>
              <w:bottom w:val="single" w:sz="4" w:space="0" w:color="auto"/>
              <w:right w:val="single" w:sz="4" w:space="0" w:color="auto"/>
            </w:tcBorders>
            <w:hideMark/>
          </w:tcPr>
          <w:p w14:paraId="7608F391"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438" w:type="dxa"/>
            <w:tcBorders>
              <w:top w:val="single" w:sz="4" w:space="0" w:color="auto"/>
              <w:left w:val="single" w:sz="4" w:space="0" w:color="auto"/>
              <w:bottom w:val="single" w:sz="4" w:space="0" w:color="auto"/>
              <w:right w:val="single" w:sz="4" w:space="0" w:color="auto"/>
            </w:tcBorders>
            <w:hideMark/>
          </w:tcPr>
          <w:p w14:paraId="5074FC68"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hideMark/>
          </w:tcPr>
          <w:p w14:paraId="33041000"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2.58</w:t>
            </w:r>
          </w:p>
        </w:tc>
        <w:tc>
          <w:tcPr>
            <w:tcW w:w="640" w:type="dxa"/>
            <w:tcBorders>
              <w:top w:val="single" w:sz="4" w:space="0" w:color="auto"/>
              <w:left w:val="single" w:sz="4" w:space="0" w:color="auto"/>
              <w:bottom w:val="single" w:sz="4" w:space="0" w:color="auto"/>
              <w:right w:val="single" w:sz="4" w:space="0" w:color="auto"/>
            </w:tcBorders>
            <w:hideMark/>
          </w:tcPr>
          <w:p w14:paraId="3DE6B142"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.71</w:t>
            </w:r>
          </w:p>
        </w:tc>
      </w:tr>
      <w:tr w:rsidR="00BA71AC" w:rsidRPr="00BA71AC" w14:paraId="4713FDDF" w14:textId="77777777" w:rsidTr="001B75C5">
        <w:trPr>
          <w:gridAfter w:val="1"/>
          <w:wAfter w:w="26" w:type="dxa"/>
          <w:trHeight w:val="1313"/>
        </w:trPr>
        <w:tc>
          <w:tcPr>
            <w:tcW w:w="4678" w:type="dxa"/>
            <w:tcBorders>
              <w:top w:val="single" w:sz="4" w:space="0" w:color="auto"/>
              <w:left w:val="single" w:sz="4" w:space="0" w:color="auto"/>
              <w:bottom w:val="single" w:sz="4" w:space="0" w:color="auto"/>
              <w:right w:val="single" w:sz="4" w:space="0" w:color="auto"/>
            </w:tcBorders>
            <w:hideMark/>
          </w:tcPr>
          <w:p w14:paraId="4AF794D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Female medical students are expected to excel in communication and interpersonal skills rather than technical skills such as utilizing medical EIRs</w:t>
            </w:r>
          </w:p>
        </w:tc>
        <w:tc>
          <w:tcPr>
            <w:tcW w:w="1134" w:type="dxa"/>
            <w:tcBorders>
              <w:top w:val="single" w:sz="4" w:space="0" w:color="auto"/>
              <w:left w:val="single" w:sz="4" w:space="0" w:color="auto"/>
              <w:bottom w:val="single" w:sz="4" w:space="0" w:color="auto"/>
              <w:right w:val="single" w:sz="4" w:space="0" w:color="auto"/>
            </w:tcBorders>
            <w:hideMark/>
          </w:tcPr>
          <w:p w14:paraId="171688E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76 (25.2%)</w:t>
            </w:r>
          </w:p>
        </w:tc>
        <w:tc>
          <w:tcPr>
            <w:tcW w:w="791" w:type="dxa"/>
            <w:tcBorders>
              <w:top w:val="single" w:sz="4" w:space="0" w:color="auto"/>
              <w:left w:val="single" w:sz="4" w:space="0" w:color="auto"/>
              <w:bottom w:val="single" w:sz="4" w:space="0" w:color="auto"/>
              <w:right w:val="single" w:sz="4" w:space="0" w:color="auto"/>
            </w:tcBorders>
            <w:hideMark/>
          </w:tcPr>
          <w:p w14:paraId="568DC1C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113 (37.5%)</w:t>
            </w:r>
          </w:p>
        </w:tc>
        <w:tc>
          <w:tcPr>
            <w:tcW w:w="1284" w:type="dxa"/>
            <w:tcBorders>
              <w:top w:val="single" w:sz="4" w:space="0" w:color="auto"/>
              <w:left w:val="single" w:sz="4" w:space="0" w:color="auto"/>
              <w:bottom w:val="single" w:sz="4" w:space="0" w:color="auto"/>
              <w:right w:val="single" w:sz="4" w:space="0" w:color="auto"/>
            </w:tcBorders>
            <w:hideMark/>
          </w:tcPr>
          <w:p w14:paraId="174EF4C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64 (21.3%)</w:t>
            </w:r>
          </w:p>
        </w:tc>
        <w:tc>
          <w:tcPr>
            <w:tcW w:w="1438" w:type="dxa"/>
            <w:tcBorders>
              <w:top w:val="single" w:sz="4" w:space="0" w:color="auto"/>
              <w:left w:val="single" w:sz="4" w:space="0" w:color="auto"/>
              <w:bottom w:val="single" w:sz="4" w:space="0" w:color="auto"/>
              <w:right w:val="single" w:sz="4" w:space="0" w:color="auto"/>
            </w:tcBorders>
            <w:hideMark/>
          </w:tcPr>
          <w:p w14:paraId="4B119D8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48 (15.9%)</w:t>
            </w:r>
          </w:p>
        </w:tc>
        <w:tc>
          <w:tcPr>
            <w:tcW w:w="858" w:type="dxa"/>
            <w:tcBorders>
              <w:top w:val="single" w:sz="4" w:space="0" w:color="auto"/>
              <w:left w:val="single" w:sz="4" w:space="0" w:color="auto"/>
              <w:bottom w:val="single" w:sz="4" w:space="0" w:color="auto"/>
              <w:right w:val="single" w:sz="4" w:space="0" w:color="auto"/>
            </w:tcBorders>
            <w:hideMark/>
          </w:tcPr>
          <w:p w14:paraId="7DD5546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2.72</w:t>
            </w:r>
          </w:p>
        </w:tc>
        <w:tc>
          <w:tcPr>
            <w:tcW w:w="640" w:type="dxa"/>
            <w:tcBorders>
              <w:top w:val="single" w:sz="4" w:space="0" w:color="auto"/>
              <w:left w:val="single" w:sz="4" w:space="0" w:color="auto"/>
              <w:bottom w:val="single" w:sz="4" w:space="0" w:color="auto"/>
              <w:right w:val="single" w:sz="4" w:space="0" w:color="auto"/>
            </w:tcBorders>
            <w:hideMark/>
          </w:tcPr>
          <w:p w14:paraId="7C14DA9F"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1.01</w:t>
            </w:r>
          </w:p>
        </w:tc>
      </w:tr>
      <w:tr w:rsidR="00BA71AC" w:rsidRPr="00BA71AC" w14:paraId="0668A787"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64FF347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Male medical students are expected to be more proficient in utilizing EIRs compared to their female counterparts</w:t>
            </w:r>
          </w:p>
        </w:tc>
        <w:tc>
          <w:tcPr>
            <w:tcW w:w="1134" w:type="dxa"/>
            <w:tcBorders>
              <w:top w:val="single" w:sz="4" w:space="0" w:color="auto"/>
              <w:left w:val="single" w:sz="4" w:space="0" w:color="auto"/>
              <w:bottom w:val="single" w:sz="4" w:space="0" w:color="auto"/>
              <w:right w:val="single" w:sz="4" w:space="0" w:color="auto"/>
            </w:tcBorders>
            <w:hideMark/>
          </w:tcPr>
          <w:p w14:paraId="2D8BCA7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89 (29.6%)</w:t>
            </w:r>
          </w:p>
        </w:tc>
        <w:tc>
          <w:tcPr>
            <w:tcW w:w="791" w:type="dxa"/>
            <w:tcBorders>
              <w:top w:val="single" w:sz="4" w:space="0" w:color="auto"/>
              <w:left w:val="single" w:sz="4" w:space="0" w:color="auto"/>
              <w:bottom w:val="single" w:sz="4" w:space="0" w:color="auto"/>
              <w:right w:val="single" w:sz="4" w:space="0" w:color="auto"/>
            </w:tcBorders>
            <w:hideMark/>
          </w:tcPr>
          <w:p w14:paraId="66E3E56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88 (29.2%)</w:t>
            </w:r>
          </w:p>
        </w:tc>
        <w:tc>
          <w:tcPr>
            <w:tcW w:w="1284" w:type="dxa"/>
            <w:tcBorders>
              <w:top w:val="single" w:sz="4" w:space="0" w:color="auto"/>
              <w:left w:val="single" w:sz="4" w:space="0" w:color="auto"/>
              <w:bottom w:val="single" w:sz="4" w:space="0" w:color="auto"/>
              <w:right w:val="single" w:sz="4" w:space="0" w:color="auto"/>
            </w:tcBorders>
            <w:hideMark/>
          </w:tcPr>
          <w:p w14:paraId="4FE502B3"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57 (18.9%)</w:t>
            </w:r>
          </w:p>
        </w:tc>
        <w:tc>
          <w:tcPr>
            <w:tcW w:w="1438" w:type="dxa"/>
            <w:tcBorders>
              <w:top w:val="single" w:sz="4" w:space="0" w:color="auto"/>
              <w:left w:val="single" w:sz="4" w:space="0" w:color="auto"/>
              <w:bottom w:val="single" w:sz="4" w:space="0" w:color="auto"/>
              <w:right w:val="single" w:sz="4" w:space="0" w:color="auto"/>
            </w:tcBorders>
            <w:hideMark/>
          </w:tcPr>
          <w:p w14:paraId="1FA57C2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67 (22.3%)</w:t>
            </w:r>
          </w:p>
        </w:tc>
        <w:tc>
          <w:tcPr>
            <w:tcW w:w="858" w:type="dxa"/>
            <w:tcBorders>
              <w:top w:val="single" w:sz="4" w:space="0" w:color="auto"/>
              <w:left w:val="single" w:sz="4" w:space="0" w:color="auto"/>
              <w:bottom w:val="single" w:sz="4" w:space="0" w:color="auto"/>
              <w:right w:val="single" w:sz="4" w:space="0" w:color="auto"/>
            </w:tcBorders>
            <w:hideMark/>
          </w:tcPr>
          <w:p w14:paraId="2A987F9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2.66</w:t>
            </w:r>
          </w:p>
        </w:tc>
        <w:tc>
          <w:tcPr>
            <w:tcW w:w="640" w:type="dxa"/>
            <w:tcBorders>
              <w:top w:val="single" w:sz="4" w:space="0" w:color="auto"/>
              <w:left w:val="single" w:sz="4" w:space="0" w:color="auto"/>
              <w:bottom w:val="single" w:sz="4" w:space="0" w:color="auto"/>
              <w:right w:val="single" w:sz="4" w:space="0" w:color="auto"/>
            </w:tcBorders>
            <w:hideMark/>
          </w:tcPr>
          <w:p w14:paraId="3763B02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1.13</w:t>
            </w:r>
          </w:p>
        </w:tc>
      </w:tr>
      <w:tr w:rsidR="00BA71AC" w:rsidRPr="00BA71AC" w14:paraId="138D075B"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77EF88B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Male medical students are expected to take more leadership role during group projects or research activities compared to female medical students</w:t>
            </w:r>
          </w:p>
        </w:tc>
        <w:tc>
          <w:tcPr>
            <w:tcW w:w="1134" w:type="dxa"/>
            <w:tcBorders>
              <w:top w:val="single" w:sz="4" w:space="0" w:color="auto"/>
              <w:left w:val="single" w:sz="4" w:space="0" w:color="auto"/>
              <w:bottom w:val="single" w:sz="4" w:space="0" w:color="auto"/>
              <w:right w:val="single" w:sz="4" w:space="0" w:color="auto"/>
            </w:tcBorders>
            <w:hideMark/>
          </w:tcPr>
          <w:p w14:paraId="3B5D71F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55 (18.3%)</w:t>
            </w:r>
          </w:p>
        </w:tc>
        <w:tc>
          <w:tcPr>
            <w:tcW w:w="791" w:type="dxa"/>
            <w:tcBorders>
              <w:top w:val="single" w:sz="4" w:space="0" w:color="auto"/>
              <w:left w:val="single" w:sz="4" w:space="0" w:color="auto"/>
              <w:bottom w:val="single" w:sz="4" w:space="0" w:color="auto"/>
              <w:right w:val="single" w:sz="4" w:space="0" w:color="auto"/>
            </w:tcBorders>
            <w:hideMark/>
          </w:tcPr>
          <w:p w14:paraId="0AE99FF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95 (31.6%)</w:t>
            </w:r>
          </w:p>
        </w:tc>
        <w:tc>
          <w:tcPr>
            <w:tcW w:w="1284" w:type="dxa"/>
            <w:tcBorders>
              <w:top w:val="single" w:sz="4" w:space="0" w:color="auto"/>
              <w:left w:val="single" w:sz="4" w:space="0" w:color="auto"/>
              <w:bottom w:val="single" w:sz="4" w:space="0" w:color="auto"/>
              <w:right w:val="single" w:sz="4" w:space="0" w:color="auto"/>
            </w:tcBorders>
            <w:hideMark/>
          </w:tcPr>
          <w:p w14:paraId="3FA9B58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106 (35.2%)</w:t>
            </w:r>
          </w:p>
        </w:tc>
        <w:tc>
          <w:tcPr>
            <w:tcW w:w="1438" w:type="dxa"/>
            <w:tcBorders>
              <w:top w:val="single" w:sz="4" w:space="0" w:color="auto"/>
              <w:left w:val="single" w:sz="4" w:space="0" w:color="auto"/>
              <w:bottom w:val="single" w:sz="4" w:space="0" w:color="auto"/>
              <w:right w:val="single" w:sz="4" w:space="0" w:color="auto"/>
            </w:tcBorders>
            <w:hideMark/>
          </w:tcPr>
          <w:p w14:paraId="6CA5886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45 (15.0%)</w:t>
            </w:r>
          </w:p>
        </w:tc>
        <w:tc>
          <w:tcPr>
            <w:tcW w:w="858" w:type="dxa"/>
            <w:tcBorders>
              <w:top w:val="single" w:sz="4" w:space="0" w:color="auto"/>
              <w:left w:val="single" w:sz="4" w:space="0" w:color="auto"/>
              <w:bottom w:val="single" w:sz="4" w:space="0" w:color="auto"/>
              <w:right w:val="single" w:sz="4" w:space="0" w:color="auto"/>
            </w:tcBorders>
            <w:hideMark/>
          </w:tcPr>
          <w:p w14:paraId="256ED68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2.53</w:t>
            </w:r>
          </w:p>
        </w:tc>
        <w:tc>
          <w:tcPr>
            <w:tcW w:w="640" w:type="dxa"/>
            <w:tcBorders>
              <w:top w:val="single" w:sz="4" w:space="0" w:color="auto"/>
              <w:left w:val="single" w:sz="4" w:space="0" w:color="auto"/>
              <w:bottom w:val="single" w:sz="4" w:space="0" w:color="auto"/>
              <w:right w:val="single" w:sz="4" w:space="0" w:color="auto"/>
            </w:tcBorders>
            <w:hideMark/>
          </w:tcPr>
          <w:p w14:paraId="2827A26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.96</w:t>
            </w:r>
          </w:p>
        </w:tc>
      </w:tr>
      <w:tr w:rsidR="00BA71AC" w:rsidRPr="00BA71AC" w14:paraId="512B7C6C"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245FF6A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 xml:space="preserve">Female medical students feel pressured to perform task that are male related </w:t>
            </w:r>
          </w:p>
        </w:tc>
        <w:tc>
          <w:tcPr>
            <w:tcW w:w="1134" w:type="dxa"/>
            <w:tcBorders>
              <w:top w:val="single" w:sz="4" w:space="0" w:color="auto"/>
              <w:left w:val="single" w:sz="4" w:space="0" w:color="auto"/>
              <w:bottom w:val="single" w:sz="4" w:space="0" w:color="auto"/>
              <w:right w:val="single" w:sz="4" w:space="0" w:color="auto"/>
            </w:tcBorders>
            <w:hideMark/>
          </w:tcPr>
          <w:p w14:paraId="1086B1F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45 (15.0%)</w:t>
            </w:r>
          </w:p>
        </w:tc>
        <w:tc>
          <w:tcPr>
            <w:tcW w:w="791" w:type="dxa"/>
            <w:tcBorders>
              <w:top w:val="single" w:sz="4" w:space="0" w:color="auto"/>
              <w:left w:val="single" w:sz="4" w:space="0" w:color="auto"/>
              <w:bottom w:val="single" w:sz="4" w:space="0" w:color="auto"/>
              <w:right w:val="single" w:sz="4" w:space="0" w:color="auto"/>
            </w:tcBorders>
            <w:hideMark/>
          </w:tcPr>
          <w:p w14:paraId="1A666B9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83 (27.6%)</w:t>
            </w:r>
          </w:p>
        </w:tc>
        <w:tc>
          <w:tcPr>
            <w:tcW w:w="1284" w:type="dxa"/>
            <w:tcBorders>
              <w:top w:val="single" w:sz="4" w:space="0" w:color="auto"/>
              <w:left w:val="single" w:sz="4" w:space="0" w:color="auto"/>
              <w:bottom w:val="single" w:sz="4" w:space="0" w:color="auto"/>
              <w:right w:val="single" w:sz="4" w:space="0" w:color="auto"/>
            </w:tcBorders>
            <w:hideMark/>
          </w:tcPr>
          <w:p w14:paraId="663B047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128 (42.5%)</w:t>
            </w:r>
          </w:p>
        </w:tc>
        <w:tc>
          <w:tcPr>
            <w:tcW w:w="1438" w:type="dxa"/>
            <w:tcBorders>
              <w:top w:val="single" w:sz="4" w:space="0" w:color="auto"/>
              <w:left w:val="single" w:sz="4" w:space="0" w:color="auto"/>
              <w:bottom w:val="single" w:sz="4" w:space="0" w:color="auto"/>
              <w:right w:val="single" w:sz="4" w:space="0" w:color="auto"/>
            </w:tcBorders>
            <w:hideMark/>
          </w:tcPr>
          <w:p w14:paraId="0126CC9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45 (15.0%)</w:t>
            </w:r>
          </w:p>
        </w:tc>
        <w:tc>
          <w:tcPr>
            <w:tcW w:w="858" w:type="dxa"/>
            <w:tcBorders>
              <w:top w:val="single" w:sz="4" w:space="0" w:color="auto"/>
              <w:left w:val="single" w:sz="4" w:space="0" w:color="auto"/>
              <w:bottom w:val="single" w:sz="4" w:space="0" w:color="auto"/>
              <w:right w:val="single" w:sz="4" w:space="0" w:color="auto"/>
            </w:tcBorders>
            <w:hideMark/>
          </w:tcPr>
          <w:p w14:paraId="4884107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2.43</w:t>
            </w:r>
          </w:p>
        </w:tc>
        <w:tc>
          <w:tcPr>
            <w:tcW w:w="640" w:type="dxa"/>
            <w:tcBorders>
              <w:top w:val="single" w:sz="4" w:space="0" w:color="auto"/>
              <w:left w:val="single" w:sz="4" w:space="0" w:color="auto"/>
              <w:bottom w:val="single" w:sz="4" w:space="0" w:color="auto"/>
              <w:right w:val="single" w:sz="4" w:space="0" w:color="auto"/>
            </w:tcBorders>
            <w:hideMark/>
          </w:tcPr>
          <w:p w14:paraId="0D780A3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.92</w:t>
            </w:r>
          </w:p>
        </w:tc>
      </w:tr>
      <w:tr w:rsidR="00BA71AC" w:rsidRPr="00BA71AC" w14:paraId="1ECF41C4"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0C5122C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
                <w:bCs/>
                <w:sz w:val="24"/>
                <w:szCs w:val="24"/>
              </w:rPr>
              <w:t>Occupational Segregation</w:t>
            </w:r>
          </w:p>
        </w:tc>
        <w:tc>
          <w:tcPr>
            <w:tcW w:w="1134" w:type="dxa"/>
            <w:tcBorders>
              <w:top w:val="single" w:sz="4" w:space="0" w:color="auto"/>
              <w:left w:val="single" w:sz="4" w:space="0" w:color="auto"/>
              <w:bottom w:val="single" w:sz="4" w:space="0" w:color="auto"/>
              <w:right w:val="single" w:sz="4" w:space="0" w:color="auto"/>
            </w:tcBorders>
            <w:hideMark/>
          </w:tcPr>
          <w:p w14:paraId="1FB053E9"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tc>
        <w:tc>
          <w:tcPr>
            <w:tcW w:w="791" w:type="dxa"/>
            <w:tcBorders>
              <w:top w:val="single" w:sz="4" w:space="0" w:color="auto"/>
              <w:left w:val="single" w:sz="4" w:space="0" w:color="auto"/>
              <w:bottom w:val="single" w:sz="4" w:space="0" w:color="auto"/>
              <w:right w:val="single" w:sz="4" w:space="0" w:color="auto"/>
            </w:tcBorders>
            <w:hideMark/>
          </w:tcPr>
          <w:p w14:paraId="4A8FD1C8"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284" w:type="dxa"/>
            <w:tcBorders>
              <w:top w:val="single" w:sz="4" w:space="0" w:color="auto"/>
              <w:left w:val="single" w:sz="4" w:space="0" w:color="auto"/>
              <w:bottom w:val="single" w:sz="4" w:space="0" w:color="auto"/>
              <w:right w:val="single" w:sz="4" w:space="0" w:color="auto"/>
            </w:tcBorders>
            <w:hideMark/>
          </w:tcPr>
          <w:p w14:paraId="0A6FD215"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438" w:type="dxa"/>
            <w:tcBorders>
              <w:top w:val="single" w:sz="4" w:space="0" w:color="auto"/>
              <w:left w:val="single" w:sz="4" w:space="0" w:color="auto"/>
              <w:bottom w:val="single" w:sz="4" w:space="0" w:color="auto"/>
              <w:right w:val="single" w:sz="4" w:space="0" w:color="auto"/>
            </w:tcBorders>
            <w:hideMark/>
          </w:tcPr>
          <w:p w14:paraId="7EDB1CBB"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hideMark/>
          </w:tcPr>
          <w:p w14:paraId="36EA3F79"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2.47</w:t>
            </w:r>
          </w:p>
        </w:tc>
        <w:tc>
          <w:tcPr>
            <w:tcW w:w="640" w:type="dxa"/>
            <w:tcBorders>
              <w:top w:val="single" w:sz="4" w:space="0" w:color="auto"/>
              <w:left w:val="single" w:sz="4" w:space="0" w:color="auto"/>
              <w:bottom w:val="single" w:sz="4" w:space="0" w:color="auto"/>
              <w:right w:val="single" w:sz="4" w:space="0" w:color="auto"/>
            </w:tcBorders>
            <w:hideMark/>
          </w:tcPr>
          <w:p w14:paraId="5391E371"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.63</w:t>
            </w:r>
          </w:p>
        </w:tc>
      </w:tr>
      <w:tr w:rsidR="00BA71AC" w:rsidRPr="00BA71AC" w14:paraId="66447B00"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101ABC4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There are certain medical specialty that have more male students to female students.</w:t>
            </w:r>
          </w:p>
        </w:tc>
        <w:tc>
          <w:tcPr>
            <w:tcW w:w="1134" w:type="dxa"/>
            <w:tcBorders>
              <w:top w:val="single" w:sz="4" w:space="0" w:color="auto"/>
              <w:left w:val="single" w:sz="4" w:space="0" w:color="auto"/>
              <w:bottom w:val="single" w:sz="4" w:space="0" w:color="auto"/>
              <w:right w:val="single" w:sz="4" w:space="0" w:color="auto"/>
            </w:tcBorders>
            <w:hideMark/>
          </w:tcPr>
          <w:p w14:paraId="6CB5622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101 (33.6%)</w:t>
            </w:r>
          </w:p>
        </w:tc>
        <w:tc>
          <w:tcPr>
            <w:tcW w:w="791" w:type="dxa"/>
            <w:tcBorders>
              <w:top w:val="single" w:sz="4" w:space="0" w:color="auto"/>
              <w:left w:val="single" w:sz="4" w:space="0" w:color="auto"/>
              <w:bottom w:val="single" w:sz="4" w:space="0" w:color="auto"/>
              <w:right w:val="single" w:sz="4" w:space="0" w:color="auto"/>
            </w:tcBorders>
            <w:hideMark/>
          </w:tcPr>
          <w:p w14:paraId="0583702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86 (28.6%)</w:t>
            </w:r>
          </w:p>
        </w:tc>
        <w:tc>
          <w:tcPr>
            <w:tcW w:w="1284" w:type="dxa"/>
            <w:tcBorders>
              <w:top w:val="single" w:sz="4" w:space="0" w:color="auto"/>
              <w:left w:val="single" w:sz="4" w:space="0" w:color="auto"/>
              <w:bottom w:val="single" w:sz="4" w:space="0" w:color="auto"/>
              <w:right w:val="single" w:sz="4" w:space="0" w:color="auto"/>
            </w:tcBorders>
            <w:hideMark/>
          </w:tcPr>
          <w:p w14:paraId="1E713C2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80 (26.6%)</w:t>
            </w:r>
          </w:p>
        </w:tc>
        <w:tc>
          <w:tcPr>
            <w:tcW w:w="1438" w:type="dxa"/>
            <w:tcBorders>
              <w:top w:val="single" w:sz="4" w:space="0" w:color="auto"/>
              <w:left w:val="single" w:sz="4" w:space="0" w:color="auto"/>
              <w:bottom w:val="single" w:sz="4" w:space="0" w:color="auto"/>
              <w:right w:val="single" w:sz="4" w:space="0" w:color="auto"/>
            </w:tcBorders>
            <w:hideMark/>
          </w:tcPr>
          <w:p w14:paraId="791CF39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34 (11.3%)</w:t>
            </w:r>
          </w:p>
        </w:tc>
        <w:tc>
          <w:tcPr>
            <w:tcW w:w="858" w:type="dxa"/>
            <w:tcBorders>
              <w:top w:val="single" w:sz="4" w:space="0" w:color="auto"/>
              <w:left w:val="single" w:sz="4" w:space="0" w:color="auto"/>
              <w:bottom w:val="single" w:sz="4" w:space="0" w:color="auto"/>
              <w:right w:val="single" w:sz="4" w:space="0" w:color="auto"/>
            </w:tcBorders>
            <w:hideMark/>
          </w:tcPr>
          <w:p w14:paraId="66BAB343"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2.84</w:t>
            </w:r>
          </w:p>
        </w:tc>
        <w:tc>
          <w:tcPr>
            <w:tcW w:w="640" w:type="dxa"/>
            <w:tcBorders>
              <w:top w:val="single" w:sz="4" w:space="0" w:color="auto"/>
              <w:left w:val="single" w:sz="4" w:space="0" w:color="auto"/>
              <w:bottom w:val="single" w:sz="4" w:space="0" w:color="auto"/>
              <w:right w:val="single" w:sz="4" w:space="0" w:color="auto"/>
            </w:tcBorders>
            <w:hideMark/>
          </w:tcPr>
          <w:p w14:paraId="237BFA7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1.02</w:t>
            </w:r>
          </w:p>
        </w:tc>
      </w:tr>
      <w:tr w:rsidR="00BA71AC" w:rsidRPr="00BA71AC" w14:paraId="47121645"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6C2F8BAF"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Female medical students face greater barriers in accessing advanced electronic medical databases compared to their male counterparts.</w:t>
            </w:r>
          </w:p>
        </w:tc>
        <w:tc>
          <w:tcPr>
            <w:tcW w:w="1134" w:type="dxa"/>
            <w:tcBorders>
              <w:top w:val="single" w:sz="4" w:space="0" w:color="auto"/>
              <w:left w:val="single" w:sz="4" w:space="0" w:color="auto"/>
              <w:bottom w:val="single" w:sz="4" w:space="0" w:color="auto"/>
              <w:right w:val="single" w:sz="4" w:space="0" w:color="auto"/>
            </w:tcBorders>
            <w:hideMark/>
          </w:tcPr>
          <w:p w14:paraId="770EACD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30 (10.0%)</w:t>
            </w:r>
          </w:p>
        </w:tc>
        <w:tc>
          <w:tcPr>
            <w:tcW w:w="791" w:type="dxa"/>
            <w:tcBorders>
              <w:top w:val="single" w:sz="4" w:space="0" w:color="auto"/>
              <w:left w:val="single" w:sz="4" w:space="0" w:color="auto"/>
              <w:bottom w:val="single" w:sz="4" w:space="0" w:color="auto"/>
              <w:right w:val="single" w:sz="4" w:space="0" w:color="auto"/>
            </w:tcBorders>
            <w:hideMark/>
          </w:tcPr>
          <w:p w14:paraId="090A708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109 (36.2%)</w:t>
            </w:r>
          </w:p>
        </w:tc>
        <w:tc>
          <w:tcPr>
            <w:tcW w:w="1284" w:type="dxa"/>
            <w:tcBorders>
              <w:top w:val="single" w:sz="4" w:space="0" w:color="auto"/>
              <w:left w:val="single" w:sz="4" w:space="0" w:color="auto"/>
              <w:bottom w:val="single" w:sz="4" w:space="0" w:color="auto"/>
              <w:right w:val="single" w:sz="4" w:space="0" w:color="auto"/>
            </w:tcBorders>
            <w:hideMark/>
          </w:tcPr>
          <w:p w14:paraId="708BC79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113 (37.5%)</w:t>
            </w:r>
          </w:p>
        </w:tc>
        <w:tc>
          <w:tcPr>
            <w:tcW w:w="1438" w:type="dxa"/>
            <w:tcBorders>
              <w:top w:val="single" w:sz="4" w:space="0" w:color="auto"/>
              <w:left w:val="single" w:sz="4" w:space="0" w:color="auto"/>
              <w:bottom w:val="single" w:sz="4" w:space="0" w:color="auto"/>
              <w:right w:val="single" w:sz="4" w:space="0" w:color="auto"/>
            </w:tcBorders>
            <w:hideMark/>
          </w:tcPr>
          <w:p w14:paraId="3D745F1E"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49 (16.3%)</w:t>
            </w:r>
          </w:p>
        </w:tc>
        <w:tc>
          <w:tcPr>
            <w:tcW w:w="858" w:type="dxa"/>
            <w:tcBorders>
              <w:top w:val="single" w:sz="4" w:space="0" w:color="auto"/>
              <w:left w:val="single" w:sz="4" w:space="0" w:color="auto"/>
              <w:bottom w:val="single" w:sz="4" w:space="0" w:color="auto"/>
              <w:right w:val="single" w:sz="4" w:space="0" w:color="auto"/>
            </w:tcBorders>
            <w:hideMark/>
          </w:tcPr>
          <w:p w14:paraId="3471E089"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2.40</w:t>
            </w:r>
          </w:p>
        </w:tc>
        <w:tc>
          <w:tcPr>
            <w:tcW w:w="640" w:type="dxa"/>
            <w:tcBorders>
              <w:top w:val="single" w:sz="4" w:space="0" w:color="auto"/>
              <w:left w:val="single" w:sz="4" w:space="0" w:color="auto"/>
              <w:bottom w:val="single" w:sz="4" w:space="0" w:color="auto"/>
              <w:right w:val="single" w:sz="4" w:space="0" w:color="auto"/>
            </w:tcBorders>
            <w:hideMark/>
          </w:tcPr>
          <w:p w14:paraId="0FBFAB0F"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.88</w:t>
            </w:r>
          </w:p>
        </w:tc>
      </w:tr>
      <w:tr w:rsidR="00BA71AC" w:rsidRPr="00BA71AC" w14:paraId="638711B0"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1BED3B4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There are clear differences in the types of EIRs utilised by male and female medical students</w:t>
            </w:r>
          </w:p>
        </w:tc>
        <w:tc>
          <w:tcPr>
            <w:tcW w:w="1134" w:type="dxa"/>
            <w:tcBorders>
              <w:top w:val="single" w:sz="4" w:space="0" w:color="auto"/>
              <w:left w:val="single" w:sz="4" w:space="0" w:color="auto"/>
              <w:bottom w:val="single" w:sz="4" w:space="0" w:color="auto"/>
              <w:right w:val="single" w:sz="4" w:space="0" w:color="auto"/>
            </w:tcBorders>
            <w:hideMark/>
          </w:tcPr>
          <w:p w14:paraId="7707969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55 (18.3%)</w:t>
            </w:r>
          </w:p>
        </w:tc>
        <w:tc>
          <w:tcPr>
            <w:tcW w:w="791" w:type="dxa"/>
            <w:tcBorders>
              <w:top w:val="single" w:sz="4" w:space="0" w:color="auto"/>
              <w:left w:val="single" w:sz="4" w:space="0" w:color="auto"/>
              <w:bottom w:val="single" w:sz="4" w:space="0" w:color="auto"/>
              <w:right w:val="single" w:sz="4" w:space="0" w:color="auto"/>
            </w:tcBorders>
            <w:hideMark/>
          </w:tcPr>
          <w:p w14:paraId="7929E8F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77 (25.6%)</w:t>
            </w:r>
          </w:p>
        </w:tc>
        <w:tc>
          <w:tcPr>
            <w:tcW w:w="1284" w:type="dxa"/>
            <w:tcBorders>
              <w:top w:val="single" w:sz="4" w:space="0" w:color="auto"/>
              <w:left w:val="single" w:sz="4" w:space="0" w:color="auto"/>
              <w:bottom w:val="single" w:sz="4" w:space="0" w:color="auto"/>
              <w:right w:val="single" w:sz="4" w:space="0" w:color="auto"/>
            </w:tcBorders>
            <w:hideMark/>
          </w:tcPr>
          <w:p w14:paraId="57DC17B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99 (32.9%)</w:t>
            </w:r>
          </w:p>
        </w:tc>
        <w:tc>
          <w:tcPr>
            <w:tcW w:w="1438" w:type="dxa"/>
            <w:tcBorders>
              <w:top w:val="single" w:sz="4" w:space="0" w:color="auto"/>
              <w:left w:val="single" w:sz="4" w:space="0" w:color="auto"/>
              <w:bottom w:val="single" w:sz="4" w:space="0" w:color="auto"/>
              <w:right w:val="single" w:sz="4" w:space="0" w:color="auto"/>
            </w:tcBorders>
            <w:hideMark/>
          </w:tcPr>
          <w:p w14:paraId="318781CE"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70 (23.3%)</w:t>
            </w:r>
          </w:p>
        </w:tc>
        <w:tc>
          <w:tcPr>
            <w:tcW w:w="858" w:type="dxa"/>
            <w:tcBorders>
              <w:top w:val="single" w:sz="4" w:space="0" w:color="auto"/>
              <w:left w:val="single" w:sz="4" w:space="0" w:color="auto"/>
              <w:bottom w:val="single" w:sz="4" w:space="0" w:color="auto"/>
              <w:right w:val="single" w:sz="4" w:space="0" w:color="auto"/>
            </w:tcBorders>
            <w:hideMark/>
          </w:tcPr>
          <w:p w14:paraId="368B950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2.39</w:t>
            </w:r>
          </w:p>
        </w:tc>
        <w:tc>
          <w:tcPr>
            <w:tcW w:w="640" w:type="dxa"/>
            <w:tcBorders>
              <w:top w:val="single" w:sz="4" w:space="0" w:color="auto"/>
              <w:left w:val="single" w:sz="4" w:space="0" w:color="auto"/>
              <w:bottom w:val="single" w:sz="4" w:space="0" w:color="auto"/>
              <w:right w:val="single" w:sz="4" w:space="0" w:color="auto"/>
            </w:tcBorders>
            <w:hideMark/>
          </w:tcPr>
          <w:p w14:paraId="23E000AF"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1.04</w:t>
            </w:r>
          </w:p>
        </w:tc>
      </w:tr>
      <w:tr w:rsidR="00BA71AC" w:rsidRPr="00BA71AC" w14:paraId="63E0C4BD"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4FBE7E2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lastRenderedPageBreak/>
              <w:t>Female medical students are given less task to explore compared to male students.</w:t>
            </w:r>
          </w:p>
        </w:tc>
        <w:tc>
          <w:tcPr>
            <w:tcW w:w="1134" w:type="dxa"/>
            <w:tcBorders>
              <w:top w:val="single" w:sz="4" w:space="0" w:color="auto"/>
              <w:left w:val="single" w:sz="4" w:space="0" w:color="auto"/>
              <w:bottom w:val="single" w:sz="4" w:space="0" w:color="auto"/>
              <w:right w:val="single" w:sz="4" w:space="0" w:color="auto"/>
            </w:tcBorders>
            <w:hideMark/>
          </w:tcPr>
          <w:p w14:paraId="59FA899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34 (11.3%)</w:t>
            </w:r>
          </w:p>
        </w:tc>
        <w:tc>
          <w:tcPr>
            <w:tcW w:w="791" w:type="dxa"/>
            <w:tcBorders>
              <w:top w:val="single" w:sz="4" w:space="0" w:color="auto"/>
              <w:left w:val="single" w:sz="4" w:space="0" w:color="auto"/>
              <w:bottom w:val="single" w:sz="4" w:space="0" w:color="auto"/>
              <w:right w:val="single" w:sz="4" w:space="0" w:color="auto"/>
            </w:tcBorders>
            <w:hideMark/>
          </w:tcPr>
          <w:p w14:paraId="7B7E380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82 (27.2%)</w:t>
            </w:r>
          </w:p>
        </w:tc>
        <w:tc>
          <w:tcPr>
            <w:tcW w:w="1284" w:type="dxa"/>
            <w:tcBorders>
              <w:top w:val="single" w:sz="4" w:space="0" w:color="auto"/>
              <w:left w:val="single" w:sz="4" w:space="0" w:color="auto"/>
              <w:bottom w:val="single" w:sz="4" w:space="0" w:color="auto"/>
              <w:right w:val="single" w:sz="4" w:space="0" w:color="auto"/>
            </w:tcBorders>
            <w:hideMark/>
          </w:tcPr>
          <w:p w14:paraId="343774C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105 (34.9%)</w:t>
            </w:r>
          </w:p>
        </w:tc>
        <w:tc>
          <w:tcPr>
            <w:tcW w:w="1438" w:type="dxa"/>
            <w:tcBorders>
              <w:top w:val="single" w:sz="4" w:space="0" w:color="auto"/>
              <w:left w:val="single" w:sz="4" w:space="0" w:color="auto"/>
              <w:bottom w:val="single" w:sz="4" w:space="0" w:color="auto"/>
              <w:right w:val="single" w:sz="4" w:space="0" w:color="auto"/>
            </w:tcBorders>
            <w:hideMark/>
          </w:tcPr>
          <w:p w14:paraId="4E86C34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80 (26.6%)</w:t>
            </w:r>
          </w:p>
        </w:tc>
        <w:tc>
          <w:tcPr>
            <w:tcW w:w="858" w:type="dxa"/>
            <w:tcBorders>
              <w:top w:val="single" w:sz="4" w:space="0" w:color="auto"/>
              <w:left w:val="single" w:sz="4" w:space="0" w:color="auto"/>
              <w:bottom w:val="single" w:sz="4" w:space="0" w:color="auto"/>
              <w:right w:val="single" w:sz="4" w:space="0" w:color="auto"/>
            </w:tcBorders>
            <w:hideMark/>
          </w:tcPr>
          <w:p w14:paraId="22FECA0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2.23</w:t>
            </w:r>
          </w:p>
        </w:tc>
        <w:tc>
          <w:tcPr>
            <w:tcW w:w="640" w:type="dxa"/>
            <w:tcBorders>
              <w:top w:val="single" w:sz="4" w:space="0" w:color="auto"/>
              <w:left w:val="single" w:sz="4" w:space="0" w:color="auto"/>
              <w:bottom w:val="single" w:sz="4" w:space="0" w:color="auto"/>
              <w:right w:val="single" w:sz="4" w:space="0" w:color="auto"/>
            </w:tcBorders>
            <w:hideMark/>
          </w:tcPr>
          <w:p w14:paraId="2399F1DF"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.97</w:t>
            </w:r>
          </w:p>
        </w:tc>
      </w:tr>
      <w:tr w:rsidR="00BA71AC" w:rsidRPr="00BA71AC" w14:paraId="22CD57A6"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40E8608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
                <w:bCs/>
                <w:sz w:val="24"/>
                <w:szCs w:val="24"/>
              </w:rPr>
              <w:t>Socialization Processes</w:t>
            </w:r>
          </w:p>
        </w:tc>
        <w:tc>
          <w:tcPr>
            <w:tcW w:w="1134" w:type="dxa"/>
            <w:tcBorders>
              <w:top w:val="single" w:sz="4" w:space="0" w:color="auto"/>
              <w:left w:val="single" w:sz="4" w:space="0" w:color="auto"/>
              <w:bottom w:val="single" w:sz="4" w:space="0" w:color="auto"/>
              <w:right w:val="single" w:sz="4" w:space="0" w:color="auto"/>
            </w:tcBorders>
            <w:hideMark/>
          </w:tcPr>
          <w:p w14:paraId="2DCAE02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tc>
        <w:tc>
          <w:tcPr>
            <w:tcW w:w="791" w:type="dxa"/>
            <w:tcBorders>
              <w:top w:val="single" w:sz="4" w:space="0" w:color="auto"/>
              <w:left w:val="single" w:sz="4" w:space="0" w:color="auto"/>
              <w:bottom w:val="single" w:sz="4" w:space="0" w:color="auto"/>
              <w:right w:val="single" w:sz="4" w:space="0" w:color="auto"/>
            </w:tcBorders>
            <w:hideMark/>
          </w:tcPr>
          <w:p w14:paraId="5B06D15F"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284" w:type="dxa"/>
            <w:tcBorders>
              <w:top w:val="single" w:sz="4" w:space="0" w:color="auto"/>
              <w:left w:val="single" w:sz="4" w:space="0" w:color="auto"/>
              <w:bottom w:val="single" w:sz="4" w:space="0" w:color="auto"/>
              <w:right w:val="single" w:sz="4" w:space="0" w:color="auto"/>
            </w:tcBorders>
            <w:hideMark/>
          </w:tcPr>
          <w:p w14:paraId="2F9B1E1A"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438" w:type="dxa"/>
            <w:tcBorders>
              <w:top w:val="single" w:sz="4" w:space="0" w:color="auto"/>
              <w:left w:val="single" w:sz="4" w:space="0" w:color="auto"/>
              <w:bottom w:val="single" w:sz="4" w:space="0" w:color="auto"/>
              <w:right w:val="single" w:sz="4" w:space="0" w:color="auto"/>
            </w:tcBorders>
            <w:hideMark/>
          </w:tcPr>
          <w:p w14:paraId="6CDE9732"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hideMark/>
          </w:tcPr>
          <w:p w14:paraId="325B4B81"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2.41</w:t>
            </w:r>
          </w:p>
        </w:tc>
        <w:tc>
          <w:tcPr>
            <w:tcW w:w="640" w:type="dxa"/>
            <w:tcBorders>
              <w:top w:val="single" w:sz="4" w:space="0" w:color="auto"/>
              <w:left w:val="single" w:sz="4" w:space="0" w:color="auto"/>
              <w:bottom w:val="single" w:sz="4" w:space="0" w:color="auto"/>
              <w:right w:val="single" w:sz="4" w:space="0" w:color="auto"/>
            </w:tcBorders>
            <w:hideMark/>
          </w:tcPr>
          <w:p w14:paraId="736C74E5"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.52</w:t>
            </w:r>
          </w:p>
        </w:tc>
      </w:tr>
      <w:tr w:rsidR="00BA71AC" w:rsidRPr="00BA71AC" w14:paraId="057ACD0E"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3AA848D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Female medical students receive similar encouragement and support in their professional association as Male medical student</w:t>
            </w:r>
          </w:p>
        </w:tc>
        <w:tc>
          <w:tcPr>
            <w:tcW w:w="1134" w:type="dxa"/>
            <w:tcBorders>
              <w:top w:val="single" w:sz="4" w:space="0" w:color="auto"/>
              <w:left w:val="single" w:sz="4" w:space="0" w:color="auto"/>
              <w:bottom w:val="single" w:sz="4" w:space="0" w:color="auto"/>
              <w:right w:val="single" w:sz="4" w:space="0" w:color="auto"/>
            </w:tcBorders>
            <w:hideMark/>
          </w:tcPr>
          <w:p w14:paraId="64FFD35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99 (32.9%)</w:t>
            </w:r>
          </w:p>
        </w:tc>
        <w:tc>
          <w:tcPr>
            <w:tcW w:w="791" w:type="dxa"/>
            <w:tcBorders>
              <w:top w:val="single" w:sz="4" w:space="0" w:color="auto"/>
              <w:left w:val="single" w:sz="4" w:space="0" w:color="auto"/>
              <w:bottom w:val="single" w:sz="4" w:space="0" w:color="auto"/>
              <w:right w:val="single" w:sz="4" w:space="0" w:color="auto"/>
            </w:tcBorders>
            <w:hideMark/>
          </w:tcPr>
          <w:p w14:paraId="455AE1D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114 (37.9%)</w:t>
            </w:r>
          </w:p>
        </w:tc>
        <w:tc>
          <w:tcPr>
            <w:tcW w:w="1284" w:type="dxa"/>
            <w:tcBorders>
              <w:top w:val="single" w:sz="4" w:space="0" w:color="auto"/>
              <w:left w:val="single" w:sz="4" w:space="0" w:color="auto"/>
              <w:bottom w:val="single" w:sz="4" w:space="0" w:color="auto"/>
              <w:right w:val="single" w:sz="4" w:space="0" w:color="auto"/>
            </w:tcBorders>
            <w:hideMark/>
          </w:tcPr>
          <w:p w14:paraId="4A976C1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77 (25.6%)</w:t>
            </w:r>
          </w:p>
        </w:tc>
        <w:tc>
          <w:tcPr>
            <w:tcW w:w="1438" w:type="dxa"/>
            <w:tcBorders>
              <w:top w:val="single" w:sz="4" w:space="0" w:color="auto"/>
              <w:left w:val="single" w:sz="4" w:space="0" w:color="auto"/>
              <w:bottom w:val="single" w:sz="4" w:space="0" w:color="auto"/>
              <w:right w:val="single" w:sz="4" w:space="0" w:color="auto"/>
            </w:tcBorders>
            <w:hideMark/>
          </w:tcPr>
          <w:p w14:paraId="2E19BC6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 (3.7%)</w:t>
            </w:r>
          </w:p>
        </w:tc>
        <w:tc>
          <w:tcPr>
            <w:tcW w:w="858" w:type="dxa"/>
            <w:tcBorders>
              <w:top w:val="single" w:sz="4" w:space="0" w:color="auto"/>
              <w:left w:val="single" w:sz="4" w:space="0" w:color="auto"/>
              <w:bottom w:val="single" w:sz="4" w:space="0" w:color="auto"/>
              <w:right w:val="single" w:sz="4" w:space="0" w:color="auto"/>
            </w:tcBorders>
            <w:hideMark/>
          </w:tcPr>
          <w:p w14:paraId="2C5D179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3.00</w:t>
            </w:r>
          </w:p>
        </w:tc>
        <w:tc>
          <w:tcPr>
            <w:tcW w:w="640" w:type="dxa"/>
            <w:tcBorders>
              <w:top w:val="single" w:sz="4" w:space="0" w:color="auto"/>
              <w:left w:val="single" w:sz="4" w:space="0" w:color="auto"/>
              <w:bottom w:val="single" w:sz="4" w:space="0" w:color="auto"/>
              <w:right w:val="single" w:sz="4" w:space="0" w:color="auto"/>
            </w:tcBorders>
            <w:hideMark/>
          </w:tcPr>
          <w:p w14:paraId="0A5F4F8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.86</w:t>
            </w:r>
          </w:p>
        </w:tc>
      </w:tr>
      <w:tr w:rsidR="00BA71AC" w:rsidRPr="00BA71AC" w14:paraId="6585199B"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531951D9"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Female medical students utilise EIRs more than the male medical students in doing their group assignments</w:t>
            </w:r>
          </w:p>
        </w:tc>
        <w:tc>
          <w:tcPr>
            <w:tcW w:w="1134" w:type="dxa"/>
            <w:tcBorders>
              <w:top w:val="single" w:sz="4" w:space="0" w:color="auto"/>
              <w:left w:val="single" w:sz="4" w:space="0" w:color="auto"/>
              <w:bottom w:val="single" w:sz="4" w:space="0" w:color="auto"/>
              <w:right w:val="single" w:sz="4" w:space="0" w:color="auto"/>
            </w:tcBorders>
            <w:hideMark/>
          </w:tcPr>
          <w:p w14:paraId="0D65E1C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32 (10.6%)</w:t>
            </w:r>
          </w:p>
        </w:tc>
        <w:tc>
          <w:tcPr>
            <w:tcW w:w="791" w:type="dxa"/>
            <w:tcBorders>
              <w:top w:val="single" w:sz="4" w:space="0" w:color="auto"/>
              <w:left w:val="single" w:sz="4" w:space="0" w:color="auto"/>
              <w:bottom w:val="single" w:sz="4" w:space="0" w:color="auto"/>
              <w:right w:val="single" w:sz="4" w:space="0" w:color="auto"/>
            </w:tcBorders>
            <w:hideMark/>
          </w:tcPr>
          <w:p w14:paraId="1893510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95 (31.6%)</w:t>
            </w:r>
          </w:p>
        </w:tc>
        <w:tc>
          <w:tcPr>
            <w:tcW w:w="1284" w:type="dxa"/>
            <w:tcBorders>
              <w:top w:val="single" w:sz="4" w:space="0" w:color="auto"/>
              <w:left w:val="single" w:sz="4" w:space="0" w:color="auto"/>
              <w:bottom w:val="single" w:sz="4" w:space="0" w:color="auto"/>
              <w:right w:val="single" w:sz="4" w:space="0" w:color="auto"/>
            </w:tcBorders>
            <w:hideMark/>
          </w:tcPr>
          <w:p w14:paraId="669778A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148 (49.2%)</w:t>
            </w:r>
          </w:p>
        </w:tc>
        <w:tc>
          <w:tcPr>
            <w:tcW w:w="1438" w:type="dxa"/>
            <w:tcBorders>
              <w:top w:val="single" w:sz="4" w:space="0" w:color="auto"/>
              <w:left w:val="single" w:sz="4" w:space="0" w:color="auto"/>
              <w:bottom w:val="single" w:sz="4" w:space="0" w:color="auto"/>
              <w:right w:val="single" w:sz="4" w:space="0" w:color="auto"/>
            </w:tcBorders>
            <w:hideMark/>
          </w:tcPr>
          <w:p w14:paraId="5BFD01C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26 (8.6%)</w:t>
            </w:r>
          </w:p>
        </w:tc>
        <w:tc>
          <w:tcPr>
            <w:tcW w:w="858" w:type="dxa"/>
            <w:tcBorders>
              <w:top w:val="single" w:sz="4" w:space="0" w:color="auto"/>
              <w:left w:val="single" w:sz="4" w:space="0" w:color="auto"/>
              <w:bottom w:val="single" w:sz="4" w:space="0" w:color="auto"/>
              <w:right w:val="single" w:sz="4" w:space="0" w:color="auto"/>
            </w:tcBorders>
            <w:hideMark/>
          </w:tcPr>
          <w:p w14:paraId="1439F7F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2.44</w:t>
            </w:r>
          </w:p>
        </w:tc>
        <w:tc>
          <w:tcPr>
            <w:tcW w:w="640" w:type="dxa"/>
            <w:tcBorders>
              <w:top w:val="single" w:sz="4" w:space="0" w:color="auto"/>
              <w:left w:val="single" w:sz="4" w:space="0" w:color="auto"/>
              <w:bottom w:val="single" w:sz="4" w:space="0" w:color="auto"/>
              <w:right w:val="single" w:sz="4" w:space="0" w:color="auto"/>
            </w:tcBorders>
            <w:hideMark/>
          </w:tcPr>
          <w:p w14:paraId="0EEAECA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.80</w:t>
            </w:r>
          </w:p>
        </w:tc>
      </w:tr>
      <w:tr w:rsidR="00BA71AC" w:rsidRPr="00BA71AC" w14:paraId="6EFE88BE"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3E343AD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Male medical students are mostly represented in media than female medical students</w:t>
            </w:r>
          </w:p>
        </w:tc>
        <w:tc>
          <w:tcPr>
            <w:tcW w:w="1134" w:type="dxa"/>
            <w:tcBorders>
              <w:top w:val="single" w:sz="4" w:space="0" w:color="auto"/>
              <w:left w:val="single" w:sz="4" w:space="0" w:color="auto"/>
              <w:bottom w:val="single" w:sz="4" w:space="0" w:color="auto"/>
              <w:right w:val="single" w:sz="4" w:space="0" w:color="auto"/>
            </w:tcBorders>
            <w:hideMark/>
          </w:tcPr>
          <w:p w14:paraId="74C1C9F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27 (9.0%)</w:t>
            </w:r>
          </w:p>
        </w:tc>
        <w:tc>
          <w:tcPr>
            <w:tcW w:w="791" w:type="dxa"/>
            <w:tcBorders>
              <w:top w:val="single" w:sz="4" w:space="0" w:color="auto"/>
              <w:left w:val="single" w:sz="4" w:space="0" w:color="auto"/>
              <w:bottom w:val="single" w:sz="4" w:space="0" w:color="auto"/>
              <w:right w:val="single" w:sz="4" w:space="0" w:color="auto"/>
            </w:tcBorders>
            <w:hideMark/>
          </w:tcPr>
          <w:p w14:paraId="496D87E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56 (18.6%)</w:t>
            </w:r>
          </w:p>
        </w:tc>
        <w:tc>
          <w:tcPr>
            <w:tcW w:w="1284" w:type="dxa"/>
            <w:tcBorders>
              <w:top w:val="single" w:sz="4" w:space="0" w:color="auto"/>
              <w:left w:val="single" w:sz="4" w:space="0" w:color="auto"/>
              <w:bottom w:val="single" w:sz="4" w:space="0" w:color="auto"/>
              <w:right w:val="single" w:sz="4" w:space="0" w:color="auto"/>
            </w:tcBorders>
            <w:hideMark/>
          </w:tcPr>
          <w:p w14:paraId="0A03A94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141 (46.8%)</w:t>
            </w:r>
          </w:p>
        </w:tc>
        <w:tc>
          <w:tcPr>
            <w:tcW w:w="1438" w:type="dxa"/>
            <w:tcBorders>
              <w:top w:val="single" w:sz="4" w:space="0" w:color="auto"/>
              <w:left w:val="single" w:sz="4" w:space="0" w:color="auto"/>
              <w:bottom w:val="single" w:sz="4" w:space="0" w:color="auto"/>
              <w:right w:val="single" w:sz="4" w:space="0" w:color="auto"/>
            </w:tcBorders>
            <w:hideMark/>
          </w:tcPr>
          <w:p w14:paraId="49819BA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77 (25.6%)</w:t>
            </w:r>
          </w:p>
        </w:tc>
        <w:tc>
          <w:tcPr>
            <w:tcW w:w="858" w:type="dxa"/>
            <w:tcBorders>
              <w:top w:val="single" w:sz="4" w:space="0" w:color="auto"/>
              <w:left w:val="single" w:sz="4" w:space="0" w:color="auto"/>
              <w:bottom w:val="single" w:sz="4" w:space="0" w:color="auto"/>
              <w:right w:val="single" w:sz="4" w:space="0" w:color="auto"/>
            </w:tcBorders>
            <w:hideMark/>
          </w:tcPr>
          <w:p w14:paraId="0C3E0D0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2.11</w:t>
            </w:r>
          </w:p>
        </w:tc>
        <w:tc>
          <w:tcPr>
            <w:tcW w:w="640" w:type="dxa"/>
            <w:tcBorders>
              <w:top w:val="single" w:sz="4" w:space="0" w:color="auto"/>
              <w:left w:val="single" w:sz="4" w:space="0" w:color="auto"/>
              <w:bottom w:val="single" w:sz="4" w:space="0" w:color="auto"/>
              <w:right w:val="single" w:sz="4" w:space="0" w:color="auto"/>
            </w:tcBorders>
            <w:hideMark/>
          </w:tcPr>
          <w:p w14:paraId="4385619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.89</w:t>
            </w:r>
          </w:p>
        </w:tc>
      </w:tr>
      <w:tr w:rsidR="00BA71AC" w:rsidRPr="00BA71AC" w14:paraId="3DEBEB50"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35D0D08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Gender stereotypes affect more of male medical students when carrying out certain tasks assigned than female</w:t>
            </w:r>
          </w:p>
        </w:tc>
        <w:tc>
          <w:tcPr>
            <w:tcW w:w="1134" w:type="dxa"/>
            <w:tcBorders>
              <w:top w:val="single" w:sz="4" w:space="0" w:color="auto"/>
              <w:left w:val="single" w:sz="4" w:space="0" w:color="auto"/>
              <w:bottom w:val="single" w:sz="4" w:space="0" w:color="auto"/>
              <w:right w:val="single" w:sz="4" w:space="0" w:color="auto"/>
            </w:tcBorders>
            <w:hideMark/>
          </w:tcPr>
          <w:p w14:paraId="26DC3C9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26 (8.6%)</w:t>
            </w:r>
          </w:p>
        </w:tc>
        <w:tc>
          <w:tcPr>
            <w:tcW w:w="791" w:type="dxa"/>
            <w:tcBorders>
              <w:top w:val="single" w:sz="4" w:space="0" w:color="auto"/>
              <w:left w:val="single" w:sz="4" w:space="0" w:color="auto"/>
              <w:bottom w:val="single" w:sz="4" w:space="0" w:color="auto"/>
              <w:right w:val="single" w:sz="4" w:space="0" w:color="auto"/>
            </w:tcBorders>
            <w:hideMark/>
          </w:tcPr>
          <w:p w14:paraId="6A0CF7C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50 (16.6%)</w:t>
            </w:r>
          </w:p>
        </w:tc>
        <w:tc>
          <w:tcPr>
            <w:tcW w:w="1284" w:type="dxa"/>
            <w:tcBorders>
              <w:top w:val="single" w:sz="4" w:space="0" w:color="auto"/>
              <w:left w:val="single" w:sz="4" w:space="0" w:color="auto"/>
              <w:bottom w:val="single" w:sz="4" w:space="0" w:color="auto"/>
              <w:right w:val="single" w:sz="4" w:space="0" w:color="auto"/>
            </w:tcBorders>
            <w:hideMark/>
          </w:tcPr>
          <w:p w14:paraId="0E8B1485"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152 (50.5%)</w:t>
            </w:r>
          </w:p>
        </w:tc>
        <w:tc>
          <w:tcPr>
            <w:tcW w:w="1438" w:type="dxa"/>
            <w:tcBorders>
              <w:top w:val="single" w:sz="4" w:space="0" w:color="auto"/>
              <w:left w:val="single" w:sz="4" w:space="0" w:color="auto"/>
              <w:bottom w:val="single" w:sz="4" w:space="0" w:color="auto"/>
              <w:right w:val="single" w:sz="4" w:space="0" w:color="auto"/>
            </w:tcBorders>
            <w:hideMark/>
          </w:tcPr>
          <w:p w14:paraId="089EE9C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73 (24.3%)</w:t>
            </w:r>
          </w:p>
        </w:tc>
        <w:tc>
          <w:tcPr>
            <w:tcW w:w="858" w:type="dxa"/>
            <w:tcBorders>
              <w:top w:val="single" w:sz="4" w:space="0" w:color="auto"/>
              <w:left w:val="single" w:sz="4" w:space="0" w:color="auto"/>
              <w:bottom w:val="single" w:sz="4" w:space="0" w:color="auto"/>
              <w:right w:val="single" w:sz="4" w:space="0" w:color="auto"/>
            </w:tcBorders>
            <w:hideMark/>
          </w:tcPr>
          <w:p w14:paraId="537AC79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2.10</w:t>
            </w:r>
          </w:p>
        </w:tc>
        <w:tc>
          <w:tcPr>
            <w:tcW w:w="640" w:type="dxa"/>
            <w:tcBorders>
              <w:top w:val="single" w:sz="4" w:space="0" w:color="auto"/>
              <w:left w:val="single" w:sz="4" w:space="0" w:color="auto"/>
              <w:bottom w:val="single" w:sz="4" w:space="0" w:color="auto"/>
              <w:right w:val="single" w:sz="4" w:space="0" w:color="auto"/>
            </w:tcBorders>
            <w:hideMark/>
          </w:tcPr>
          <w:p w14:paraId="2846C47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.86</w:t>
            </w:r>
          </w:p>
        </w:tc>
      </w:tr>
      <w:tr w:rsidR="00BA71AC" w:rsidRPr="00BA71AC" w14:paraId="7E2B605F"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1EAF2CFD"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
                <w:bCs/>
                <w:sz w:val="24"/>
                <w:szCs w:val="24"/>
              </w:rPr>
              <w:t>Technological Competence</w:t>
            </w:r>
          </w:p>
        </w:tc>
        <w:tc>
          <w:tcPr>
            <w:tcW w:w="1134" w:type="dxa"/>
            <w:tcBorders>
              <w:top w:val="single" w:sz="4" w:space="0" w:color="auto"/>
              <w:left w:val="single" w:sz="4" w:space="0" w:color="auto"/>
              <w:bottom w:val="single" w:sz="4" w:space="0" w:color="auto"/>
              <w:right w:val="single" w:sz="4" w:space="0" w:color="auto"/>
            </w:tcBorders>
            <w:hideMark/>
          </w:tcPr>
          <w:p w14:paraId="415D9FF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p>
        </w:tc>
        <w:tc>
          <w:tcPr>
            <w:tcW w:w="791" w:type="dxa"/>
            <w:tcBorders>
              <w:top w:val="single" w:sz="4" w:space="0" w:color="auto"/>
              <w:left w:val="single" w:sz="4" w:space="0" w:color="auto"/>
              <w:bottom w:val="single" w:sz="4" w:space="0" w:color="auto"/>
              <w:right w:val="single" w:sz="4" w:space="0" w:color="auto"/>
            </w:tcBorders>
            <w:hideMark/>
          </w:tcPr>
          <w:p w14:paraId="3FCF3142"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284" w:type="dxa"/>
            <w:tcBorders>
              <w:top w:val="single" w:sz="4" w:space="0" w:color="auto"/>
              <w:left w:val="single" w:sz="4" w:space="0" w:color="auto"/>
              <w:bottom w:val="single" w:sz="4" w:space="0" w:color="auto"/>
              <w:right w:val="single" w:sz="4" w:space="0" w:color="auto"/>
            </w:tcBorders>
            <w:hideMark/>
          </w:tcPr>
          <w:p w14:paraId="0AA178FC"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1438" w:type="dxa"/>
            <w:tcBorders>
              <w:top w:val="single" w:sz="4" w:space="0" w:color="auto"/>
              <w:left w:val="single" w:sz="4" w:space="0" w:color="auto"/>
              <w:bottom w:val="single" w:sz="4" w:space="0" w:color="auto"/>
              <w:right w:val="single" w:sz="4" w:space="0" w:color="auto"/>
            </w:tcBorders>
            <w:hideMark/>
          </w:tcPr>
          <w:p w14:paraId="6FAB2460" w14:textId="77777777" w:rsidR="00BA71AC" w:rsidRPr="00BA71AC" w:rsidRDefault="00BA71AC" w:rsidP="001B75C5">
            <w:pPr>
              <w:spacing w:after="0" w:line="276" w:lineRule="auto"/>
              <w:jc w:val="both"/>
              <w:rPr>
                <w:rFonts w:ascii="Times New Roman" w:eastAsia="Calibri" w:hAnsi="Times New Roman" w:cs="Times New Roman"/>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hideMark/>
          </w:tcPr>
          <w:p w14:paraId="139F65FF"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2.36</w:t>
            </w:r>
          </w:p>
        </w:tc>
        <w:tc>
          <w:tcPr>
            <w:tcW w:w="640" w:type="dxa"/>
            <w:tcBorders>
              <w:top w:val="single" w:sz="4" w:space="0" w:color="auto"/>
              <w:left w:val="single" w:sz="4" w:space="0" w:color="auto"/>
              <w:bottom w:val="single" w:sz="4" w:space="0" w:color="auto"/>
              <w:right w:val="single" w:sz="4" w:space="0" w:color="auto"/>
            </w:tcBorders>
            <w:hideMark/>
          </w:tcPr>
          <w:p w14:paraId="6518A97F" w14:textId="77777777" w:rsidR="00BA71AC" w:rsidRPr="00BA71AC" w:rsidRDefault="00BA71AC" w:rsidP="001B75C5">
            <w:pPr>
              <w:spacing w:after="0" w:line="276" w:lineRule="auto"/>
              <w:jc w:val="both"/>
              <w:rPr>
                <w:rFonts w:ascii="Times New Roman" w:eastAsia="Calibri" w:hAnsi="Times New Roman" w:cs="Times New Roman"/>
                <w:b/>
                <w:bCs/>
                <w:sz w:val="24"/>
                <w:szCs w:val="24"/>
              </w:rPr>
            </w:pPr>
            <w:r w:rsidRPr="00BA71AC">
              <w:rPr>
                <w:rFonts w:ascii="Times New Roman" w:eastAsia="Calibri" w:hAnsi="Times New Roman" w:cs="Times New Roman"/>
                <w:b/>
                <w:bCs/>
                <w:sz w:val="24"/>
                <w:szCs w:val="24"/>
              </w:rPr>
              <w:t>.65</w:t>
            </w:r>
          </w:p>
        </w:tc>
      </w:tr>
      <w:tr w:rsidR="00BA71AC" w:rsidRPr="00BA71AC" w14:paraId="7C286544"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611D2AA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There is a gender differentiation in technological competence among medical students when it comes to utilizing EIRs.</w:t>
            </w:r>
          </w:p>
        </w:tc>
        <w:tc>
          <w:tcPr>
            <w:tcW w:w="1134" w:type="dxa"/>
            <w:tcBorders>
              <w:top w:val="single" w:sz="4" w:space="0" w:color="auto"/>
              <w:left w:val="single" w:sz="4" w:space="0" w:color="auto"/>
              <w:bottom w:val="single" w:sz="4" w:space="0" w:color="auto"/>
              <w:right w:val="single" w:sz="4" w:space="0" w:color="auto"/>
            </w:tcBorders>
            <w:hideMark/>
          </w:tcPr>
          <w:p w14:paraId="36FA122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57 (18.9%)</w:t>
            </w:r>
          </w:p>
        </w:tc>
        <w:tc>
          <w:tcPr>
            <w:tcW w:w="791" w:type="dxa"/>
            <w:tcBorders>
              <w:top w:val="single" w:sz="4" w:space="0" w:color="auto"/>
              <w:left w:val="single" w:sz="4" w:space="0" w:color="auto"/>
              <w:bottom w:val="single" w:sz="4" w:space="0" w:color="auto"/>
              <w:right w:val="single" w:sz="4" w:space="0" w:color="auto"/>
            </w:tcBorders>
            <w:hideMark/>
          </w:tcPr>
          <w:p w14:paraId="3298031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110 (36.5%)</w:t>
            </w:r>
          </w:p>
        </w:tc>
        <w:tc>
          <w:tcPr>
            <w:tcW w:w="1284" w:type="dxa"/>
            <w:tcBorders>
              <w:top w:val="single" w:sz="4" w:space="0" w:color="auto"/>
              <w:left w:val="single" w:sz="4" w:space="0" w:color="auto"/>
              <w:bottom w:val="single" w:sz="4" w:space="0" w:color="auto"/>
              <w:right w:val="single" w:sz="4" w:space="0" w:color="auto"/>
            </w:tcBorders>
            <w:hideMark/>
          </w:tcPr>
          <w:p w14:paraId="0CBB72C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95 (31.6%)</w:t>
            </w:r>
          </w:p>
        </w:tc>
        <w:tc>
          <w:tcPr>
            <w:tcW w:w="1438" w:type="dxa"/>
            <w:tcBorders>
              <w:top w:val="single" w:sz="4" w:space="0" w:color="auto"/>
              <w:left w:val="single" w:sz="4" w:space="0" w:color="auto"/>
              <w:bottom w:val="single" w:sz="4" w:space="0" w:color="auto"/>
              <w:right w:val="single" w:sz="4" w:space="0" w:color="auto"/>
            </w:tcBorders>
            <w:hideMark/>
          </w:tcPr>
          <w:p w14:paraId="0E2F2BF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39 (13.0%)</w:t>
            </w:r>
          </w:p>
        </w:tc>
        <w:tc>
          <w:tcPr>
            <w:tcW w:w="858" w:type="dxa"/>
            <w:tcBorders>
              <w:top w:val="single" w:sz="4" w:space="0" w:color="auto"/>
              <w:left w:val="single" w:sz="4" w:space="0" w:color="auto"/>
              <w:bottom w:val="single" w:sz="4" w:space="0" w:color="auto"/>
              <w:right w:val="single" w:sz="4" w:space="0" w:color="auto"/>
            </w:tcBorders>
            <w:hideMark/>
          </w:tcPr>
          <w:p w14:paraId="42B56264"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2.61</w:t>
            </w:r>
          </w:p>
        </w:tc>
        <w:tc>
          <w:tcPr>
            <w:tcW w:w="640" w:type="dxa"/>
            <w:tcBorders>
              <w:top w:val="single" w:sz="4" w:space="0" w:color="auto"/>
              <w:left w:val="single" w:sz="4" w:space="0" w:color="auto"/>
              <w:bottom w:val="single" w:sz="4" w:space="0" w:color="auto"/>
              <w:right w:val="single" w:sz="4" w:space="0" w:color="auto"/>
            </w:tcBorders>
            <w:hideMark/>
          </w:tcPr>
          <w:p w14:paraId="438C65C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.94</w:t>
            </w:r>
          </w:p>
        </w:tc>
      </w:tr>
      <w:tr w:rsidR="00BA71AC" w:rsidRPr="00BA71AC" w14:paraId="0F351C0D"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34C1DED6"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Female medical students are as technologically competent as male medical students in utilizing EIRs.</w:t>
            </w:r>
          </w:p>
        </w:tc>
        <w:tc>
          <w:tcPr>
            <w:tcW w:w="1134" w:type="dxa"/>
            <w:tcBorders>
              <w:top w:val="single" w:sz="4" w:space="0" w:color="auto"/>
              <w:left w:val="single" w:sz="4" w:space="0" w:color="auto"/>
              <w:bottom w:val="single" w:sz="4" w:space="0" w:color="auto"/>
              <w:right w:val="single" w:sz="4" w:space="0" w:color="auto"/>
            </w:tcBorders>
            <w:hideMark/>
          </w:tcPr>
          <w:p w14:paraId="0C8E7869"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47 (15.6%)</w:t>
            </w:r>
          </w:p>
        </w:tc>
        <w:tc>
          <w:tcPr>
            <w:tcW w:w="791" w:type="dxa"/>
            <w:tcBorders>
              <w:top w:val="single" w:sz="4" w:space="0" w:color="auto"/>
              <w:left w:val="single" w:sz="4" w:space="0" w:color="auto"/>
              <w:bottom w:val="single" w:sz="4" w:space="0" w:color="auto"/>
              <w:right w:val="single" w:sz="4" w:space="0" w:color="auto"/>
            </w:tcBorders>
            <w:hideMark/>
          </w:tcPr>
          <w:p w14:paraId="50ADFE4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86 (28.6%)</w:t>
            </w:r>
          </w:p>
        </w:tc>
        <w:tc>
          <w:tcPr>
            <w:tcW w:w="1284" w:type="dxa"/>
            <w:tcBorders>
              <w:top w:val="single" w:sz="4" w:space="0" w:color="auto"/>
              <w:left w:val="single" w:sz="4" w:space="0" w:color="auto"/>
              <w:bottom w:val="single" w:sz="4" w:space="0" w:color="auto"/>
              <w:right w:val="single" w:sz="4" w:space="0" w:color="auto"/>
            </w:tcBorders>
            <w:hideMark/>
          </w:tcPr>
          <w:p w14:paraId="3DFFE09A"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72 (23.9%)</w:t>
            </w:r>
          </w:p>
        </w:tc>
        <w:tc>
          <w:tcPr>
            <w:tcW w:w="1438" w:type="dxa"/>
            <w:tcBorders>
              <w:top w:val="single" w:sz="4" w:space="0" w:color="auto"/>
              <w:left w:val="single" w:sz="4" w:space="0" w:color="auto"/>
              <w:bottom w:val="single" w:sz="4" w:space="0" w:color="auto"/>
              <w:right w:val="single" w:sz="4" w:space="0" w:color="auto"/>
            </w:tcBorders>
            <w:hideMark/>
          </w:tcPr>
          <w:p w14:paraId="1C583762"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96 (31.9%)</w:t>
            </w:r>
          </w:p>
        </w:tc>
        <w:tc>
          <w:tcPr>
            <w:tcW w:w="858" w:type="dxa"/>
            <w:tcBorders>
              <w:top w:val="single" w:sz="4" w:space="0" w:color="auto"/>
              <w:left w:val="single" w:sz="4" w:space="0" w:color="auto"/>
              <w:bottom w:val="single" w:sz="4" w:space="0" w:color="auto"/>
              <w:right w:val="single" w:sz="4" w:space="0" w:color="auto"/>
            </w:tcBorders>
            <w:hideMark/>
          </w:tcPr>
          <w:p w14:paraId="7F51705B"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2.28</w:t>
            </w:r>
          </w:p>
        </w:tc>
        <w:tc>
          <w:tcPr>
            <w:tcW w:w="640" w:type="dxa"/>
            <w:tcBorders>
              <w:top w:val="single" w:sz="4" w:space="0" w:color="auto"/>
              <w:left w:val="single" w:sz="4" w:space="0" w:color="auto"/>
              <w:bottom w:val="single" w:sz="4" w:space="0" w:color="auto"/>
              <w:right w:val="single" w:sz="4" w:space="0" w:color="auto"/>
            </w:tcBorders>
            <w:hideMark/>
          </w:tcPr>
          <w:p w14:paraId="72505761"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1.08</w:t>
            </w:r>
          </w:p>
        </w:tc>
      </w:tr>
      <w:tr w:rsidR="00BA71AC" w:rsidRPr="00BA71AC" w14:paraId="51EA2B0E" w14:textId="77777777" w:rsidTr="00E762C3">
        <w:trPr>
          <w:gridAfter w:val="1"/>
          <w:wAfter w:w="26" w:type="dxa"/>
        </w:trPr>
        <w:tc>
          <w:tcPr>
            <w:tcW w:w="4678" w:type="dxa"/>
            <w:tcBorders>
              <w:top w:val="single" w:sz="4" w:space="0" w:color="auto"/>
              <w:left w:val="single" w:sz="4" w:space="0" w:color="auto"/>
              <w:bottom w:val="single" w:sz="4" w:space="0" w:color="auto"/>
              <w:right w:val="single" w:sz="4" w:space="0" w:color="auto"/>
            </w:tcBorders>
            <w:hideMark/>
          </w:tcPr>
          <w:p w14:paraId="0381E349"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lang w:val="en-US"/>
              </w:rPr>
              <w:t>Female medical students face greater challenges in learning and mastering new technologies related to EIRs utilization.</w:t>
            </w:r>
          </w:p>
        </w:tc>
        <w:tc>
          <w:tcPr>
            <w:tcW w:w="1134" w:type="dxa"/>
            <w:tcBorders>
              <w:top w:val="single" w:sz="4" w:space="0" w:color="auto"/>
              <w:left w:val="single" w:sz="4" w:space="0" w:color="auto"/>
              <w:bottom w:val="single" w:sz="4" w:space="0" w:color="auto"/>
              <w:right w:val="single" w:sz="4" w:space="0" w:color="auto"/>
            </w:tcBorders>
            <w:hideMark/>
          </w:tcPr>
          <w:p w14:paraId="28F922B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23 (7.6%)</w:t>
            </w:r>
          </w:p>
        </w:tc>
        <w:tc>
          <w:tcPr>
            <w:tcW w:w="791" w:type="dxa"/>
            <w:tcBorders>
              <w:top w:val="single" w:sz="4" w:space="0" w:color="auto"/>
              <w:left w:val="single" w:sz="4" w:space="0" w:color="auto"/>
              <w:bottom w:val="single" w:sz="4" w:space="0" w:color="auto"/>
              <w:right w:val="single" w:sz="4" w:space="0" w:color="auto"/>
            </w:tcBorders>
            <w:hideMark/>
          </w:tcPr>
          <w:p w14:paraId="78B58CFC"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74 (24.6%)</w:t>
            </w:r>
          </w:p>
        </w:tc>
        <w:tc>
          <w:tcPr>
            <w:tcW w:w="1284" w:type="dxa"/>
            <w:tcBorders>
              <w:top w:val="single" w:sz="4" w:space="0" w:color="auto"/>
              <w:left w:val="single" w:sz="4" w:space="0" w:color="auto"/>
              <w:bottom w:val="single" w:sz="4" w:space="0" w:color="auto"/>
              <w:right w:val="single" w:sz="4" w:space="0" w:color="auto"/>
            </w:tcBorders>
            <w:hideMark/>
          </w:tcPr>
          <w:p w14:paraId="67EE9CD3"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136 (45.2%)</w:t>
            </w:r>
          </w:p>
        </w:tc>
        <w:tc>
          <w:tcPr>
            <w:tcW w:w="1438" w:type="dxa"/>
            <w:tcBorders>
              <w:top w:val="single" w:sz="4" w:space="0" w:color="auto"/>
              <w:left w:val="single" w:sz="4" w:space="0" w:color="auto"/>
              <w:bottom w:val="single" w:sz="4" w:space="0" w:color="auto"/>
              <w:right w:val="single" w:sz="4" w:space="0" w:color="auto"/>
            </w:tcBorders>
            <w:hideMark/>
          </w:tcPr>
          <w:p w14:paraId="48033F77"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68 (22.6%)</w:t>
            </w:r>
          </w:p>
        </w:tc>
        <w:tc>
          <w:tcPr>
            <w:tcW w:w="858" w:type="dxa"/>
            <w:tcBorders>
              <w:top w:val="single" w:sz="4" w:space="0" w:color="auto"/>
              <w:left w:val="single" w:sz="4" w:space="0" w:color="auto"/>
              <w:bottom w:val="single" w:sz="4" w:space="0" w:color="auto"/>
              <w:right w:val="single" w:sz="4" w:space="0" w:color="auto"/>
            </w:tcBorders>
            <w:hideMark/>
          </w:tcPr>
          <w:p w14:paraId="3FA698E3"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2.17</w:t>
            </w:r>
          </w:p>
        </w:tc>
        <w:tc>
          <w:tcPr>
            <w:tcW w:w="640" w:type="dxa"/>
            <w:tcBorders>
              <w:top w:val="single" w:sz="4" w:space="0" w:color="auto"/>
              <w:left w:val="single" w:sz="4" w:space="0" w:color="auto"/>
              <w:bottom w:val="single" w:sz="4" w:space="0" w:color="auto"/>
              <w:right w:val="single" w:sz="4" w:space="0" w:color="auto"/>
            </w:tcBorders>
            <w:hideMark/>
          </w:tcPr>
          <w:p w14:paraId="75442270"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Cs/>
                <w:sz w:val="24"/>
                <w:szCs w:val="24"/>
              </w:rPr>
              <w:t>.87</w:t>
            </w:r>
          </w:p>
        </w:tc>
      </w:tr>
      <w:tr w:rsidR="00BA71AC" w:rsidRPr="00BA71AC" w14:paraId="72835BF8" w14:textId="77777777" w:rsidTr="00E762C3">
        <w:tc>
          <w:tcPr>
            <w:tcW w:w="10849" w:type="dxa"/>
            <w:gridSpan w:val="8"/>
            <w:tcBorders>
              <w:top w:val="single" w:sz="4" w:space="0" w:color="auto"/>
              <w:left w:val="single" w:sz="4" w:space="0" w:color="auto"/>
              <w:bottom w:val="single" w:sz="4" w:space="0" w:color="auto"/>
              <w:right w:val="single" w:sz="4" w:space="0" w:color="auto"/>
            </w:tcBorders>
            <w:hideMark/>
          </w:tcPr>
          <w:p w14:paraId="1F82A868" w14:textId="77777777" w:rsidR="00BA71AC" w:rsidRPr="00BA71AC" w:rsidRDefault="00BA71AC" w:rsidP="001B75C5">
            <w:pPr>
              <w:spacing w:after="0" w:line="276" w:lineRule="auto"/>
              <w:jc w:val="both"/>
              <w:rPr>
                <w:rFonts w:ascii="Times New Roman" w:eastAsia="Calibri" w:hAnsi="Times New Roman" w:cs="Times New Roman"/>
                <w:bCs/>
                <w:sz w:val="24"/>
                <w:szCs w:val="24"/>
              </w:rPr>
            </w:pPr>
            <w:r w:rsidRPr="00BA71AC">
              <w:rPr>
                <w:rFonts w:ascii="Times New Roman" w:eastAsia="Calibri" w:hAnsi="Times New Roman" w:cs="Times New Roman"/>
                <w:b/>
                <w:bCs/>
                <w:sz w:val="24"/>
                <w:szCs w:val="24"/>
              </w:rPr>
              <w:t>Perception of Medical Students Regarding Gender Differentiation (Overall Mean = 2.51, Std= 0.38)</w:t>
            </w:r>
          </w:p>
        </w:tc>
      </w:tr>
    </w:tbl>
    <w:p w14:paraId="346C3028" w14:textId="77777777" w:rsidR="00BA71AC" w:rsidRPr="00BA71AC" w:rsidRDefault="00BA71AC" w:rsidP="00BA71AC">
      <w:pPr>
        <w:spacing w:after="200" w:line="276" w:lineRule="auto"/>
        <w:jc w:val="both"/>
        <w:rPr>
          <w:rFonts w:ascii="Times New Roman" w:eastAsia="Calibri" w:hAnsi="Times New Roman" w:cs="Times New Roman"/>
          <w:b/>
          <w:bCs/>
          <w:sz w:val="24"/>
          <w:szCs w:val="24"/>
          <w:lang w:val="en-US"/>
        </w:rPr>
      </w:pPr>
      <w:r w:rsidRPr="00BA71AC">
        <w:rPr>
          <w:rFonts w:ascii="Times New Roman" w:eastAsia="Calibri" w:hAnsi="Times New Roman" w:cs="Times New Roman"/>
          <w:bCs/>
          <w:sz w:val="24"/>
          <w:szCs w:val="24"/>
          <w:lang w:val="en-US"/>
        </w:rPr>
        <w:t>Source: Researcher’s computation (2024)</w:t>
      </w:r>
    </w:p>
    <w:p w14:paraId="35803A23" w14:textId="77777777" w:rsidR="00BA71AC" w:rsidRPr="00BA71AC" w:rsidRDefault="00BA71AC" w:rsidP="00BA71AC">
      <w:pPr>
        <w:spacing w:after="200" w:line="276" w:lineRule="auto"/>
        <w:jc w:val="both"/>
        <w:rPr>
          <w:rFonts w:ascii="Times New Roman" w:eastAsia="Calibri" w:hAnsi="Times New Roman" w:cs="Times New Roman"/>
          <w:bCs/>
          <w:sz w:val="20"/>
          <w:szCs w:val="20"/>
        </w:rPr>
      </w:pPr>
      <w:r w:rsidRPr="00BA71AC">
        <w:rPr>
          <w:rFonts w:ascii="Times New Roman" w:eastAsia="Calibri" w:hAnsi="Times New Roman" w:cs="Times New Roman"/>
          <w:bCs/>
          <w:sz w:val="20"/>
          <w:szCs w:val="20"/>
        </w:rPr>
        <w:t xml:space="preserve">The decision rule states that: </w:t>
      </w:r>
      <w:r w:rsidRPr="00BA71AC">
        <w:rPr>
          <w:rFonts w:ascii="Times New Roman" w:eastAsia="Calibri" w:hAnsi="Times New Roman" w:cs="Times New Roman"/>
          <w:bCs/>
          <w:sz w:val="20"/>
          <w:szCs w:val="20"/>
          <w:lang w:val="en-US"/>
        </w:rPr>
        <w:t xml:space="preserve">If the mean is 1.0 - 1.74 = Strongly Disagree; 1.75 to 2.49 = Agree; 2.50 to 3.24 = Agree; 3.25 to 4 = Agree. </w:t>
      </w:r>
      <w:r w:rsidRPr="00BA71AC">
        <w:rPr>
          <w:rFonts w:ascii="Times New Roman" w:eastAsia="Calibri" w:hAnsi="Times New Roman" w:cs="Times New Roman"/>
          <w:bCs/>
          <w:sz w:val="20"/>
          <w:szCs w:val="20"/>
        </w:rPr>
        <w:t>Criteria mean of 2.5 is calculated as follows; 4+ 3+2+1= 10/4= 2.5 by implication, any score above 2.5, is considered “Agreed” or “Strongly Agreed” and vice versa.</w:t>
      </w:r>
    </w:p>
    <w:p w14:paraId="13430EC2" w14:textId="77777777" w:rsidR="00BA71AC" w:rsidRPr="00BA71AC" w:rsidRDefault="00BA71AC" w:rsidP="00BA71AC">
      <w:pPr>
        <w:spacing w:after="200" w:line="276" w:lineRule="auto"/>
        <w:jc w:val="both"/>
        <w:rPr>
          <w:rFonts w:ascii="Times New Roman" w:eastAsia="Calibri" w:hAnsi="Times New Roman" w:cs="Times New Roman"/>
          <w:bCs/>
          <w:sz w:val="24"/>
          <w:szCs w:val="24"/>
          <w:lang w:val="en-US"/>
        </w:rPr>
      </w:pPr>
      <w:r w:rsidRPr="00BA71AC">
        <w:rPr>
          <w:rFonts w:ascii="Times New Roman" w:eastAsia="Calibri" w:hAnsi="Times New Roman" w:cs="Times New Roman"/>
          <w:bCs/>
          <w:sz w:val="24"/>
          <w:szCs w:val="24"/>
          <w:lang w:val="en-US"/>
        </w:rPr>
        <w:t xml:space="preserve">Table </w:t>
      </w:r>
      <w:r w:rsidR="001423CD">
        <w:rPr>
          <w:rFonts w:ascii="Times New Roman" w:eastAsia="Calibri" w:hAnsi="Times New Roman" w:cs="Times New Roman"/>
          <w:bCs/>
          <w:sz w:val="24"/>
          <w:szCs w:val="24"/>
          <w:lang w:val="en-US"/>
        </w:rPr>
        <w:t>3</w:t>
      </w:r>
      <w:r w:rsidRPr="00BA71AC">
        <w:rPr>
          <w:rFonts w:ascii="Times New Roman" w:eastAsia="Calibri" w:hAnsi="Times New Roman" w:cs="Times New Roman"/>
          <w:bCs/>
          <w:sz w:val="24"/>
          <w:szCs w:val="24"/>
          <w:lang w:val="en-US"/>
        </w:rPr>
        <w:t xml:space="preserve"> reveals that </w:t>
      </w:r>
      <w:bookmarkStart w:id="1" w:name="_Hlk190940070"/>
      <w:r w:rsidRPr="00BA71AC">
        <w:rPr>
          <w:rFonts w:ascii="Times New Roman" w:eastAsia="Calibri" w:hAnsi="Times New Roman" w:cs="Times New Roman"/>
          <w:bCs/>
          <w:sz w:val="24"/>
          <w:szCs w:val="24"/>
          <w:lang w:val="en-US"/>
        </w:rPr>
        <w:t xml:space="preserve">medical students perceive a moderate level of gender differentiation in their utilization of EIRs (overall average mean = 2.51, SD = 0.38). </w:t>
      </w:r>
      <w:bookmarkEnd w:id="1"/>
      <w:r w:rsidRPr="00BA71AC">
        <w:rPr>
          <w:rFonts w:ascii="Times New Roman" w:eastAsia="Calibri" w:hAnsi="Times New Roman" w:cs="Times New Roman"/>
          <w:bCs/>
          <w:sz w:val="24"/>
          <w:szCs w:val="24"/>
          <w:lang w:val="en-US"/>
        </w:rPr>
        <w:t xml:space="preserve">This perception is most pronounced in the areas of division of labor (average mean = 2.75, SD = 0.72) and gender roles (average mean = 2.58, SD = 0.71). However, the medical students reported lower levels of perceived gender differentiation in occupational segregation (average mean = 2.47, SD = 0.63), socialization processes (average mean = 2.41, SD = 0.62), and technological competence (average mean = 2.36, SD = 0.65). By implication, there is a general agreement among medical students that gender </w:t>
      </w:r>
      <w:r w:rsidRPr="00BA71AC">
        <w:rPr>
          <w:rFonts w:ascii="Times New Roman" w:eastAsia="Calibri" w:hAnsi="Times New Roman" w:cs="Times New Roman"/>
          <w:bCs/>
          <w:sz w:val="24"/>
          <w:szCs w:val="24"/>
          <w:lang w:val="en-US"/>
        </w:rPr>
        <w:lastRenderedPageBreak/>
        <w:t>differentiation exists in various aspects of their academic and professional experiences, particularly in the division of labor, gender roles, and technological competence. The standard deviation scores of all the indicators and dimensions of perceived gender differentiation</w:t>
      </w:r>
      <w:r w:rsidRPr="00BA71AC">
        <w:rPr>
          <w:rFonts w:ascii="Times New Roman" w:eastAsia="Calibri" w:hAnsi="Times New Roman" w:cs="Times New Roman"/>
          <w:bCs/>
          <w:sz w:val="24"/>
          <w:szCs w:val="24"/>
        </w:rPr>
        <w:t xml:space="preserve"> showed that the participants were </w:t>
      </w:r>
      <w:r w:rsidRPr="00BA71AC">
        <w:rPr>
          <w:rFonts w:ascii="Times New Roman" w:eastAsia="Calibri" w:hAnsi="Times New Roman" w:cs="Times New Roman"/>
          <w:bCs/>
          <w:sz w:val="24"/>
          <w:szCs w:val="24"/>
          <w:lang w:val="en-US"/>
        </w:rPr>
        <w:t>consistent in their responses.</w:t>
      </w:r>
    </w:p>
    <w:p w14:paraId="0E99EB3E" w14:textId="77777777" w:rsidR="00BA71AC" w:rsidRPr="00BA71AC" w:rsidRDefault="00BA71AC" w:rsidP="00BA71AC">
      <w:pPr>
        <w:spacing w:after="200" w:line="276" w:lineRule="auto"/>
        <w:jc w:val="both"/>
        <w:rPr>
          <w:rFonts w:ascii="Times New Roman" w:eastAsia="Calibri" w:hAnsi="Times New Roman" w:cs="Times New Roman"/>
          <w:bCs/>
          <w:sz w:val="24"/>
          <w:szCs w:val="24"/>
          <w:lang w:val="en-US"/>
        </w:rPr>
      </w:pPr>
      <w:r w:rsidRPr="00BA71AC">
        <w:rPr>
          <w:rFonts w:ascii="Times New Roman" w:eastAsia="Calibri" w:hAnsi="Times New Roman" w:cs="Times New Roman"/>
          <w:bCs/>
          <w:sz w:val="24"/>
          <w:szCs w:val="24"/>
          <w:lang w:val="en-US"/>
        </w:rPr>
        <w:t xml:space="preserve">Analysis of specific indicators revealed that participants disagreed that female medical students were given fewer tasks compared to male counterparts (mean = 2.23), with an overall total of 61.5% indicating disagreement. The participants also disagreed that: female medical students faced greater challenges in learning and mastering new technologies (mean = 2.17), there is an over-representation of male medical students in media than females (mean = 2.11), there are clear differences in the types of EIRs utilized by male and female medical students (mean = 2.10). Furthermore, the mean score of 2.28 showed that there is a perception among students that male students may have a slight edge in technological competence compared to female students. With a mean score of 2.10, the students generally disagree that gender stereotypes affect male students more when carrying out certain tasks. These perceptions are crucial for fostering a supportive learning environment where both male and female students can thrive without the hindrance of gender-based biases. </w:t>
      </w:r>
    </w:p>
    <w:p w14:paraId="41E256EE" w14:textId="77777777" w:rsidR="00B6604F" w:rsidRPr="00B6604F" w:rsidRDefault="00595CD8" w:rsidP="00B6604F">
      <w:pPr>
        <w:spacing w:after="200" w:line="276" w:lineRule="auto"/>
        <w:jc w:val="both"/>
        <w:rPr>
          <w:rFonts w:ascii="Times New Roman" w:eastAsia="Calibri" w:hAnsi="Times New Roman" w:cs="Times New Roman"/>
          <w:b/>
          <w:bCs/>
          <w:sz w:val="24"/>
          <w:szCs w:val="24"/>
        </w:rPr>
      </w:pPr>
      <w:r w:rsidRPr="00ED424A">
        <w:rPr>
          <w:rFonts w:ascii="Times New Roman" w:eastAsia="Calibri" w:hAnsi="Times New Roman" w:cs="Times New Roman"/>
          <w:b/>
          <w:sz w:val="24"/>
          <w:szCs w:val="24"/>
        </w:rPr>
        <w:t>Research Question 3:</w:t>
      </w:r>
      <w:r>
        <w:rPr>
          <w:rFonts w:ascii="Times New Roman" w:eastAsia="Calibri" w:hAnsi="Times New Roman" w:cs="Times New Roman"/>
          <w:bCs/>
          <w:sz w:val="24"/>
          <w:szCs w:val="24"/>
        </w:rPr>
        <w:t xml:space="preserve"> </w:t>
      </w:r>
      <w:r w:rsidR="00B6604F" w:rsidRPr="00B6604F">
        <w:rPr>
          <w:rFonts w:ascii="Times New Roman" w:eastAsia="Calibri" w:hAnsi="Times New Roman" w:cs="Times New Roman"/>
          <w:b/>
          <w:bCs/>
          <w:sz w:val="24"/>
          <w:szCs w:val="24"/>
        </w:rPr>
        <w:t>What are the factors militating against electronic information resources utilization by medical students in federal universities in South-West, Nigeria?</w:t>
      </w:r>
    </w:p>
    <w:p w14:paraId="232DC526" w14:textId="77777777" w:rsidR="00B6604F" w:rsidRPr="00B6604F" w:rsidRDefault="00B6604F" w:rsidP="00B6604F">
      <w:pPr>
        <w:spacing w:after="200" w:line="276" w:lineRule="auto"/>
        <w:jc w:val="both"/>
        <w:rPr>
          <w:rFonts w:ascii="Times New Roman" w:eastAsia="Calibri" w:hAnsi="Times New Roman" w:cs="Times New Roman"/>
          <w:b/>
          <w:bCs/>
          <w:sz w:val="24"/>
          <w:szCs w:val="24"/>
        </w:rPr>
      </w:pPr>
      <w:r w:rsidRPr="00B6604F">
        <w:rPr>
          <w:rFonts w:ascii="Times New Roman" w:eastAsia="Calibri" w:hAnsi="Times New Roman" w:cs="Times New Roman"/>
          <w:bCs/>
          <w:sz w:val="24"/>
          <w:szCs w:val="24"/>
          <w:lang w:val="en-US"/>
        </w:rPr>
        <w:t xml:space="preserve">The </w:t>
      </w:r>
      <w:r w:rsidRPr="00B6604F">
        <w:rPr>
          <w:rFonts w:ascii="Times New Roman" w:eastAsia="Calibri" w:hAnsi="Times New Roman" w:cs="Times New Roman"/>
          <w:bCs/>
          <w:sz w:val="24"/>
          <w:szCs w:val="24"/>
        </w:rPr>
        <w:t>factors militating against electronic information resource utilization were measured, captured</w:t>
      </w:r>
      <w:r w:rsidRPr="00B6604F">
        <w:rPr>
          <w:rFonts w:ascii="Times New Roman" w:eastAsia="Calibri" w:hAnsi="Times New Roman" w:cs="Times New Roman"/>
          <w:bCs/>
          <w:sz w:val="24"/>
          <w:szCs w:val="24"/>
          <w:lang w:val="en-US"/>
        </w:rPr>
        <w:t>, analyzed and presented in Table 4</w:t>
      </w:r>
      <w:r w:rsidR="00C619CA">
        <w:rPr>
          <w:rFonts w:ascii="Times New Roman" w:eastAsia="Calibri" w:hAnsi="Times New Roman" w:cs="Times New Roman"/>
          <w:bCs/>
          <w:sz w:val="24"/>
          <w:szCs w:val="24"/>
          <w:lang w:val="en-US"/>
        </w:rPr>
        <w:t>.</w:t>
      </w:r>
    </w:p>
    <w:p w14:paraId="2DF110BB" w14:textId="77777777" w:rsidR="00B6604F" w:rsidRPr="00B6604F" w:rsidRDefault="00B6604F" w:rsidP="00ED424A">
      <w:pPr>
        <w:spacing w:after="0" w:line="240" w:lineRule="auto"/>
        <w:jc w:val="both"/>
        <w:rPr>
          <w:rFonts w:ascii="Times New Roman" w:eastAsia="Calibri" w:hAnsi="Times New Roman" w:cs="Times New Roman"/>
          <w:bCs/>
          <w:i/>
          <w:sz w:val="24"/>
          <w:szCs w:val="24"/>
          <w:lang w:val="en-US"/>
        </w:rPr>
      </w:pPr>
      <w:r w:rsidRPr="00B6604F">
        <w:rPr>
          <w:rFonts w:ascii="Times New Roman" w:eastAsia="Calibri" w:hAnsi="Times New Roman" w:cs="Times New Roman"/>
          <w:sz w:val="24"/>
          <w:szCs w:val="24"/>
          <w:lang w:val="en-US"/>
        </w:rPr>
        <w:t>Table 4</w:t>
      </w:r>
      <w:r w:rsidR="00ED424A">
        <w:rPr>
          <w:rFonts w:ascii="Times New Roman" w:eastAsia="Calibri" w:hAnsi="Times New Roman" w:cs="Times New Roman"/>
          <w:sz w:val="24"/>
          <w:szCs w:val="24"/>
          <w:lang w:val="en-US"/>
        </w:rPr>
        <w:t xml:space="preserve">: </w:t>
      </w:r>
      <w:r w:rsidRPr="00B6604F">
        <w:rPr>
          <w:rFonts w:ascii="Times New Roman" w:eastAsia="Calibri" w:hAnsi="Times New Roman" w:cs="Times New Roman"/>
          <w:bCs/>
          <w:i/>
          <w:sz w:val="24"/>
          <w:szCs w:val="24"/>
          <w:lang w:val="en-US"/>
        </w:rPr>
        <w:t xml:space="preserve">Factors militating against electronic information resources utilization </w:t>
      </w:r>
    </w:p>
    <w:tbl>
      <w:tblPr>
        <w:tblW w:w="10530" w:type="dxa"/>
        <w:tblLook w:val="04A0" w:firstRow="1" w:lastRow="0" w:firstColumn="1" w:lastColumn="0" w:noHBand="0" w:noVBand="1"/>
      </w:tblPr>
      <w:tblGrid>
        <w:gridCol w:w="4664"/>
        <w:gridCol w:w="1176"/>
        <w:gridCol w:w="878"/>
        <w:gridCol w:w="1158"/>
        <w:gridCol w:w="1200"/>
        <w:gridCol w:w="818"/>
        <w:gridCol w:w="636"/>
      </w:tblGrid>
      <w:tr w:rsidR="00B6604F" w:rsidRPr="00B6604F" w14:paraId="1183466B"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141BAC2E"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Factors</w:t>
            </w:r>
          </w:p>
        </w:tc>
        <w:tc>
          <w:tcPr>
            <w:tcW w:w="0" w:type="auto"/>
            <w:tcBorders>
              <w:top w:val="single" w:sz="4" w:space="0" w:color="auto"/>
              <w:left w:val="single" w:sz="4" w:space="0" w:color="auto"/>
              <w:bottom w:val="single" w:sz="4" w:space="0" w:color="auto"/>
              <w:right w:val="single" w:sz="4" w:space="0" w:color="auto"/>
            </w:tcBorders>
            <w:hideMark/>
          </w:tcPr>
          <w:p w14:paraId="04A916D0"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Strongly Agree Freq. (%)</w:t>
            </w:r>
          </w:p>
        </w:tc>
        <w:tc>
          <w:tcPr>
            <w:tcW w:w="0" w:type="auto"/>
            <w:tcBorders>
              <w:top w:val="single" w:sz="4" w:space="0" w:color="auto"/>
              <w:left w:val="single" w:sz="4" w:space="0" w:color="auto"/>
              <w:bottom w:val="single" w:sz="4" w:space="0" w:color="auto"/>
              <w:right w:val="single" w:sz="4" w:space="0" w:color="auto"/>
            </w:tcBorders>
            <w:hideMark/>
          </w:tcPr>
          <w:p w14:paraId="65DCE295"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Agree Freq. (%)</w:t>
            </w:r>
          </w:p>
        </w:tc>
        <w:tc>
          <w:tcPr>
            <w:tcW w:w="0" w:type="auto"/>
            <w:tcBorders>
              <w:top w:val="single" w:sz="4" w:space="0" w:color="auto"/>
              <w:left w:val="single" w:sz="4" w:space="0" w:color="auto"/>
              <w:bottom w:val="single" w:sz="4" w:space="0" w:color="auto"/>
              <w:right w:val="single" w:sz="4" w:space="0" w:color="auto"/>
            </w:tcBorders>
            <w:hideMark/>
          </w:tcPr>
          <w:p w14:paraId="65ED50BC"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Disagree Freq. (%)</w:t>
            </w:r>
          </w:p>
        </w:tc>
        <w:tc>
          <w:tcPr>
            <w:tcW w:w="0" w:type="auto"/>
            <w:tcBorders>
              <w:top w:val="single" w:sz="4" w:space="0" w:color="auto"/>
              <w:left w:val="single" w:sz="4" w:space="0" w:color="auto"/>
              <w:bottom w:val="single" w:sz="4" w:space="0" w:color="auto"/>
              <w:right w:val="single" w:sz="4" w:space="0" w:color="auto"/>
            </w:tcBorders>
            <w:hideMark/>
          </w:tcPr>
          <w:p w14:paraId="5C3F17A2"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Strongly Disagree Freq. (%)</w:t>
            </w:r>
          </w:p>
        </w:tc>
        <w:tc>
          <w:tcPr>
            <w:tcW w:w="0" w:type="auto"/>
            <w:tcBorders>
              <w:top w:val="single" w:sz="4" w:space="0" w:color="auto"/>
              <w:left w:val="single" w:sz="4" w:space="0" w:color="auto"/>
              <w:bottom w:val="single" w:sz="4" w:space="0" w:color="auto"/>
              <w:right w:val="single" w:sz="4" w:space="0" w:color="auto"/>
            </w:tcBorders>
            <w:hideMark/>
          </w:tcPr>
          <w:p w14:paraId="7B7A8BCC"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Mean (x̅)</w:t>
            </w:r>
          </w:p>
        </w:tc>
        <w:tc>
          <w:tcPr>
            <w:tcW w:w="0" w:type="auto"/>
            <w:tcBorders>
              <w:top w:val="single" w:sz="4" w:space="0" w:color="auto"/>
              <w:left w:val="single" w:sz="4" w:space="0" w:color="auto"/>
              <w:bottom w:val="single" w:sz="4" w:space="0" w:color="auto"/>
              <w:right w:val="single" w:sz="4" w:space="0" w:color="auto"/>
            </w:tcBorders>
            <w:hideMark/>
          </w:tcPr>
          <w:p w14:paraId="27520B2B" w14:textId="77777777" w:rsidR="00B6604F" w:rsidRPr="00B6604F" w:rsidRDefault="00B6604F" w:rsidP="00ED424A">
            <w:pPr>
              <w:spacing w:after="0" w:line="240"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
                <w:bCs/>
                <w:sz w:val="24"/>
                <w:szCs w:val="24"/>
                <w:lang w:val="en-US"/>
              </w:rPr>
              <w:t>SD</w:t>
            </w:r>
          </w:p>
        </w:tc>
      </w:tr>
      <w:tr w:rsidR="00B6604F" w:rsidRPr="00B6604F" w14:paraId="7F22FCC0"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74312985"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Unavailability of latest computers in library hinders ability to access online resources swiftly and efficiently</w:t>
            </w:r>
          </w:p>
        </w:tc>
        <w:tc>
          <w:tcPr>
            <w:tcW w:w="0" w:type="auto"/>
            <w:tcBorders>
              <w:top w:val="single" w:sz="4" w:space="0" w:color="auto"/>
              <w:left w:val="single" w:sz="4" w:space="0" w:color="auto"/>
              <w:bottom w:val="single" w:sz="4" w:space="0" w:color="auto"/>
              <w:right w:val="single" w:sz="4" w:space="0" w:color="auto"/>
            </w:tcBorders>
            <w:hideMark/>
          </w:tcPr>
          <w:p w14:paraId="1D12CB6E"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118 (39.2)</w:t>
            </w:r>
          </w:p>
        </w:tc>
        <w:tc>
          <w:tcPr>
            <w:tcW w:w="0" w:type="auto"/>
            <w:tcBorders>
              <w:top w:val="single" w:sz="4" w:space="0" w:color="auto"/>
              <w:left w:val="single" w:sz="4" w:space="0" w:color="auto"/>
              <w:bottom w:val="single" w:sz="4" w:space="0" w:color="auto"/>
              <w:right w:val="single" w:sz="4" w:space="0" w:color="auto"/>
            </w:tcBorders>
            <w:hideMark/>
          </w:tcPr>
          <w:p w14:paraId="7512F507"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99 (32.9)</w:t>
            </w:r>
          </w:p>
        </w:tc>
        <w:tc>
          <w:tcPr>
            <w:tcW w:w="0" w:type="auto"/>
            <w:tcBorders>
              <w:top w:val="single" w:sz="4" w:space="0" w:color="auto"/>
              <w:left w:val="single" w:sz="4" w:space="0" w:color="auto"/>
              <w:bottom w:val="single" w:sz="4" w:space="0" w:color="auto"/>
              <w:right w:val="single" w:sz="4" w:space="0" w:color="auto"/>
            </w:tcBorders>
            <w:hideMark/>
          </w:tcPr>
          <w:p w14:paraId="734F04F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61 (20.3)</w:t>
            </w:r>
          </w:p>
        </w:tc>
        <w:tc>
          <w:tcPr>
            <w:tcW w:w="0" w:type="auto"/>
            <w:tcBorders>
              <w:top w:val="single" w:sz="4" w:space="0" w:color="auto"/>
              <w:left w:val="single" w:sz="4" w:space="0" w:color="auto"/>
              <w:bottom w:val="single" w:sz="4" w:space="0" w:color="auto"/>
              <w:right w:val="single" w:sz="4" w:space="0" w:color="auto"/>
            </w:tcBorders>
            <w:hideMark/>
          </w:tcPr>
          <w:p w14:paraId="397ED957"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23 (7.6)</w:t>
            </w:r>
          </w:p>
        </w:tc>
        <w:tc>
          <w:tcPr>
            <w:tcW w:w="0" w:type="auto"/>
            <w:tcBorders>
              <w:top w:val="single" w:sz="4" w:space="0" w:color="auto"/>
              <w:left w:val="single" w:sz="4" w:space="0" w:color="auto"/>
              <w:bottom w:val="single" w:sz="4" w:space="0" w:color="auto"/>
              <w:right w:val="single" w:sz="4" w:space="0" w:color="auto"/>
            </w:tcBorders>
            <w:hideMark/>
          </w:tcPr>
          <w:p w14:paraId="5264B572"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3.04</w:t>
            </w:r>
          </w:p>
        </w:tc>
        <w:tc>
          <w:tcPr>
            <w:tcW w:w="0" w:type="auto"/>
            <w:tcBorders>
              <w:top w:val="single" w:sz="4" w:space="0" w:color="auto"/>
              <w:left w:val="single" w:sz="4" w:space="0" w:color="auto"/>
              <w:bottom w:val="single" w:sz="4" w:space="0" w:color="auto"/>
              <w:right w:val="single" w:sz="4" w:space="0" w:color="auto"/>
            </w:tcBorders>
            <w:hideMark/>
          </w:tcPr>
          <w:p w14:paraId="7C91C441"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0.95</w:t>
            </w:r>
          </w:p>
        </w:tc>
      </w:tr>
      <w:tr w:rsidR="00B6604F" w:rsidRPr="00B6604F" w14:paraId="2182593A"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7C475DC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Lack of printing facility restricts ability to obtain hard copies of necessary documents, hindering their ability to utilize information offline.</w:t>
            </w:r>
          </w:p>
        </w:tc>
        <w:tc>
          <w:tcPr>
            <w:tcW w:w="0" w:type="auto"/>
            <w:tcBorders>
              <w:top w:val="single" w:sz="4" w:space="0" w:color="auto"/>
              <w:left w:val="single" w:sz="4" w:space="0" w:color="auto"/>
              <w:bottom w:val="single" w:sz="4" w:space="0" w:color="auto"/>
              <w:right w:val="single" w:sz="4" w:space="0" w:color="auto"/>
            </w:tcBorders>
            <w:hideMark/>
          </w:tcPr>
          <w:p w14:paraId="58E5FAF4"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113 (37.5)</w:t>
            </w:r>
          </w:p>
        </w:tc>
        <w:tc>
          <w:tcPr>
            <w:tcW w:w="0" w:type="auto"/>
            <w:tcBorders>
              <w:top w:val="single" w:sz="4" w:space="0" w:color="auto"/>
              <w:left w:val="single" w:sz="4" w:space="0" w:color="auto"/>
              <w:bottom w:val="single" w:sz="4" w:space="0" w:color="auto"/>
              <w:right w:val="single" w:sz="4" w:space="0" w:color="auto"/>
            </w:tcBorders>
            <w:hideMark/>
          </w:tcPr>
          <w:p w14:paraId="09D94420"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101 (33.6)</w:t>
            </w:r>
          </w:p>
        </w:tc>
        <w:tc>
          <w:tcPr>
            <w:tcW w:w="0" w:type="auto"/>
            <w:tcBorders>
              <w:top w:val="single" w:sz="4" w:space="0" w:color="auto"/>
              <w:left w:val="single" w:sz="4" w:space="0" w:color="auto"/>
              <w:bottom w:val="single" w:sz="4" w:space="0" w:color="auto"/>
              <w:right w:val="single" w:sz="4" w:space="0" w:color="auto"/>
            </w:tcBorders>
            <w:hideMark/>
          </w:tcPr>
          <w:p w14:paraId="6F173F2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51 (16.9)</w:t>
            </w:r>
          </w:p>
        </w:tc>
        <w:tc>
          <w:tcPr>
            <w:tcW w:w="0" w:type="auto"/>
            <w:tcBorders>
              <w:top w:val="single" w:sz="4" w:space="0" w:color="auto"/>
              <w:left w:val="single" w:sz="4" w:space="0" w:color="auto"/>
              <w:bottom w:val="single" w:sz="4" w:space="0" w:color="auto"/>
              <w:right w:val="single" w:sz="4" w:space="0" w:color="auto"/>
            </w:tcBorders>
            <w:hideMark/>
          </w:tcPr>
          <w:p w14:paraId="69DF094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36 (12.0)</w:t>
            </w:r>
          </w:p>
        </w:tc>
        <w:tc>
          <w:tcPr>
            <w:tcW w:w="0" w:type="auto"/>
            <w:tcBorders>
              <w:top w:val="single" w:sz="4" w:space="0" w:color="auto"/>
              <w:left w:val="single" w:sz="4" w:space="0" w:color="auto"/>
              <w:bottom w:val="single" w:sz="4" w:space="0" w:color="auto"/>
              <w:right w:val="single" w:sz="4" w:space="0" w:color="auto"/>
            </w:tcBorders>
            <w:hideMark/>
          </w:tcPr>
          <w:p w14:paraId="2C7476C3"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2.97</w:t>
            </w:r>
          </w:p>
        </w:tc>
        <w:tc>
          <w:tcPr>
            <w:tcW w:w="0" w:type="auto"/>
            <w:tcBorders>
              <w:top w:val="single" w:sz="4" w:space="0" w:color="auto"/>
              <w:left w:val="single" w:sz="4" w:space="0" w:color="auto"/>
              <w:bottom w:val="single" w:sz="4" w:space="0" w:color="auto"/>
              <w:right w:val="single" w:sz="4" w:space="0" w:color="auto"/>
            </w:tcBorders>
            <w:hideMark/>
          </w:tcPr>
          <w:p w14:paraId="0AFCDBA1"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1.01</w:t>
            </w:r>
          </w:p>
        </w:tc>
      </w:tr>
      <w:tr w:rsidR="00B6604F" w:rsidRPr="00B6604F" w14:paraId="763DB80B"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20A5C038"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Login problems encountered when accessing online platforms and databases hinder ability to access valuable information resources</w:t>
            </w:r>
          </w:p>
        </w:tc>
        <w:tc>
          <w:tcPr>
            <w:tcW w:w="0" w:type="auto"/>
            <w:tcBorders>
              <w:top w:val="single" w:sz="4" w:space="0" w:color="auto"/>
              <w:left w:val="single" w:sz="4" w:space="0" w:color="auto"/>
              <w:bottom w:val="single" w:sz="4" w:space="0" w:color="auto"/>
              <w:right w:val="single" w:sz="4" w:space="0" w:color="auto"/>
            </w:tcBorders>
            <w:hideMark/>
          </w:tcPr>
          <w:p w14:paraId="11CBD60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112 (37.2)</w:t>
            </w:r>
          </w:p>
        </w:tc>
        <w:tc>
          <w:tcPr>
            <w:tcW w:w="0" w:type="auto"/>
            <w:tcBorders>
              <w:top w:val="single" w:sz="4" w:space="0" w:color="auto"/>
              <w:left w:val="single" w:sz="4" w:space="0" w:color="auto"/>
              <w:bottom w:val="single" w:sz="4" w:space="0" w:color="auto"/>
              <w:right w:val="single" w:sz="4" w:space="0" w:color="auto"/>
            </w:tcBorders>
            <w:hideMark/>
          </w:tcPr>
          <w:p w14:paraId="53DE6810"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89 (29.6)</w:t>
            </w:r>
          </w:p>
        </w:tc>
        <w:tc>
          <w:tcPr>
            <w:tcW w:w="0" w:type="auto"/>
            <w:tcBorders>
              <w:top w:val="single" w:sz="4" w:space="0" w:color="auto"/>
              <w:left w:val="single" w:sz="4" w:space="0" w:color="auto"/>
              <w:bottom w:val="single" w:sz="4" w:space="0" w:color="auto"/>
              <w:right w:val="single" w:sz="4" w:space="0" w:color="auto"/>
            </w:tcBorders>
            <w:hideMark/>
          </w:tcPr>
          <w:p w14:paraId="164B1D62"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51 (16.9)</w:t>
            </w:r>
          </w:p>
        </w:tc>
        <w:tc>
          <w:tcPr>
            <w:tcW w:w="0" w:type="auto"/>
            <w:tcBorders>
              <w:top w:val="single" w:sz="4" w:space="0" w:color="auto"/>
              <w:left w:val="single" w:sz="4" w:space="0" w:color="auto"/>
              <w:bottom w:val="single" w:sz="4" w:space="0" w:color="auto"/>
              <w:right w:val="single" w:sz="4" w:space="0" w:color="auto"/>
            </w:tcBorders>
            <w:hideMark/>
          </w:tcPr>
          <w:p w14:paraId="5AB2FDD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49 (16.3)</w:t>
            </w:r>
          </w:p>
        </w:tc>
        <w:tc>
          <w:tcPr>
            <w:tcW w:w="0" w:type="auto"/>
            <w:tcBorders>
              <w:top w:val="single" w:sz="4" w:space="0" w:color="auto"/>
              <w:left w:val="single" w:sz="4" w:space="0" w:color="auto"/>
              <w:bottom w:val="single" w:sz="4" w:space="0" w:color="auto"/>
              <w:right w:val="single" w:sz="4" w:space="0" w:color="auto"/>
            </w:tcBorders>
            <w:hideMark/>
          </w:tcPr>
          <w:p w14:paraId="1FC0CE4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2.88</w:t>
            </w:r>
          </w:p>
        </w:tc>
        <w:tc>
          <w:tcPr>
            <w:tcW w:w="0" w:type="auto"/>
            <w:tcBorders>
              <w:top w:val="single" w:sz="4" w:space="0" w:color="auto"/>
              <w:left w:val="single" w:sz="4" w:space="0" w:color="auto"/>
              <w:bottom w:val="single" w:sz="4" w:space="0" w:color="auto"/>
              <w:right w:val="single" w:sz="4" w:space="0" w:color="auto"/>
            </w:tcBorders>
            <w:hideMark/>
          </w:tcPr>
          <w:p w14:paraId="42B6B4A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1.09</w:t>
            </w:r>
          </w:p>
        </w:tc>
      </w:tr>
      <w:tr w:rsidR="00B6604F" w:rsidRPr="00B6604F" w14:paraId="4E6F06A3"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38CA797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Frequent power outages disrupt access to EIRs and computers, causing inconvenience</w:t>
            </w:r>
          </w:p>
        </w:tc>
        <w:tc>
          <w:tcPr>
            <w:tcW w:w="0" w:type="auto"/>
            <w:tcBorders>
              <w:top w:val="single" w:sz="4" w:space="0" w:color="auto"/>
              <w:left w:val="single" w:sz="4" w:space="0" w:color="auto"/>
              <w:bottom w:val="single" w:sz="4" w:space="0" w:color="auto"/>
              <w:right w:val="single" w:sz="4" w:space="0" w:color="auto"/>
            </w:tcBorders>
            <w:hideMark/>
          </w:tcPr>
          <w:p w14:paraId="4AA3245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81 (26.9)</w:t>
            </w:r>
          </w:p>
        </w:tc>
        <w:tc>
          <w:tcPr>
            <w:tcW w:w="0" w:type="auto"/>
            <w:tcBorders>
              <w:top w:val="single" w:sz="4" w:space="0" w:color="auto"/>
              <w:left w:val="single" w:sz="4" w:space="0" w:color="auto"/>
              <w:bottom w:val="single" w:sz="4" w:space="0" w:color="auto"/>
              <w:right w:val="single" w:sz="4" w:space="0" w:color="auto"/>
            </w:tcBorders>
            <w:hideMark/>
          </w:tcPr>
          <w:p w14:paraId="6FB63ACD"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109 (36.2)</w:t>
            </w:r>
          </w:p>
        </w:tc>
        <w:tc>
          <w:tcPr>
            <w:tcW w:w="0" w:type="auto"/>
            <w:tcBorders>
              <w:top w:val="single" w:sz="4" w:space="0" w:color="auto"/>
              <w:left w:val="single" w:sz="4" w:space="0" w:color="auto"/>
              <w:bottom w:val="single" w:sz="4" w:space="0" w:color="auto"/>
              <w:right w:val="single" w:sz="4" w:space="0" w:color="auto"/>
            </w:tcBorders>
            <w:hideMark/>
          </w:tcPr>
          <w:p w14:paraId="3CFACDD3"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86 (28.6)</w:t>
            </w:r>
          </w:p>
        </w:tc>
        <w:tc>
          <w:tcPr>
            <w:tcW w:w="0" w:type="auto"/>
            <w:tcBorders>
              <w:top w:val="single" w:sz="4" w:space="0" w:color="auto"/>
              <w:left w:val="single" w:sz="4" w:space="0" w:color="auto"/>
              <w:bottom w:val="single" w:sz="4" w:space="0" w:color="auto"/>
              <w:right w:val="single" w:sz="4" w:space="0" w:color="auto"/>
            </w:tcBorders>
            <w:hideMark/>
          </w:tcPr>
          <w:p w14:paraId="7CB6DB2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25 (8.3)</w:t>
            </w:r>
          </w:p>
        </w:tc>
        <w:tc>
          <w:tcPr>
            <w:tcW w:w="0" w:type="auto"/>
            <w:tcBorders>
              <w:top w:val="single" w:sz="4" w:space="0" w:color="auto"/>
              <w:left w:val="single" w:sz="4" w:space="0" w:color="auto"/>
              <w:bottom w:val="single" w:sz="4" w:space="0" w:color="auto"/>
              <w:right w:val="single" w:sz="4" w:space="0" w:color="auto"/>
            </w:tcBorders>
            <w:hideMark/>
          </w:tcPr>
          <w:p w14:paraId="0E02A6FD"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2.82</w:t>
            </w:r>
          </w:p>
        </w:tc>
        <w:tc>
          <w:tcPr>
            <w:tcW w:w="0" w:type="auto"/>
            <w:tcBorders>
              <w:top w:val="single" w:sz="4" w:space="0" w:color="auto"/>
              <w:left w:val="single" w:sz="4" w:space="0" w:color="auto"/>
              <w:bottom w:val="single" w:sz="4" w:space="0" w:color="auto"/>
              <w:right w:val="single" w:sz="4" w:space="0" w:color="auto"/>
            </w:tcBorders>
            <w:hideMark/>
          </w:tcPr>
          <w:p w14:paraId="16CCEB64"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0.93</w:t>
            </w:r>
          </w:p>
        </w:tc>
      </w:tr>
      <w:tr w:rsidR="00B6604F" w:rsidRPr="00B6604F" w14:paraId="2E710C05"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145E749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Low speed of internet hinders timely access to information resources.</w:t>
            </w:r>
          </w:p>
        </w:tc>
        <w:tc>
          <w:tcPr>
            <w:tcW w:w="0" w:type="auto"/>
            <w:tcBorders>
              <w:top w:val="single" w:sz="4" w:space="0" w:color="auto"/>
              <w:left w:val="single" w:sz="4" w:space="0" w:color="auto"/>
              <w:bottom w:val="single" w:sz="4" w:space="0" w:color="auto"/>
              <w:right w:val="single" w:sz="4" w:space="0" w:color="auto"/>
            </w:tcBorders>
            <w:hideMark/>
          </w:tcPr>
          <w:p w14:paraId="06AC2C8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48 (15.9)</w:t>
            </w:r>
          </w:p>
        </w:tc>
        <w:tc>
          <w:tcPr>
            <w:tcW w:w="0" w:type="auto"/>
            <w:tcBorders>
              <w:top w:val="single" w:sz="4" w:space="0" w:color="auto"/>
              <w:left w:val="single" w:sz="4" w:space="0" w:color="auto"/>
              <w:bottom w:val="single" w:sz="4" w:space="0" w:color="auto"/>
              <w:right w:val="single" w:sz="4" w:space="0" w:color="auto"/>
            </w:tcBorders>
            <w:hideMark/>
          </w:tcPr>
          <w:p w14:paraId="16354F8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162 (53.8)</w:t>
            </w:r>
          </w:p>
        </w:tc>
        <w:tc>
          <w:tcPr>
            <w:tcW w:w="0" w:type="auto"/>
            <w:tcBorders>
              <w:top w:val="single" w:sz="4" w:space="0" w:color="auto"/>
              <w:left w:val="single" w:sz="4" w:space="0" w:color="auto"/>
              <w:bottom w:val="single" w:sz="4" w:space="0" w:color="auto"/>
              <w:right w:val="single" w:sz="4" w:space="0" w:color="auto"/>
            </w:tcBorders>
            <w:hideMark/>
          </w:tcPr>
          <w:p w14:paraId="163893A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67 (22.3)</w:t>
            </w:r>
          </w:p>
        </w:tc>
        <w:tc>
          <w:tcPr>
            <w:tcW w:w="0" w:type="auto"/>
            <w:tcBorders>
              <w:top w:val="single" w:sz="4" w:space="0" w:color="auto"/>
              <w:left w:val="single" w:sz="4" w:space="0" w:color="auto"/>
              <w:bottom w:val="single" w:sz="4" w:space="0" w:color="auto"/>
              <w:right w:val="single" w:sz="4" w:space="0" w:color="auto"/>
            </w:tcBorders>
            <w:hideMark/>
          </w:tcPr>
          <w:p w14:paraId="138574E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24 (8.0)</w:t>
            </w:r>
          </w:p>
        </w:tc>
        <w:tc>
          <w:tcPr>
            <w:tcW w:w="0" w:type="auto"/>
            <w:tcBorders>
              <w:top w:val="single" w:sz="4" w:space="0" w:color="auto"/>
              <w:left w:val="single" w:sz="4" w:space="0" w:color="auto"/>
              <w:bottom w:val="single" w:sz="4" w:space="0" w:color="auto"/>
              <w:right w:val="single" w:sz="4" w:space="0" w:color="auto"/>
            </w:tcBorders>
            <w:hideMark/>
          </w:tcPr>
          <w:p w14:paraId="01E30988"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2.78</w:t>
            </w:r>
          </w:p>
        </w:tc>
        <w:tc>
          <w:tcPr>
            <w:tcW w:w="0" w:type="auto"/>
            <w:tcBorders>
              <w:top w:val="single" w:sz="4" w:space="0" w:color="auto"/>
              <w:left w:val="single" w:sz="4" w:space="0" w:color="auto"/>
              <w:bottom w:val="single" w:sz="4" w:space="0" w:color="auto"/>
              <w:right w:val="single" w:sz="4" w:space="0" w:color="auto"/>
            </w:tcBorders>
            <w:hideMark/>
          </w:tcPr>
          <w:p w14:paraId="7DF155AF"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0.81</w:t>
            </w:r>
          </w:p>
        </w:tc>
      </w:tr>
      <w:tr w:rsidR="00B6604F" w:rsidRPr="00B6604F" w14:paraId="0952B9CC"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41E6E685"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lastRenderedPageBreak/>
              <w:t>Inadequate searching skills limit ability to conduct effective searches and retrieve relevant information efficiently</w:t>
            </w:r>
          </w:p>
        </w:tc>
        <w:tc>
          <w:tcPr>
            <w:tcW w:w="0" w:type="auto"/>
            <w:tcBorders>
              <w:top w:val="single" w:sz="4" w:space="0" w:color="auto"/>
              <w:left w:val="single" w:sz="4" w:space="0" w:color="auto"/>
              <w:bottom w:val="single" w:sz="4" w:space="0" w:color="auto"/>
              <w:right w:val="single" w:sz="4" w:space="0" w:color="auto"/>
            </w:tcBorders>
            <w:hideMark/>
          </w:tcPr>
          <w:p w14:paraId="522659D3"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61 (20.3)</w:t>
            </w:r>
          </w:p>
        </w:tc>
        <w:tc>
          <w:tcPr>
            <w:tcW w:w="0" w:type="auto"/>
            <w:tcBorders>
              <w:top w:val="single" w:sz="4" w:space="0" w:color="auto"/>
              <w:left w:val="single" w:sz="4" w:space="0" w:color="auto"/>
              <w:bottom w:val="single" w:sz="4" w:space="0" w:color="auto"/>
              <w:right w:val="single" w:sz="4" w:space="0" w:color="auto"/>
            </w:tcBorders>
            <w:hideMark/>
          </w:tcPr>
          <w:p w14:paraId="2450E7DE"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94 (31.2)</w:t>
            </w:r>
          </w:p>
        </w:tc>
        <w:tc>
          <w:tcPr>
            <w:tcW w:w="0" w:type="auto"/>
            <w:tcBorders>
              <w:top w:val="single" w:sz="4" w:space="0" w:color="auto"/>
              <w:left w:val="single" w:sz="4" w:space="0" w:color="auto"/>
              <w:bottom w:val="single" w:sz="4" w:space="0" w:color="auto"/>
              <w:right w:val="single" w:sz="4" w:space="0" w:color="auto"/>
            </w:tcBorders>
            <w:hideMark/>
          </w:tcPr>
          <w:p w14:paraId="4EDBFEEC"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116 (38.5)</w:t>
            </w:r>
          </w:p>
        </w:tc>
        <w:tc>
          <w:tcPr>
            <w:tcW w:w="0" w:type="auto"/>
            <w:tcBorders>
              <w:top w:val="single" w:sz="4" w:space="0" w:color="auto"/>
              <w:left w:val="single" w:sz="4" w:space="0" w:color="auto"/>
              <w:bottom w:val="single" w:sz="4" w:space="0" w:color="auto"/>
              <w:right w:val="single" w:sz="4" w:space="0" w:color="auto"/>
            </w:tcBorders>
            <w:hideMark/>
          </w:tcPr>
          <w:p w14:paraId="68CF8451"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30 (10.0)</w:t>
            </w:r>
          </w:p>
        </w:tc>
        <w:tc>
          <w:tcPr>
            <w:tcW w:w="0" w:type="auto"/>
            <w:tcBorders>
              <w:top w:val="single" w:sz="4" w:space="0" w:color="auto"/>
              <w:left w:val="single" w:sz="4" w:space="0" w:color="auto"/>
              <w:bottom w:val="single" w:sz="4" w:space="0" w:color="auto"/>
              <w:right w:val="single" w:sz="4" w:space="0" w:color="auto"/>
            </w:tcBorders>
            <w:hideMark/>
          </w:tcPr>
          <w:p w14:paraId="7C13F66E"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2.62</w:t>
            </w:r>
          </w:p>
        </w:tc>
        <w:tc>
          <w:tcPr>
            <w:tcW w:w="0" w:type="auto"/>
            <w:tcBorders>
              <w:top w:val="single" w:sz="4" w:space="0" w:color="auto"/>
              <w:left w:val="single" w:sz="4" w:space="0" w:color="auto"/>
              <w:bottom w:val="single" w:sz="4" w:space="0" w:color="auto"/>
              <w:right w:val="single" w:sz="4" w:space="0" w:color="auto"/>
            </w:tcBorders>
            <w:hideMark/>
          </w:tcPr>
          <w:p w14:paraId="24E1E674"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0.93</w:t>
            </w:r>
          </w:p>
        </w:tc>
      </w:tr>
      <w:tr w:rsidR="00B6604F" w:rsidRPr="00B6604F" w14:paraId="3468AEF3"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45AE8FC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Lack of awareness of E- resources leads to underutilization of valuable digital content</w:t>
            </w:r>
          </w:p>
        </w:tc>
        <w:tc>
          <w:tcPr>
            <w:tcW w:w="0" w:type="auto"/>
            <w:tcBorders>
              <w:top w:val="single" w:sz="4" w:space="0" w:color="auto"/>
              <w:left w:val="single" w:sz="4" w:space="0" w:color="auto"/>
              <w:bottom w:val="single" w:sz="4" w:space="0" w:color="auto"/>
              <w:right w:val="single" w:sz="4" w:space="0" w:color="auto"/>
            </w:tcBorders>
            <w:hideMark/>
          </w:tcPr>
          <w:p w14:paraId="54CF1990"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82 (27.2)</w:t>
            </w:r>
          </w:p>
        </w:tc>
        <w:tc>
          <w:tcPr>
            <w:tcW w:w="0" w:type="auto"/>
            <w:tcBorders>
              <w:top w:val="single" w:sz="4" w:space="0" w:color="auto"/>
              <w:left w:val="single" w:sz="4" w:space="0" w:color="auto"/>
              <w:bottom w:val="single" w:sz="4" w:space="0" w:color="auto"/>
              <w:right w:val="single" w:sz="4" w:space="0" w:color="auto"/>
            </w:tcBorders>
            <w:hideMark/>
          </w:tcPr>
          <w:p w14:paraId="281499B5"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66 (21.9)</w:t>
            </w:r>
          </w:p>
        </w:tc>
        <w:tc>
          <w:tcPr>
            <w:tcW w:w="0" w:type="auto"/>
            <w:tcBorders>
              <w:top w:val="single" w:sz="4" w:space="0" w:color="auto"/>
              <w:left w:val="single" w:sz="4" w:space="0" w:color="auto"/>
              <w:bottom w:val="single" w:sz="4" w:space="0" w:color="auto"/>
              <w:right w:val="single" w:sz="4" w:space="0" w:color="auto"/>
            </w:tcBorders>
            <w:hideMark/>
          </w:tcPr>
          <w:p w14:paraId="395979E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97 (32.2)</w:t>
            </w:r>
          </w:p>
        </w:tc>
        <w:tc>
          <w:tcPr>
            <w:tcW w:w="0" w:type="auto"/>
            <w:tcBorders>
              <w:top w:val="single" w:sz="4" w:space="0" w:color="auto"/>
              <w:left w:val="single" w:sz="4" w:space="0" w:color="auto"/>
              <w:bottom w:val="single" w:sz="4" w:space="0" w:color="auto"/>
              <w:right w:val="single" w:sz="4" w:space="0" w:color="auto"/>
            </w:tcBorders>
            <w:hideMark/>
          </w:tcPr>
          <w:p w14:paraId="38A6D29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56 (18.6)</w:t>
            </w:r>
          </w:p>
        </w:tc>
        <w:tc>
          <w:tcPr>
            <w:tcW w:w="0" w:type="auto"/>
            <w:tcBorders>
              <w:top w:val="single" w:sz="4" w:space="0" w:color="auto"/>
              <w:left w:val="single" w:sz="4" w:space="0" w:color="auto"/>
              <w:bottom w:val="single" w:sz="4" w:space="0" w:color="auto"/>
              <w:right w:val="single" w:sz="4" w:space="0" w:color="auto"/>
            </w:tcBorders>
            <w:hideMark/>
          </w:tcPr>
          <w:p w14:paraId="72E99064"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2.58</w:t>
            </w:r>
          </w:p>
        </w:tc>
        <w:tc>
          <w:tcPr>
            <w:tcW w:w="0" w:type="auto"/>
            <w:tcBorders>
              <w:top w:val="single" w:sz="4" w:space="0" w:color="auto"/>
              <w:left w:val="single" w:sz="4" w:space="0" w:color="auto"/>
              <w:bottom w:val="single" w:sz="4" w:space="0" w:color="auto"/>
              <w:right w:val="single" w:sz="4" w:space="0" w:color="auto"/>
            </w:tcBorders>
            <w:hideMark/>
          </w:tcPr>
          <w:p w14:paraId="05554C9C"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1.08</w:t>
            </w:r>
          </w:p>
        </w:tc>
      </w:tr>
      <w:tr w:rsidR="00B6604F" w:rsidRPr="00B6604F" w14:paraId="09E93F90"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2F0C758C"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Non-availability of full text access to the most online journals limits ability to retrieve comprehensive information</w:t>
            </w:r>
          </w:p>
        </w:tc>
        <w:tc>
          <w:tcPr>
            <w:tcW w:w="0" w:type="auto"/>
            <w:tcBorders>
              <w:top w:val="single" w:sz="4" w:space="0" w:color="auto"/>
              <w:left w:val="single" w:sz="4" w:space="0" w:color="auto"/>
              <w:bottom w:val="single" w:sz="4" w:space="0" w:color="auto"/>
              <w:right w:val="single" w:sz="4" w:space="0" w:color="auto"/>
            </w:tcBorders>
            <w:hideMark/>
          </w:tcPr>
          <w:p w14:paraId="0C064A7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79 (26.2)</w:t>
            </w:r>
          </w:p>
        </w:tc>
        <w:tc>
          <w:tcPr>
            <w:tcW w:w="0" w:type="auto"/>
            <w:tcBorders>
              <w:top w:val="single" w:sz="4" w:space="0" w:color="auto"/>
              <w:left w:val="single" w:sz="4" w:space="0" w:color="auto"/>
              <w:bottom w:val="single" w:sz="4" w:space="0" w:color="auto"/>
              <w:right w:val="single" w:sz="4" w:space="0" w:color="auto"/>
            </w:tcBorders>
            <w:hideMark/>
          </w:tcPr>
          <w:p w14:paraId="6863591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86 (28.6)</w:t>
            </w:r>
          </w:p>
        </w:tc>
        <w:tc>
          <w:tcPr>
            <w:tcW w:w="0" w:type="auto"/>
            <w:tcBorders>
              <w:top w:val="single" w:sz="4" w:space="0" w:color="auto"/>
              <w:left w:val="single" w:sz="4" w:space="0" w:color="auto"/>
              <w:bottom w:val="single" w:sz="4" w:space="0" w:color="auto"/>
              <w:right w:val="single" w:sz="4" w:space="0" w:color="auto"/>
            </w:tcBorders>
            <w:hideMark/>
          </w:tcPr>
          <w:p w14:paraId="465DF1D1"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58 (19.3)</w:t>
            </w:r>
          </w:p>
        </w:tc>
        <w:tc>
          <w:tcPr>
            <w:tcW w:w="0" w:type="auto"/>
            <w:tcBorders>
              <w:top w:val="single" w:sz="4" w:space="0" w:color="auto"/>
              <w:left w:val="single" w:sz="4" w:space="0" w:color="auto"/>
              <w:bottom w:val="single" w:sz="4" w:space="0" w:color="auto"/>
              <w:right w:val="single" w:sz="4" w:space="0" w:color="auto"/>
            </w:tcBorders>
            <w:hideMark/>
          </w:tcPr>
          <w:p w14:paraId="1D12C1AF"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78 (25.9)</w:t>
            </w:r>
          </w:p>
        </w:tc>
        <w:tc>
          <w:tcPr>
            <w:tcW w:w="0" w:type="auto"/>
            <w:tcBorders>
              <w:top w:val="single" w:sz="4" w:space="0" w:color="auto"/>
              <w:left w:val="single" w:sz="4" w:space="0" w:color="auto"/>
              <w:bottom w:val="single" w:sz="4" w:space="0" w:color="auto"/>
              <w:right w:val="single" w:sz="4" w:space="0" w:color="auto"/>
            </w:tcBorders>
            <w:hideMark/>
          </w:tcPr>
          <w:p w14:paraId="739D197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2.55</w:t>
            </w:r>
          </w:p>
        </w:tc>
        <w:tc>
          <w:tcPr>
            <w:tcW w:w="0" w:type="auto"/>
            <w:tcBorders>
              <w:top w:val="single" w:sz="4" w:space="0" w:color="auto"/>
              <w:left w:val="single" w:sz="4" w:space="0" w:color="auto"/>
              <w:bottom w:val="single" w:sz="4" w:space="0" w:color="auto"/>
              <w:right w:val="single" w:sz="4" w:space="0" w:color="auto"/>
            </w:tcBorders>
            <w:hideMark/>
          </w:tcPr>
          <w:p w14:paraId="6CE78BC0"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1.14</w:t>
            </w:r>
          </w:p>
        </w:tc>
      </w:tr>
      <w:tr w:rsidR="00B6604F" w:rsidRPr="00B6604F" w14:paraId="71B00D5B"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54381FB3"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Lack of access to internet facility restricts the ability to utilize online resources</w:t>
            </w:r>
          </w:p>
        </w:tc>
        <w:tc>
          <w:tcPr>
            <w:tcW w:w="0" w:type="auto"/>
            <w:tcBorders>
              <w:top w:val="single" w:sz="4" w:space="0" w:color="auto"/>
              <w:left w:val="single" w:sz="4" w:space="0" w:color="auto"/>
              <w:bottom w:val="single" w:sz="4" w:space="0" w:color="auto"/>
              <w:right w:val="single" w:sz="4" w:space="0" w:color="auto"/>
            </w:tcBorders>
            <w:hideMark/>
          </w:tcPr>
          <w:p w14:paraId="0824EC33"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52 (17.3)</w:t>
            </w:r>
          </w:p>
        </w:tc>
        <w:tc>
          <w:tcPr>
            <w:tcW w:w="0" w:type="auto"/>
            <w:tcBorders>
              <w:top w:val="single" w:sz="4" w:space="0" w:color="auto"/>
              <w:left w:val="single" w:sz="4" w:space="0" w:color="auto"/>
              <w:bottom w:val="single" w:sz="4" w:space="0" w:color="auto"/>
              <w:right w:val="single" w:sz="4" w:space="0" w:color="auto"/>
            </w:tcBorders>
            <w:hideMark/>
          </w:tcPr>
          <w:p w14:paraId="0B860FA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87 (28.9)</w:t>
            </w:r>
          </w:p>
        </w:tc>
        <w:tc>
          <w:tcPr>
            <w:tcW w:w="0" w:type="auto"/>
            <w:tcBorders>
              <w:top w:val="single" w:sz="4" w:space="0" w:color="auto"/>
              <w:left w:val="single" w:sz="4" w:space="0" w:color="auto"/>
              <w:bottom w:val="single" w:sz="4" w:space="0" w:color="auto"/>
              <w:right w:val="single" w:sz="4" w:space="0" w:color="auto"/>
            </w:tcBorders>
            <w:hideMark/>
          </w:tcPr>
          <w:p w14:paraId="3113838A"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124 (41.2)</w:t>
            </w:r>
          </w:p>
        </w:tc>
        <w:tc>
          <w:tcPr>
            <w:tcW w:w="0" w:type="auto"/>
            <w:tcBorders>
              <w:top w:val="single" w:sz="4" w:space="0" w:color="auto"/>
              <w:left w:val="single" w:sz="4" w:space="0" w:color="auto"/>
              <w:bottom w:val="single" w:sz="4" w:space="0" w:color="auto"/>
              <w:right w:val="single" w:sz="4" w:space="0" w:color="auto"/>
            </w:tcBorders>
            <w:hideMark/>
          </w:tcPr>
          <w:p w14:paraId="54AA0100"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38 (12.6)</w:t>
            </w:r>
          </w:p>
        </w:tc>
        <w:tc>
          <w:tcPr>
            <w:tcW w:w="0" w:type="auto"/>
            <w:tcBorders>
              <w:top w:val="single" w:sz="4" w:space="0" w:color="auto"/>
              <w:left w:val="single" w:sz="4" w:space="0" w:color="auto"/>
              <w:bottom w:val="single" w:sz="4" w:space="0" w:color="auto"/>
              <w:right w:val="single" w:sz="4" w:space="0" w:color="auto"/>
            </w:tcBorders>
            <w:hideMark/>
          </w:tcPr>
          <w:p w14:paraId="18F53BDD"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2.51</w:t>
            </w:r>
          </w:p>
        </w:tc>
        <w:tc>
          <w:tcPr>
            <w:tcW w:w="0" w:type="auto"/>
            <w:tcBorders>
              <w:top w:val="single" w:sz="4" w:space="0" w:color="auto"/>
              <w:left w:val="single" w:sz="4" w:space="0" w:color="auto"/>
              <w:bottom w:val="single" w:sz="4" w:space="0" w:color="auto"/>
              <w:right w:val="single" w:sz="4" w:space="0" w:color="auto"/>
            </w:tcBorders>
            <w:hideMark/>
          </w:tcPr>
          <w:p w14:paraId="13063F1E"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0.92</w:t>
            </w:r>
          </w:p>
        </w:tc>
      </w:tr>
      <w:tr w:rsidR="00B6604F" w:rsidRPr="00B6604F" w14:paraId="5A71E996"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09FD4363"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bookmarkStart w:id="2" w:name="_Hlk178071339"/>
            <w:r w:rsidRPr="00B6604F">
              <w:rPr>
                <w:rFonts w:ascii="Times New Roman" w:eastAsia="Calibri" w:hAnsi="Times New Roman" w:cs="Times New Roman"/>
                <w:bCs/>
                <w:sz w:val="24"/>
                <w:szCs w:val="24"/>
                <w:lang w:val="en-US"/>
              </w:rPr>
              <w:t xml:space="preserve">Lack of awareness of E- resources </w:t>
            </w:r>
            <w:bookmarkEnd w:id="2"/>
            <w:r w:rsidRPr="00B6604F">
              <w:rPr>
                <w:rFonts w:ascii="Times New Roman" w:eastAsia="Calibri" w:hAnsi="Times New Roman" w:cs="Times New Roman"/>
                <w:bCs/>
                <w:sz w:val="24"/>
                <w:szCs w:val="24"/>
                <w:lang w:val="en-US"/>
              </w:rPr>
              <w:t>leads to underutilization of valuable digital content</w:t>
            </w:r>
          </w:p>
        </w:tc>
        <w:tc>
          <w:tcPr>
            <w:tcW w:w="0" w:type="auto"/>
            <w:tcBorders>
              <w:top w:val="single" w:sz="4" w:space="0" w:color="auto"/>
              <w:left w:val="single" w:sz="4" w:space="0" w:color="auto"/>
              <w:bottom w:val="single" w:sz="4" w:space="0" w:color="auto"/>
              <w:right w:val="single" w:sz="4" w:space="0" w:color="auto"/>
            </w:tcBorders>
            <w:hideMark/>
          </w:tcPr>
          <w:p w14:paraId="540EF30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41 (13.6)</w:t>
            </w:r>
          </w:p>
        </w:tc>
        <w:tc>
          <w:tcPr>
            <w:tcW w:w="0" w:type="auto"/>
            <w:tcBorders>
              <w:top w:val="single" w:sz="4" w:space="0" w:color="auto"/>
              <w:left w:val="single" w:sz="4" w:space="0" w:color="auto"/>
              <w:bottom w:val="single" w:sz="4" w:space="0" w:color="auto"/>
              <w:right w:val="single" w:sz="4" w:space="0" w:color="auto"/>
            </w:tcBorders>
            <w:hideMark/>
          </w:tcPr>
          <w:p w14:paraId="5C8E00A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115 (38.2)</w:t>
            </w:r>
          </w:p>
        </w:tc>
        <w:tc>
          <w:tcPr>
            <w:tcW w:w="0" w:type="auto"/>
            <w:tcBorders>
              <w:top w:val="single" w:sz="4" w:space="0" w:color="auto"/>
              <w:left w:val="single" w:sz="4" w:space="0" w:color="auto"/>
              <w:bottom w:val="single" w:sz="4" w:space="0" w:color="auto"/>
              <w:right w:val="single" w:sz="4" w:space="0" w:color="auto"/>
            </w:tcBorders>
            <w:hideMark/>
          </w:tcPr>
          <w:p w14:paraId="4EBBC77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82 (27.2)</w:t>
            </w:r>
          </w:p>
        </w:tc>
        <w:tc>
          <w:tcPr>
            <w:tcW w:w="0" w:type="auto"/>
            <w:tcBorders>
              <w:top w:val="single" w:sz="4" w:space="0" w:color="auto"/>
              <w:left w:val="single" w:sz="4" w:space="0" w:color="auto"/>
              <w:bottom w:val="single" w:sz="4" w:space="0" w:color="auto"/>
              <w:right w:val="single" w:sz="4" w:space="0" w:color="auto"/>
            </w:tcBorders>
            <w:hideMark/>
          </w:tcPr>
          <w:p w14:paraId="14E0981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63 (20.9)</w:t>
            </w:r>
          </w:p>
        </w:tc>
        <w:tc>
          <w:tcPr>
            <w:tcW w:w="0" w:type="auto"/>
            <w:tcBorders>
              <w:top w:val="single" w:sz="4" w:space="0" w:color="auto"/>
              <w:left w:val="single" w:sz="4" w:space="0" w:color="auto"/>
              <w:bottom w:val="single" w:sz="4" w:space="0" w:color="auto"/>
              <w:right w:val="single" w:sz="4" w:space="0" w:color="auto"/>
            </w:tcBorders>
            <w:hideMark/>
          </w:tcPr>
          <w:p w14:paraId="0737A577"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2.45</w:t>
            </w:r>
          </w:p>
        </w:tc>
        <w:tc>
          <w:tcPr>
            <w:tcW w:w="0" w:type="auto"/>
            <w:tcBorders>
              <w:top w:val="single" w:sz="4" w:space="0" w:color="auto"/>
              <w:left w:val="single" w:sz="4" w:space="0" w:color="auto"/>
              <w:bottom w:val="single" w:sz="4" w:space="0" w:color="auto"/>
              <w:right w:val="single" w:sz="4" w:space="0" w:color="auto"/>
            </w:tcBorders>
            <w:hideMark/>
          </w:tcPr>
          <w:p w14:paraId="7CD38A6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0.97</w:t>
            </w:r>
          </w:p>
        </w:tc>
      </w:tr>
      <w:tr w:rsidR="00B6604F" w:rsidRPr="00B6604F" w14:paraId="76F86EE2" w14:textId="77777777" w:rsidTr="00E762C3">
        <w:tc>
          <w:tcPr>
            <w:tcW w:w="4664" w:type="dxa"/>
            <w:tcBorders>
              <w:top w:val="single" w:sz="4" w:space="0" w:color="auto"/>
              <w:left w:val="single" w:sz="4" w:space="0" w:color="auto"/>
              <w:bottom w:val="single" w:sz="4" w:space="0" w:color="auto"/>
              <w:right w:val="single" w:sz="4" w:space="0" w:color="auto"/>
            </w:tcBorders>
            <w:hideMark/>
          </w:tcPr>
          <w:p w14:paraId="5F1AFAAE"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Lack of knowledge of search techniques to retrieve information effectively restricts ability to harness the full potential of available EIRs</w:t>
            </w:r>
          </w:p>
        </w:tc>
        <w:tc>
          <w:tcPr>
            <w:tcW w:w="0" w:type="auto"/>
            <w:tcBorders>
              <w:top w:val="single" w:sz="4" w:space="0" w:color="auto"/>
              <w:left w:val="single" w:sz="4" w:space="0" w:color="auto"/>
              <w:bottom w:val="single" w:sz="4" w:space="0" w:color="auto"/>
              <w:right w:val="single" w:sz="4" w:space="0" w:color="auto"/>
            </w:tcBorders>
            <w:hideMark/>
          </w:tcPr>
          <w:p w14:paraId="290FC139"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18 (6.0)</w:t>
            </w:r>
          </w:p>
        </w:tc>
        <w:tc>
          <w:tcPr>
            <w:tcW w:w="0" w:type="auto"/>
            <w:tcBorders>
              <w:top w:val="single" w:sz="4" w:space="0" w:color="auto"/>
              <w:left w:val="single" w:sz="4" w:space="0" w:color="auto"/>
              <w:bottom w:val="single" w:sz="4" w:space="0" w:color="auto"/>
              <w:right w:val="single" w:sz="4" w:space="0" w:color="auto"/>
            </w:tcBorders>
            <w:hideMark/>
          </w:tcPr>
          <w:p w14:paraId="5C7483A5"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73 (24.3)</w:t>
            </w:r>
          </w:p>
        </w:tc>
        <w:tc>
          <w:tcPr>
            <w:tcW w:w="0" w:type="auto"/>
            <w:tcBorders>
              <w:top w:val="single" w:sz="4" w:space="0" w:color="auto"/>
              <w:left w:val="single" w:sz="4" w:space="0" w:color="auto"/>
              <w:bottom w:val="single" w:sz="4" w:space="0" w:color="auto"/>
              <w:right w:val="single" w:sz="4" w:space="0" w:color="auto"/>
            </w:tcBorders>
            <w:hideMark/>
          </w:tcPr>
          <w:p w14:paraId="7CEB25E8"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133 (44.2)</w:t>
            </w:r>
          </w:p>
        </w:tc>
        <w:tc>
          <w:tcPr>
            <w:tcW w:w="0" w:type="auto"/>
            <w:tcBorders>
              <w:top w:val="single" w:sz="4" w:space="0" w:color="auto"/>
              <w:left w:val="single" w:sz="4" w:space="0" w:color="auto"/>
              <w:bottom w:val="single" w:sz="4" w:space="0" w:color="auto"/>
              <w:right w:val="single" w:sz="4" w:space="0" w:color="auto"/>
            </w:tcBorders>
            <w:hideMark/>
          </w:tcPr>
          <w:p w14:paraId="641A34BB"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77 (25.6)</w:t>
            </w:r>
          </w:p>
        </w:tc>
        <w:tc>
          <w:tcPr>
            <w:tcW w:w="0" w:type="auto"/>
            <w:tcBorders>
              <w:top w:val="single" w:sz="4" w:space="0" w:color="auto"/>
              <w:left w:val="single" w:sz="4" w:space="0" w:color="auto"/>
              <w:bottom w:val="single" w:sz="4" w:space="0" w:color="auto"/>
              <w:right w:val="single" w:sz="4" w:space="0" w:color="auto"/>
            </w:tcBorders>
            <w:hideMark/>
          </w:tcPr>
          <w:p w14:paraId="5C65E916"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2.11</w:t>
            </w:r>
          </w:p>
        </w:tc>
        <w:tc>
          <w:tcPr>
            <w:tcW w:w="0" w:type="auto"/>
            <w:tcBorders>
              <w:top w:val="single" w:sz="4" w:space="0" w:color="auto"/>
              <w:left w:val="single" w:sz="4" w:space="0" w:color="auto"/>
              <w:bottom w:val="single" w:sz="4" w:space="0" w:color="auto"/>
              <w:right w:val="single" w:sz="4" w:space="0" w:color="auto"/>
            </w:tcBorders>
            <w:hideMark/>
          </w:tcPr>
          <w:p w14:paraId="4CABD432"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0.85</w:t>
            </w:r>
          </w:p>
        </w:tc>
      </w:tr>
      <w:tr w:rsidR="00B6604F" w:rsidRPr="00B6604F" w14:paraId="51D0C341" w14:textId="77777777" w:rsidTr="00E762C3">
        <w:tc>
          <w:tcPr>
            <w:tcW w:w="10530" w:type="dxa"/>
            <w:gridSpan w:val="7"/>
            <w:tcBorders>
              <w:top w:val="single" w:sz="4" w:space="0" w:color="auto"/>
              <w:left w:val="single" w:sz="4" w:space="0" w:color="auto"/>
              <w:bottom w:val="single" w:sz="4" w:space="0" w:color="auto"/>
              <w:right w:val="single" w:sz="4" w:space="0" w:color="auto"/>
            </w:tcBorders>
            <w:hideMark/>
          </w:tcPr>
          <w:p w14:paraId="33C2C372" w14:textId="77777777" w:rsidR="00B6604F" w:rsidRPr="00B6604F" w:rsidRDefault="00B6604F" w:rsidP="00ED424A">
            <w:pPr>
              <w:spacing w:after="0" w:line="240"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
                <w:bCs/>
                <w:sz w:val="24"/>
                <w:szCs w:val="24"/>
                <w:lang w:val="en-US"/>
              </w:rPr>
              <w:t>Average Mean = 2.66</w:t>
            </w:r>
            <w:r w:rsidRPr="00B6604F">
              <w:rPr>
                <w:rFonts w:ascii="Times New Roman" w:eastAsia="Calibri" w:hAnsi="Times New Roman" w:cs="Times New Roman"/>
                <w:bCs/>
                <w:sz w:val="24"/>
                <w:szCs w:val="24"/>
                <w:lang w:val="en-US"/>
              </w:rPr>
              <w:t xml:space="preserve">, </w:t>
            </w:r>
            <w:r w:rsidRPr="00B6604F">
              <w:rPr>
                <w:rFonts w:ascii="Times New Roman" w:eastAsia="Calibri" w:hAnsi="Times New Roman" w:cs="Times New Roman"/>
                <w:b/>
                <w:bCs/>
                <w:sz w:val="24"/>
                <w:szCs w:val="24"/>
                <w:lang w:val="en-US"/>
              </w:rPr>
              <w:t>Standard Deviation = 0.49</w:t>
            </w:r>
          </w:p>
        </w:tc>
      </w:tr>
    </w:tbl>
    <w:p w14:paraId="50DF8275" w14:textId="77777777" w:rsidR="00B6604F" w:rsidRPr="00B6604F" w:rsidRDefault="00B6604F" w:rsidP="00B6604F">
      <w:pPr>
        <w:spacing w:after="0" w:line="276" w:lineRule="auto"/>
        <w:jc w:val="both"/>
        <w:rPr>
          <w:rFonts w:ascii="Times New Roman" w:eastAsia="Calibri" w:hAnsi="Times New Roman" w:cs="Times New Roman"/>
          <w:b/>
          <w:bCs/>
          <w:sz w:val="24"/>
          <w:szCs w:val="24"/>
          <w:lang w:val="en-US"/>
        </w:rPr>
      </w:pPr>
      <w:r w:rsidRPr="00B6604F">
        <w:rPr>
          <w:rFonts w:ascii="Times New Roman" w:eastAsia="Calibri" w:hAnsi="Times New Roman" w:cs="Times New Roman"/>
          <w:bCs/>
          <w:sz w:val="24"/>
          <w:szCs w:val="24"/>
          <w:lang w:val="en-US"/>
        </w:rPr>
        <w:t>Source: Researcher’s computation (2024)</w:t>
      </w:r>
    </w:p>
    <w:p w14:paraId="299CA749" w14:textId="77777777" w:rsidR="00B6604F" w:rsidRPr="00B6604F" w:rsidRDefault="00B6604F" w:rsidP="00B6604F">
      <w:pPr>
        <w:spacing w:after="200" w:line="276" w:lineRule="auto"/>
        <w:jc w:val="both"/>
        <w:rPr>
          <w:rFonts w:ascii="Times New Roman" w:eastAsia="Calibri" w:hAnsi="Times New Roman" w:cs="Times New Roman"/>
          <w:bCs/>
          <w:sz w:val="20"/>
          <w:szCs w:val="20"/>
        </w:rPr>
      </w:pPr>
      <w:r w:rsidRPr="00B6604F">
        <w:rPr>
          <w:rFonts w:ascii="Times New Roman" w:eastAsia="Calibri" w:hAnsi="Times New Roman" w:cs="Times New Roman"/>
          <w:bCs/>
          <w:sz w:val="20"/>
          <w:szCs w:val="20"/>
        </w:rPr>
        <w:t xml:space="preserve">The decision rule states that: </w:t>
      </w:r>
      <w:r w:rsidRPr="00B6604F">
        <w:rPr>
          <w:rFonts w:ascii="Times New Roman" w:eastAsia="Calibri" w:hAnsi="Times New Roman" w:cs="Times New Roman"/>
          <w:bCs/>
          <w:sz w:val="20"/>
          <w:szCs w:val="20"/>
          <w:lang w:val="en-US"/>
        </w:rPr>
        <w:t xml:space="preserve">If the mean is 1.0 - 1.74 = Strongly Disagree; 1.75 to 2.49 = Agree; 2.50 to 3.24 = Agree; 3.25 to 4 = Agree. </w:t>
      </w:r>
      <w:r w:rsidRPr="00B6604F">
        <w:rPr>
          <w:rFonts w:ascii="Times New Roman" w:eastAsia="Calibri" w:hAnsi="Times New Roman" w:cs="Times New Roman"/>
          <w:bCs/>
          <w:sz w:val="20"/>
          <w:szCs w:val="20"/>
        </w:rPr>
        <w:t>Criteria mean of 2.5 is calculated as follows; 4+ 3+2+1= 10/4= 2.5 by implication, any score above 2.5, is considered “Agreed” or “Strongly Agreed”, Vice versa.</w:t>
      </w:r>
    </w:p>
    <w:p w14:paraId="79CA5AC1" w14:textId="77777777" w:rsidR="00B6604F" w:rsidRPr="00B6604F" w:rsidRDefault="00B6604F" w:rsidP="00B6604F">
      <w:pPr>
        <w:spacing w:after="200" w:line="276" w:lineRule="auto"/>
        <w:jc w:val="both"/>
        <w:rPr>
          <w:rFonts w:ascii="Times New Roman" w:eastAsia="Calibri" w:hAnsi="Times New Roman" w:cs="Times New Roman"/>
          <w:bCs/>
          <w:sz w:val="24"/>
          <w:szCs w:val="24"/>
          <w:lang w:val="en-US"/>
        </w:rPr>
      </w:pPr>
      <w:r w:rsidRPr="00B6604F">
        <w:rPr>
          <w:rFonts w:ascii="Times New Roman" w:eastAsia="Calibri" w:hAnsi="Times New Roman" w:cs="Times New Roman"/>
          <w:bCs/>
          <w:sz w:val="24"/>
          <w:szCs w:val="24"/>
          <w:lang w:val="en-US"/>
        </w:rPr>
        <w:t xml:space="preserve">The results of Table 4 indicate that there are several </w:t>
      </w:r>
      <w:r w:rsidRPr="00B6604F">
        <w:rPr>
          <w:rFonts w:ascii="Times New Roman" w:eastAsia="Calibri" w:hAnsi="Times New Roman" w:cs="Times New Roman"/>
          <w:bCs/>
          <w:sz w:val="24"/>
          <w:szCs w:val="24"/>
        </w:rPr>
        <w:t>factors militating against electronic information resource utilization by medical students in federal universities in South-West, Nigeria</w:t>
      </w:r>
      <w:r w:rsidRPr="00B6604F">
        <w:rPr>
          <w:rFonts w:ascii="Times New Roman" w:eastAsia="Calibri" w:hAnsi="Times New Roman" w:cs="Times New Roman"/>
          <w:bCs/>
          <w:sz w:val="24"/>
          <w:szCs w:val="24"/>
          <w:lang w:val="en-US"/>
        </w:rPr>
        <w:t xml:space="preserve"> (average mean of 2.66, SD = 0.49, on a scale of 4). In specific terms, the top three challenges </w:t>
      </w:r>
      <w:r w:rsidRPr="00B6604F">
        <w:rPr>
          <w:rFonts w:ascii="Times New Roman" w:eastAsia="Calibri" w:hAnsi="Times New Roman" w:cs="Times New Roman"/>
          <w:bCs/>
          <w:sz w:val="24"/>
          <w:szCs w:val="24"/>
        </w:rPr>
        <w:t xml:space="preserve">militating against electronic information resources utilization were </w:t>
      </w:r>
      <w:r w:rsidRPr="00B6604F">
        <w:rPr>
          <w:rFonts w:ascii="Times New Roman" w:eastAsia="Calibri" w:hAnsi="Times New Roman" w:cs="Times New Roman"/>
          <w:bCs/>
          <w:sz w:val="24"/>
          <w:szCs w:val="24"/>
          <w:lang w:val="en-US"/>
        </w:rPr>
        <w:t>unavailability of latest computers (x̅ = 3.04), lack of printing facility (x̅ = 2.97), login problems encountered when accessing online platforms (x̅ = 288.3), and frequent power outages (x̅ = 2.82). The other factors that impede</w:t>
      </w:r>
      <w:r w:rsidRPr="00B6604F">
        <w:rPr>
          <w:rFonts w:ascii="Times New Roman" w:eastAsia="Calibri" w:hAnsi="Times New Roman" w:cs="Times New Roman"/>
          <w:bCs/>
          <w:sz w:val="24"/>
          <w:szCs w:val="24"/>
        </w:rPr>
        <w:t xml:space="preserve"> electronic information resource utilization</w:t>
      </w:r>
      <w:r w:rsidRPr="00B6604F">
        <w:rPr>
          <w:rFonts w:ascii="Times New Roman" w:eastAsia="Calibri" w:hAnsi="Times New Roman" w:cs="Times New Roman"/>
          <w:bCs/>
          <w:sz w:val="24"/>
          <w:szCs w:val="24"/>
          <w:lang w:val="en-US"/>
        </w:rPr>
        <w:t xml:space="preserve"> were low internet speed (x̅ = 2.78), inadequate searching skills (x̅ = 2.62), lack of awareness of e-resources (x̅ = 2.58), non-availability of full texts (x̅ = 2.55), and lack of access to internet facility (x̅ = 2.51). The high mean scores for these specific challenges suggest that they are perceived as significant impediments to effective </w:t>
      </w:r>
      <w:r w:rsidRPr="00B6604F">
        <w:rPr>
          <w:rFonts w:ascii="Times New Roman" w:eastAsia="Calibri" w:hAnsi="Times New Roman" w:cs="Times New Roman"/>
          <w:bCs/>
          <w:sz w:val="24"/>
          <w:szCs w:val="24"/>
        </w:rPr>
        <w:t xml:space="preserve">electronic information resource utilization by medical students in federal universities in South-West, Nigeria. </w:t>
      </w:r>
      <w:r w:rsidRPr="00B6604F">
        <w:rPr>
          <w:rFonts w:ascii="Times New Roman" w:eastAsia="Calibri" w:hAnsi="Times New Roman" w:cs="Times New Roman"/>
          <w:bCs/>
          <w:sz w:val="24"/>
          <w:szCs w:val="24"/>
          <w:lang w:val="en-US"/>
        </w:rPr>
        <w:t xml:space="preserve">On the other hand, factors such as lack of awareness of e-resources (x̅ = 2.45), and lack of knowledge of search techniques to retrieve information (x̅ = 2.11) were less perceived as </w:t>
      </w:r>
      <w:r w:rsidRPr="00B6604F">
        <w:rPr>
          <w:rFonts w:ascii="Times New Roman" w:eastAsia="Calibri" w:hAnsi="Times New Roman" w:cs="Times New Roman"/>
          <w:bCs/>
          <w:sz w:val="24"/>
          <w:szCs w:val="24"/>
        </w:rPr>
        <w:t>factors militating against electronic information resource utilization by medical students in federal universities in South-West, Nigeria</w:t>
      </w:r>
      <w:r w:rsidRPr="00B6604F">
        <w:rPr>
          <w:rFonts w:ascii="Times New Roman" w:eastAsia="Calibri" w:hAnsi="Times New Roman" w:cs="Times New Roman"/>
          <w:bCs/>
          <w:sz w:val="24"/>
          <w:szCs w:val="24"/>
          <w:lang w:val="en-US"/>
        </w:rPr>
        <w:t xml:space="preserve">. The challenges identified highlight various areas that need attention for improving </w:t>
      </w:r>
      <w:r w:rsidRPr="00B6604F">
        <w:rPr>
          <w:rFonts w:ascii="Times New Roman" w:eastAsia="Calibri" w:hAnsi="Times New Roman" w:cs="Times New Roman"/>
          <w:bCs/>
          <w:sz w:val="24"/>
          <w:szCs w:val="24"/>
        </w:rPr>
        <w:t>factors militating against electronic information resource utilization by medical students in federal universities in South-West, Nigeria</w:t>
      </w:r>
      <w:r w:rsidRPr="00B6604F">
        <w:rPr>
          <w:rFonts w:ascii="Times New Roman" w:eastAsia="Calibri" w:hAnsi="Times New Roman" w:cs="Times New Roman"/>
          <w:bCs/>
          <w:sz w:val="24"/>
          <w:szCs w:val="24"/>
          <w:lang w:val="en-US"/>
        </w:rPr>
        <w:t xml:space="preserve">. Addressing these challenges would </w:t>
      </w:r>
      <w:r w:rsidR="00D35F98">
        <w:rPr>
          <w:rFonts w:ascii="Times New Roman" w:eastAsia="Calibri" w:hAnsi="Times New Roman" w:cs="Times New Roman"/>
          <w:bCs/>
          <w:sz w:val="24"/>
          <w:szCs w:val="24"/>
          <w:lang w:val="en-US"/>
        </w:rPr>
        <w:t>enhance</w:t>
      </w:r>
      <w:r w:rsidRPr="00B6604F">
        <w:rPr>
          <w:rFonts w:ascii="Times New Roman" w:eastAsia="Calibri" w:hAnsi="Times New Roman" w:cs="Times New Roman"/>
          <w:bCs/>
          <w:sz w:val="24"/>
          <w:szCs w:val="24"/>
          <w:lang w:val="en-US"/>
        </w:rPr>
        <w:t xml:space="preserve"> the quality and effectiveness of </w:t>
      </w:r>
      <w:r w:rsidRPr="00B6604F">
        <w:rPr>
          <w:rFonts w:ascii="Times New Roman" w:eastAsia="Calibri" w:hAnsi="Times New Roman" w:cs="Times New Roman"/>
          <w:bCs/>
          <w:sz w:val="24"/>
          <w:szCs w:val="24"/>
        </w:rPr>
        <w:t xml:space="preserve">electronic information resource utilization </w:t>
      </w:r>
      <w:r w:rsidRPr="00B6604F">
        <w:rPr>
          <w:rFonts w:ascii="Times New Roman" w:eastAsia="Calibri" w:hAnsi="Times New Roman" w:cs="Times New Roman"/>
          <w:bCs/>
          <w:sz w:val="24"/>
          <w:szCs w:val="24"/>
          <w:lang w:val="en-US"/>
        </w:rPr>
        <w:t>in the study area.</w:t>
      </w:r>
    </w:p>
    <w:p w14:paraId="6308AA01" w14:textId="77777777" w:rsidR="002349DE" w:rsidRDefault="002349DE">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5E6EC6FF" w14:textId="77777777" w:rsidR="00D35F98" w:rsidRPr="00D35F98" w:rsidRDefault="00D35F98" w:rsidP="00D35F98">
      <w:pPr>
        <w:spacing w:after="20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lastRenderedPageBreak/>
        <w:t>Test of Hypotheses</w:t>
      </w:r>
    </w:p>
    <w:p w14:paraId="5AD50E49" w14:textId="77777777" w:rsidR="00D35F98" w:rsidRPr="00D35F98" w:rsidRDefault="00D35F98" w:rsidP="00D35F98">
      <w:pPr>
        <w:spacing w:after="20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t>Hypothesis 1: Gender differentiation has no significant influence on electronic information resources utilization by medical students in federal universities in South-West, Nigeria</w:t>
      </w:r>
    </w:p>
    <w:p w14:paraId="3A91E4B4" w14:textId="77777777" w:rsidR="00D35F98" w:rsidRPr="00D35F98" w:rsidRDefault="00D35F98" w:rsidP="00D35F98">
      <w:pPr>
        <w:spacing w:after="20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 xml:space="preserve">Hypothesis one was tested with multiple regression analysis. Gender differentiation (division of labour, occupational segregation, gender role, technological competence and socialization processes) was regressed against electronic information resources utilization by medical students. None of the indicators of gender differentiation in the multiple linear regression indicates multicollinearity issues since their tolerance values were greater than 0.1 and VIF was less than 10 (Kindly see the tolerance and VIF values in Table </w:t>
      </w:r>
      <w:r w:rsidR="002349DE">
        <w:rPr>
          <w:rFonts w:ascii="Times New Roman" w:eastAsia="Calibri" w:hAnsi="Times New Roman" w:cs="Times New Roman"/>
          <w:bCs/>
          <w:sz w:val="24"/>
          <w:szCs w:val="24"/>
          <w:lang w:val="en-US"/>
        </w:rPr>
        <w:t>5</w:t>
      </w:r>
      <w:r w:rsidRPr="00D35F98">
        <w:rPr>
          <w:rFonts w:ascii="Times New Roman" w:eastAsia="Calibri" w:hAnsi="Times New Roman" w:cs="Times New Roman"/>
          <w:bCs/>
          <w:sz w:val="24"/>
          <w:szCs w:val="24"/>
          <w:lang w:val="en-US"/>
        </w:rPr>
        <w:t xml:space="preserve">). So, all indicators were used in the multiple linear regression model. The results and conclusions of the regression analyses are reported in Table </w:t>
      </w:r>
      <w:r w:rsidR="00ED424A">
        <w:rPr>
          <w:rFonts w:ascii="Times New Roman" w:eastAsia="Calibri" w:hAnsi="Times New Roman" w:cs="Times New Roman"/>
          <w:bCs/>
          <w:sz w:val="24"/>
          <w:szCs w:val="24"/>
          <w:lang w:val="en-US"/>
        </w:rPr>
        <w:t>5</w:t>
      </w:r>
      <w:r w:rsidRPr="00D35F98">
        <w:rPr>
          <w:rFonts w:ascii="Times New Roman" w:eastAsia="Calibri" w:hAnsi="Times New Roman" w:cs="Times New Roman"/>
          <w:bCs/>
          <w:sz w:val="24"/>
          <w:szCs w:val="24"/>
          <w:lang w:val="en-US"/>
        </w:rPr>
        <w:t xml:space="preserve">. </w:t>
      </w:r>
    </w:p>
    <w:p w14:paraId="09FFB399" w14:textId="77777777" w:rsidR="00D35F98" w:rsidRPr="00D35F98" w:rsidRDefault="00D35F98" w:rsidP="006A4FDE">
      <w:pPr>
        <w:spacing w:after="0" w:line="276" w:lineRule="auto"/>
        <w:jc w:val="both"/>
        <w:rPr>
          <w:rFonts w:ascii="Times New Roman" w:eastAsia="Calibri" w:hAnsi="Times New Roman" w:cs="Times New Roman"/>
          <w:bCs/>
          <w:i/>
          <w:sz w:val="24"/>
          <w:szCs w:val="24"/>
          <w:lang w:val="en-US"/>
        </w:rPr>
      </w:pPr>
      <w:r w:rsidRPr="00D35F98">
        <w:rPr>
          <w:rFonts w:ascii="Times New Roman" w:eastAsia="Calibri" w:hAnsi="Times New Roman" w:cs="Times New Roman"/>
          <w:sz w:val="24"/>
          <w:szCs w:val="24"/>
        </w:rPr>
        <w:t xml:space="preserve">Table </w:t>
      </w:r>
      <w:r w:rsidR="006A4FDE">
        <w:rPr>
          <w:rFonts w:ascii="Times New Roman" w:eastAsia="Calibri" w:hAnsi="Times New Roman" w:cs="Times New Roman"/>
          <w:sz w:val="24"/>
          <w:szCs w:val="24"/>
        </w:rPr>
        <w:t>5</w:t>
      </w:r>
      <w:r w:rsidRPr="00D35F98">
        <w:rPr>
          <w:rFonts w:ascii="Times New Roman" w:eastAsia="Calibri" w:hAnsi="Times New Roman" w:cs="Times New Roman"/>
          <w:sz w:val="24"/>
          <w:szCs w:val="24"/>
        </w:rPr>
        <w:t>:</w:t>
      </w:r>
      <w:r w:rsidRPr="00D35F98">
        <w:rPr>
          <w:rFonts w:ascii="Times New Roman" w:eastAsia="Calibri" w:hAnsi="Times New Roman" w:cs="Times New Roman"/>
          <w:b/>
          <w:bCs/>
          <w:sz w:val="24"/>
          <w:szCs w:val="24"/>
        </w:rPr>
        <w:t xml:space="preserve"> </w:t>
      </w:r>
      <w:r w:rsidRPr="00D35F98">
        <w:rPr>
          <w:rFonts w:ascii="Times New Roman" w:eastAsia="Calibri" w:hAnsi="Times New Roman" w:cs="Times New Roman"/>
          <w:bCs/>
          <w:i/>
          <w:sz w:val="24"/>
          <w:szCs w:val="24"/>
          <w:lang w:val="en-US"/>
        </w:rPr>
        <w:t>Influence of gender differentiation on electronic information resources utilization by medical students</w:t>
      </w:r>
    </w:p>
    <w:tbl>
      <w:tblPr>
        <w:tblW w:w="9675" w:type="dxa"/>
        <w:tblLayout w:type="fixed"/>
        <w:tblLook w:val="04A0" w:firstRow="1" w:lastRow="0" w:firstColumn="1" w:lastColumn="0" w:noHBand="0" w:noVBand="1"/>
      </w:tblPr>
      <w:tblGrid>
        <w:gridCol w:w="2801"/>
        <w:gridCol w:w="941"/>
        <w:gridCol w:w="896"/>
        <w:gridCol w:w="993"/>
        <w:gridCol w:w="1051"/>
        <w:gridCol w:w="768"/>
        <w:gridCol w:w="1327"/>
        <w:gridCol w:w="892"/>
        <w:gridCol w:w="6"/>
      </w:tblGrid>
      <w:tr w:rsidR="00D35F98" w:rsidRPr="00D35F98" w14:paraId="587F9C7F" w14:textId="77777777" w:rsidTr="00E762C3">
        <w:trPr>
          <w:gridAfter w:val="1"/>
          <w:wAfter w:w="6" w:type="dxa"/>
          <w:trHeight w:val="269"/>
        </w:trPr>
        <w:tc>
          <w:tcPr>
            <w:tcW w:w="2799" w:type="dxa"/>
            <w:tcBorders>
              <w:top w:val="single" w:sz="4" w:space="0" w:color="auto"/>
              <w:left w:val="single" w:sz="4" w:space="0" w:color="auto"/>
              <w:bottom w:val="single" w:sz="4" w:space="0" w:color="auto"/>
              <w:right w:val="single" w:sz="4" w:space="0" w:color="auto"/>
            </w:tcBorders>
          </w:tcPr>
          <w:p w14:paraId="31999EC5" w14:textId="77777777" w:rsidR="00D35F98" w:rsidRPr="00D35F98" w:rsidRDefault="00D35F98" w:rsidP="00743040">
            <w:pPr>
              <w:spacing w:after="0" w:line="276" w:lineRule="auto"/>
              <w:jc w:val="both"/>
              <w:rPr>
                <w:rFonts w:ascii="Times New Roman" w:eastAsia="Calibri" w:hAnsi="Times New Roman" w:cs="Times New Roman"/>
                <w:bCs/>
                <w:sz w:val="24"/>
                <w:szCs w:val="24"/>
              </w:rPr>
            </w:pPr>
          </w:p>
          <w:p w14:paraId="6D6CA928"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
                <w:bCs/>
                <w:sz w:val="24"/>
                <w:szCs w:val="24"/>
              </w:rPr>
              <w:t>Variables</w:t>
            </w:r>
          </w:p>
        </w:tc>
        <w:tc>
          <w:tcPr>
            <w:tcW w:w="941" w:type="dxa"/>
            <w:tcBorders>
              <w:top w:val="single" w:sz="4" w:space="0" w:color="auto"/>
              <w:left w:val="single" w:sz="4" w:space="0" w:color="auto"/>
              <w:bottom w:val="single" w:sz="4" w:space="0" w:color="auto"/>
              <w:right w:val="single" w:sz="4" w:space="0" w:color="auto"/>
            </w:tcBorders>
          </w:tcPr>
          <w:p w14:paraId="7CA24935"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78DF62D2"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t>B</w:t>
            </w:r>
          </w:p>
        </w:tc>
        <w:tc>
          <w:tcPr>
            <w:tcW w:w="896" w:type="dxa"/>
            <w:tcBorders>
              <w:top w:val="single" w:sz="4" w:space="0" w:color="auto"/>
              <w:left w:val="single" w:sz="4" w:space="0" w:color="auto"/>
              <w:bottom w:val="single" w:sz="4" w:space="0" w:color="auto"/>
              <w:right w:val="single" w:sz="4" w:space="0" w:color="auto"/>
            </w:tcBorders>
          </w:tcPr>
          <w:p w14:paraId="2CDF1A23"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05FA7055"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t>Std. Error</w:t>
            </w:r>
          </w:p>
        </w:tc>
        <w:tc>
          <w:tcPr>
            <w:tcW w:w="993" w:type="dxa"/>
            <w:tcBorders>
              <w:top w:val="single" w:sz="4" w:space="0" w:color="auto"/>
              <w:left w:val="single" w:sz="4" w:space="0" w:color="auto"/>
              <w:bottom w:val="single" w:sz="4" w:space="0" w:color="auto"/>
              <w:right w:val="single" w:sz="4" w:space="0" w:color="auto"/>
            </w:tcBorders>
          </w:tcPr>
          <w:p w14:paraId="73B42885"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618366A2"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t xml:space="preserve">Beta </w:t>
            </w:r>
            <w:r w:rsidRPr="00D35F98">
              <w:rPr>
                <w:rFonts w:ascii="Times New Roman" w:eastAsia="Calibri" w:hAnsi="Times New Roman" w:cs="Times New Roman"/>
                <w:bCs/>
                <w:sz w:val="24"/>
                <w:szCs w:val="24"/>
                <w:lang w:val="en-US"/>
              </w:rPr>
              <w:t>(</w:t>
            </w:r>
            <w:r w:rsidRPr="00D35F98">
              <w:rPr>
                <w:rFonts w:ascii="Times New Roman" w:eastAsia="Calibri" w:hAnsi="Times New Roman" w:cs="Times New Roman"/>
                <w:b/>
                <w:bCs/>
                <w:i/>
                <w:iCs/>
                <w:sz w:val="24"/>
                <w:szCs w:val="24"/>
                <w:lang w:val="en-US"/>
              </w:rPr>
              <w:t>β</w:t>
            </w:r>
            <w:r w:rsidRPr="00D35F98">
              <w:rPr>
                <w:rFonts w:ascii="Times New Roman" w:eastAsia="Calibri" w:hAnsi="Times New Roman" w:cs="Times New Roman"/>
                <w:bCs/>
                <w:sz w:val="24"/>
                <w:szCs w:val="24"/>
                <w:lang w:val="en-US"/>
              </w:rPr>
              <w:t>)</w:t>
            </w:r>
            <w:r w:rsidRPr="00D35F98">
              <w:rPr>
                <w:rFonts w:ascii="Times New Roman" w:eastAsia="Calibri" w:hAnsi="Times New Roman" w:cs="Times New Roman"/>
                <w:b/>
                <w:bCs/>
                <w:sz w:val="24"/>
                <w:szCs w:val="24"/>
              </w:rPr>
              <w:t xml:space="preserve"> </w:t>
            </w:r>
          </w:p>
        </w:tc>
        <w:tc>
          <w:tcPr>
            <w:tcW w:w="1051" w:type="dxa"/>
            <w:tcBorders>
              <w:top w:val="single" w:sz="4" w:space="0" w:color="auto"/>
              <w:left w:val="single" w:sz="4" w:space="0" w:color="auto"/>
              <w:bottom w:val="single" w:sz="4" w:space="0" w:color="auto"/>
              <w:right w:val="single" w:sz="4" w:space="0" w:color="auto"/>
            </w:tcBorders>
          </w:tcPr>
          <w:p w14:paraId="0905397C"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287AFB5A"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1109731B"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t>T-Stat.</w:t>
            </w:r>
          </w:p>
        </w:tc>
        <w:tc>
          <w:tcPr>
            <w:tcW w:w="768" w:type="dxa"/>
            <w:tcBorders>
              <w:top w:val="single" w:sz="4" w:space="0" w:color="auto"/>
              <w:left w:val="single" w:sz="4" w:space="0" w:color="auto"/>
              <w:bottom w:val="single" w:sz="4" w:space="0" w:color="auto"/>
              <w:right w:val="single" w:sz="4" w:space="0" w:color="auto"/>
            </w:tcBorders>
          </w:tcPr>
          <w:p w14:paraId="32918A42"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1471C957"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p>
          <w:p w14:paraId="6C45CD65" w14:textId="77777777" w:rsidR="00D35F98" w:rsidRPr="00D35F98" w:rsidRDefault="00D35F98" w:rsidP="00743040">
            <w:pPr>
              <w:spacing w:after="0" w:line="276" w:lineRule="auto"/>
              <w:jc w:val="both"/>
              <w:rPr>
                <w:rFonts w:ascii="Times New Roman" w:eastAsia="Calibri" w:hAnsi="Times New Roman" w:cs="Times New Roman"/>
                <w:b/>
                <w:bCs/>
                <w:sz w:val="24"/>
                <w:szCs w:val="24"/>
              </w:rPr>
            </w:pPr>
            <w:r w:rsidRPr="00D35F98">
              <w:rPr>
                <w:rFonts w:ascii="Times New Roman" w:eastAsia="Calibri" w:hAnsi="Times New Roman" w:cs="Times New Roman"/>
                <w:b/>
                <w:bCs/>
                <w:sz w:val="24"/>
                <w:szCs w:val="24"/>
              </w:rPr>
              <w:t>Prob.</w:t>
            </w:r>
          </w:p>
        </w:tc>
        <w:tc>
          <w:tcPr>
            <w:tcW w:w="1327" w:type="dxa"/>
            <w:tcBorders>
              <w:top w:val="single" w:sz="4" w:space="0" w:color="auto"/>
              <w:left w:val="single" w:sz="4" w:space="0" w:color="auto"/>
              <w:bottom w:val="single" w:sz="4" w:space="0" w:color="auto"/>
              <w:right w:val="single" w:sz="4" w:space="0" w:color="auto"/>
            </w:tcBorders>
            <w:vAlign w:val="bottom"/>
            <w:hideMark/>
          </w:tcPr>
          <w:p w14:paraId="4CE57DC6" w14:textId="77777777" w:rsidR="00D35F98" w:rsidRPr="00D35F98" w:rsidRDefault="00D35F98" w:rsidP="00743040">
            <w:pPr>
              <w:spacing w:after="0" w:line="276" w:lineRule="auto"/>
              <w:jc w:val="both"/>
              <w:rPr>
                <w:rFonts w:ascii="Times New Roman" w:eastAsia="Calibri" w:hAnsi="Times New Roman" w:cs="Times New Roman"/>
                <w:b/>
                <w:bCs/>
                <w:sz w:val="24"/>
                <w:szCs w:val="24"/>
                <w:lang w:val="en-US"/>
              </w:rPr>
            </w:pPr>
            <w:r w:rsidRPr="00D35F98">
              <w:rPr>
                <w:rFonts w:ascii="Times New Roman" w:eastAsia="Calibri" w:hAnsi="Times New Roman" w:cs="Times New Roman"/>
                <w:b/>
                <w:bCs/>
                <w:sz w:val="24"/>
                <w:szCs w:val="24"/>
                <w:lang w:val="en-US"/>
              </w:rPr>
              <w:t>Tolerance</w:t>
            </w:r>
          </w:p>
        </w:tc>
        <w:tc>
          <w:tcPr>
            <w:tcW w:w="892" w:type="dxa"/>
            <w:tcBorders>
              <w:top w:val="single" w:sz="4" w:space="0" w:color="auto"/>
              <w:left w:val="single" w:sz="4" w:space="0" w:color="auto"/>
              <w:bottom w:val="single" w:sz="4" w:space="0" w:color="auto"/>
              <w:right w:val="single" w:sz="4" w:space="0" w:color="auto"/>
            </w:tcBorders>
            <w:vAlign w:val="bottom"/>
            <w:hideMark/>
          </w:tcPr>
          <w:p w14:paraId="1B16E5EE" w14:textId="77777777" w:rsidR="00D35F98" w:rsidRPr="00D35F98" w:rsidRDefault="00D35F98" w:rsidP="00743040">
            <w:pPr>
              <w:spacing w:after="0" w:line="276" w:lineRule="auto"/>
              <w:jc w:val="both"/>
              <w:rPr>
                <w:rFonts w:ascii="Times New Roman" w:eastAsia="Calibri" w:hAnsi="Times New Roman" w:cs="Times New Roman"/>
                <w:b/>
                <w:bCs/>
                <w:sz w:val="24"/>
                <w:szCs w:val="24"/>
                <w:lang w:val="en-US"/>
              </w:rPr>
            </w:pPr>
            <w:r w:rsidRPr="00D35F98">
              <w:rPr>
                <w:rFonts w:ascii="Times New Roman" w:eastAsia="Calibri" w:hAnsi="Times New Roman" w:cs="Times New Roman"/>
                <w:b/>
                <w:bCs/>
                <w:sz w:val="24"/>
                <w:szCs w:val="24"/>
                <w:lang w:val="en-US"/>
              </w:rPr>
              <w:t>VIF</w:t>
            </w:r>
          </w:p>
        </w:tc>
      </w:tr>
      <w:tr w:rsidR="00D35F98" w:rsidRPr="00D35F98" w14:paraId="440011DC" w14:textId="77777777" w:rsidTr="00E762C3">
        <w:trPr>
          <w:gridAfter w:val="1"/>
          <w:wAfter w:w="6" w:type="dxa"/>
          <w:trHeight w:val="269"/>
        </w:trPr>
        <w:tc>
          <w:tcPr>
            <w:tcW w:w="2799" w:type="dxa"/>
            <w:tcBorders>
              <w:top w:val="single" w:sz="4" w:space="0" w:color="auto"/>
              <w:left w:val="single" w:sz="4" w:space="0" w:color="auto"/>
              <w:bottom w:val="single" w:sz="4" w:space="0" w:color="auto"/>
              <w:right w:val="single" w:sz="4" w:space="0" w:color="auto"/>
            </w:tcBorders>
            <w:hideMark/>
          </w:tcPr>
          <w:p w14:paraId="32A3A774"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(Constant)</w:t>
            </w:r>
          </w:p>
        </w:tc>
        <w:tc>
          <w:tcPr>
            <w:tcW w:w="941" w:type="dxa"/>
            <w:tcBorders>
              <w:top w:val="single" w:sz="4" w:space="0" w:color="auto"/>
              <w:left w:val="single" w:sz="4" w:space="0" w:color="auto"/>
              <w:bottom w:val="single" w:sz="4" w:space="0" w:color="auto"/>
              <w:right w:val="single" w:sz="4" w:space="0" w:color="auto"/>
            </w:tcBorders>
            <w:vAlign w:val="center"/>
            <w:hideMark/>
          </w:tcPr>
          <w:p w14:paraId="4B5BD585"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2.716</w:t>
            </w:r>
          </w:p>
        </w:tc>
        <w:tc>
          <w:tcPr>
            <w:tcW w:w="896" w:type="dxa"/>
            <w:tcBorders>
              <w:top w:val="single" w:sz="4" w:space="0" w:color="auto"/>
              <w:left w:val="single" w:sz="4" w:space="0" w:color="auto"/>
              <w:bottom w:val="single" w:sz="4" w:space="0" w:color="auto"/>
              <w:right w:val="single" w:sz="4" w:space="0" w:color="auto"/>
            </w:tcBorders>
            <w:vAlign w:val="center"/>
            <w:hideMark/>
          </w:tcPr>
          <w:p w14:paraId="1D1B3AFE"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.169</w:t>
            </w:r>
          </w:p>
        </w:tc>
        <w:tc>
          <w:tcPr>
            <w:tcW w:w="993" w:type="dxa"/>
            <w:tcBorders>
              <w:top w:val="single" w:sz="4" w:space="0" w:color="auto"/>
              <w:left w:val="single" w:sz="4" w:space="0" w:color="auto"/>
              <w:bottom w:val="single" w:sz="4" w:space="0" w:color="auto"/>
              <w:right w:val="single" w:sz="4" w:space="0" w:color="auto"/>
            </w:tcBorders>
            <w:vAlign w:val="center"/>
          </w:tcPr>
          <w:p w14:paraId="38B2D66D"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p>
        </w:tc>
        <w:tc>
          <w:tcPr>
            <w:tcW w:w="1051" w:type="dxa"/>
            <w:tcBorders>
              <w:top w:val="single" w:sz="4" w:space="0" w:color="auto"/>
              <w:left w:val="single" w:sz="4" w:space="0" w:color="auto"/>
              <w:bottom w:val="single" w:sz="4" w:space="0" w:color="auto"/>
              <w:right w:val="single" w:sz="4" w:space="0" w:color="auto"/>
            </w:tcBorders>
            <w:vAlign w:val="center"/>
            <w:hideMark/>
          </w:tcPr>
          <w:p w14:paraId="3FD8D742"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16.059</w:t>
            </w:r>
          </w:p>
        </w:tc>
        <w:tc>
          <w:tcPr>
            <w:tcW w:w="768" w:type="dxa"/>
            <w:tcBorders>
              <w:top w:val="single" w:sz="4" w:space="0" w:color="auto"/>
              <w:left w:val="single" w:sz="4" w:space="0" w:color="auto"/>
              <w:bottom w:val="single" w:sz="4" w:space="0" w:color="auto"/>
              <w:right w:val="single" w:sz="4" w:space="0" w:color="auto"/>
            </w:tcBorders>
            <w:vAlign w:val="center"/>
            <w:hideMark/>
          </w:tcPr>
          <w:p w14:paraId="7CC6D9A3"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.000</w:t>
            </w:r>
          </w:p>
        </w:tc>
        <w:tc>
          <w:tcPr>
            <w:tcW w:w="1327" w:type="dxa"/>
            <w:tcBorders>
              <w:top w:val="single" w:sz="4" w:space="0" w:color="auto"/>
              <w:left w:val="single" w:sz="4" w:space="0" w:color="auto"/>
              <w:bottom w:val="single" w:sz="4" w:space="0" w:color="auto"/>
              <w:right w:val="single" w:sz="4" w:space="0" w:color="auto"/>
            </w:tcBorders>
            <w:vAlign w:val="center"/>
          </w:tcPr>
          <w:p w14:paraId="73983A2C"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p>
        </w:tc>
        <w:tc>
          <w:tcPr>
            <w:tcW w:w="892" w:type="dxa"/>
            <w:tcBorders>
              <w:top w:val="single" w:sz="4" w:space="0" w:color="auto"/>
              <w:left w:val="single" w:sz="4" w:space="0" w:color="auto"/>
              <w:bottom w:val="single" w:sz="4" w:space="0" w:color="auto"/>
              <w:right w:val="single" w:sz="4" w:space="0" w:color="auto"/>
            </w:tcBorders>
            <w:vAlign w:val="center"/>
          </w:tcPr>
          <w:p w14:paraId="31FCA2D8"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p>
        </w:tc>
      </w:tr>
      <w:tr w:rsidR="00D35F98" w:rsidRPr="00D35F98" w14:paraId="382819B7" w14:textId="77777777" w:rsidTr="00E762C3">
        <w:trPr>
          <w:gridAfter w:val="1"/>
          <w:wAfter w:w="6" w:type="dxa"/>
          <w:trHeight w:val="269"/>
        </w:trPr>
        <w:tc>
          <w:tcPr>
            <w:tcW w:w="2799" w:type="dxa"/>
            <w:tcBorders>
              <w:top w:val="single" w:sz="4" w:space="0" w:color="auto"/>
              <w:left w:val="single" w:sz="4" w:space="0" w:color="auto"/>
              <w:bottom w:val="single" w:sz="4" w:space="0" w:color="auto"/>
              <w:right w:val="single" w:sz="4" w:space="0" w:color="auto"/>
            </w:tcBorders>
            <w:hideMark/>
          </w:tcPr>
          <w:p w14:paraId="51B9F325"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Division of Labour</w:t>
            </w:r>
          </w:p>
        </w:tc>
        <w:tc>
          <w:tcPr>
            <w:tcW w:w="941" w:type="dxa"/>
            <w:tcBorders>
              <w:top w:val="single" w:sz="4" w:space="0" w:color="auto"/>
              <w:left w:val="single" w:sz="4" w:space="0" w:color="auto"/>
              <w:bottom w:val="single" w:sz="4" w:space="0" w:color="auto"/>
              <w:right w:val="single" w:sz="4" w:space="0" w:color="auto"/>
            </w:tcBorders>
            <w:vAlign w:val="center"/>
            <w:hideMark/>
          </w:tcPr>
          <w:p w14:paraId="65B1C48E"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.025</w:t>
            </w:r>
          </w:p>
        </w:tc>
        <w:tc>
          <w:tcPr>
            <w:tcW w:w="896" w:type="dxa"/>
            <w:tcBorders>
              <w:top w:val="single" w:sz="4" w:space="0" w:color="auto"/>
              <w:left w:val="single" w:sz="4" w:space="0" w:color="auto"/>
              <w:bottom w:val="single" w:sz="4" w:space="0" w:color="auto"/>
              <w:right w:val="single" w:sz="4" w:space="0" w:color="auto"/>
            </w:tcBorders>
            <w:vAlign w:val="center"/>
            <w:hideMark/>
          </w:tcPr>
          <w:p w14:paraId="6FCE6DED"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.033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D5BFDFA"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.044</w:t>
            </w:r>
          </w:p>
        </w:tc>
        <w:tc>
          <w:tcPr>
            <w:tcW w:w="1051" w:type="dxa"/>
            <w:tcBorders>
              <w:top w:val="single" w:sz="4" w:space="0" w:color="auto"/>
              <w:left w:val="single" w:sz="4" w:space="0" w:color="auto"/>
              <w:bottom w:val="single" w:sz="4" w:space="0" w:color="auto"/>
              <w:right w:val="single" w:sz="4" w:space="0" w:color="auto"/>
            </w:tcBorders>
            <w:vAlign w:val="center"/>
            <w:hideMark/>
          </w:tcPr>
          <w:p w14:paraId="2D2B5AC7"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.754</w:t>
            </w:r>
          </w:p>
        </w:tc>
        <w:tc>
          <w:tcPr>
            <w:tcW w:w="768" w:type="dxa"/>
            <w:tcBorders>
              <w:top w:val="single" w:sz="4" w:space="0" w:color="auto"/>
              <w:left w:val="single" w:sz="4" w:space="0" w:color="auto"/>
              <w:bottom w:val="single" w:sz="4" w:space="0" w:color="auto"/>
              <w:right w:val="single" w:sz="4" w:space="0" w:color="auto"/>
            </w:tcBorders>
            <w:vAlign w:val="center"/>
            <w:hideMark/>
          </w:tcPr>
          <w:p w14:paraId="734660E7"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.451</w:t>
            </w:r>
          </w:p>
        </w:tc>
        <w:tc>
          <w:tcPr>
            <w:tcW w:w="1327" w:type="dxa"/>
            <w:tcBorders>
              <w:top w:val="single" w:sz="4" w:space="0" w:color="auto"/>
              <w:left w:val="single" w:sz="4" w:space="0" w:color="auto"/>
              <w:bottom w:val="single" w:sz="4" w:space="0" w:color="auto"/>
              <w:right w:val="single" w:sz="4" w:space="0" w:color="auto"/>
            </w:tcBorders>
            <w:vAlign w:val="center"/>
            <w:hideMark/>
          </w:tcPr>
          <w:p w14:paraId="6E006B3C"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.972</w:t>
            </w:r>
          </w:p>
        </w:tc>
        <w:tc>
          <w:tcPr>
            <w:tcW w:w="892" w:type="dxa"/>
            <w:tcBorders>
              <w:top w:val="single" w:sz="4" w:space="0" w:color="auto"/>
              <w:left w:val="single" w:sz="4" w:space="0" w:color="auto"/>
              <w:bottom w:val="single" w:sz="4" w:space="0" w:color="auto"/>
              <w:right w:val="single" w:sz="4" w:space="0" w:color="auto"/>
            </w:tcBorders>
            <w:vAlign w:val="center"/>
            <w:hideMark/>
          </w:tcPr>
          <w:p w14:paraId="211EDD9A"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1.029</w:t>
            </w:r>
          </w:p>
        </w:tc>
      </w:tr>
      <w:tr w:rsidR="00D35F98" w:rsidRPr="00D35F98" w14:paraId="4EA12463" w14:textId="77777777" w:rsidTr="00E762C3">
        <w:trPr>
          <w:gridAfter w:val="1"/>
          <w:wAfter w:w="6" w:type="dxa"/>
          <w:trHeight w:val="269"/>
        </w:trPr>
        <w:tc>
          <w:tcPr>
            <w:tcW w:w="2799" w:type="dxa"/>
            <w:tcBorders>
              <w:top w:val="single" w:sz="4" w:space="0" w:color="auto"/>
              <w:left w:val="single" w:sz="4" w:space="0" w:color="auto"/>
              <w:bottom w:val="single" w:sz="4" w:space="0" w:color="auto"/>
              <w:right w:val="single" w:sz="4" w:space="0" w:color="auto"/>
            </w:tcBorders>
            <w:hideMark/>
          </w:tcPr>
          <w:p w14:paraId="756F40DE"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Occupational Segregation</w:t>
            </w:r>
          </w:p>
        </w:tc>
        <w:tc>
          <w:tcPr>
            <w:tcW w:w="941" w:type="dxa"/>
            <w:tcBorders>
              <w:top w:val="single" w:sz="4" w:space="0" w:color="auto"/>
              <w:left w:val="single" w:sz="4" w:space="0" w:color="auto"/>
              <w:bottom w:val="single" w:sz="4" w:space="0" w:color="auto"/>
              <w:right w:val="single" w:sz="4" w:space="0" w:color="auto"/>
            </w:tcBorders>
            <w:vAlign w:val="center"/>
            <w:hideMark/>
          </w:tcPr>
          <w:p w14:paraId="4818781D"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-.027</w:t>
            </w:r>
          </w:p>
        </w:tc>
        <w:tc>
          <w:tcPr>
            <w:tcW w:w="896" w:type="dxa"/>
            <w:tcBorders>
              <w:top w:val="single" w:sz="4" w:space="0" w:color="auto"/>
              <w:left w:val="single" w:sz="4" w:space="0" w:color="auto"/>
              <w:bottom w:val="single" w:sz="4" w:space="0" w:color="auto"/>
              <w:right w:val="single" w:sz="4" w:space="0" w:color="auto"/>
            </w:tcBorders>
            <w:vAlign w:val="center"/>
            <w:hideMark/>
          </w:tcPr>
          <w:p w14:paraId="6DC4C6ED"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.048</w:t>
            </w:r>
          </w:p>
        </w:tc>
        <w:tc>
          <w:tcPr>
            <w:tcW w:w="993" w:type="dxa"/>
            <w:tcBorders>
              <w:top w:val="single" w:sz="4" w:space="0" w:color="auto"/>
              <w:left w:val="single" w:sz="4" w:space="0" w:color="auto"/>
              <w:bottom w:val="single" w:sz="4" w:space="0" w:color="auto"/>
              <w:right w:val="single" w:sz="4" w:space="0" w:color="auto"/>
            </w:tcBorders>
            <w:vAlign w:val="center"/>
            <w:hideMark/>
          </w:tcPr>
          <w:p w14:paraId="31105C7F"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-.041</w:t>
            </w:r>
          </w:p>
        </w:tc>
        <w:tc>
          <w:tcPr>
            <w:tcW w:w="1051" w:type="dxa"/>
            <w:tcBorders>
              <w:top w:val="single" w:sz="4" w:space="0" w:color="auto"/>
              <w:left w:val="single" w:sz="4" w:space="0" w:color="auto"/>
              <w:bottom w:val="single" w:sz="4" w:space="0" w:color="auto"/>
              <w:right w:val="single" w:sz="4" w:space="0" w:color="auto"/>
            </w:tcBorders>
            <w:vAlign w:val="center"/>
            <w:hideMark/>
          </w:tcPr>
          <w:p w14:paraId="5BB94B47"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-.560</w:t>
            </w:r>
          </w:p>
        </w:tc>
        <w:tc>
          <w:tcPr>
            <w:tcW w:w="768" w:type="dxa"/>
            <w:tcBorders>
              <w:top w:val="single" w:sz="4" w:space="0" w:color="auto"/>
              <w:left w:val="single" w:sz="4" w:space="0" w:color="auto"/>
              <w:bottom w:val="single" w:sz="4" w:space="0" w:color="auto"/>
              <w:right w:val="single" w:sz="4" w:space="0" w:color="auto"/>
            </w:tcBorders>
            <w:vAlign w:val="center"/>
            <w:hideMark/>
          </w:tcPr>
          <w:p w14:paraId="6E89C625"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.576</w:t>
            </w:r>
          </w:p>
        </w:tc>
        <w:tc>
          <w:tcPr>
            <w:tcW w:w="1327" w:type="dxa"/>
            <w:tcBorders>
              <w:top w:val="single" w:sz="4" w:space="0" w:color="auto"/>
              <w:left w:val="single" w:sz="4" w:space="0" w:color="auto"/>
              <w:bottom w:val="single" w:sz="4" w:space="0" w:color="auto"/>
              <w:right w:val="single" w:sz="4" w:space="0" w:color="auto"/>
            </w:tcBorders>
            <w:vAlign w:val="center"/>
            <w:hideMark/>
          </w:tcPr>
          <w:p w14:paraId="3683741A"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.619</w:t>
            </w:r>
          </w:p>
        </w:tc>
        <w:tc>
          <w:tcPr>
            <w:tcW w:w="892" w:type="dxa"/>
            <w:tcBorders>
              <w:top w:val="single" w:sz="4" w:space="0" w:color="auto"/>
              <w:left w:val="single" w:sz="4" w:space="0" w:color="auto"/>
              <w:bottom w:val="single" w:sz="4" w:space="0" w:color="auto"/>
              <w:right w:val="single" w:sz="4" w:space="0" w:color="auto"/>
            </w:tcBorders>
            <w:vAlign w:val="center"/>
            <w:hideMark/>
          </w:tcPr>
          <w:p w14:paraId="6C09CA42"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1.615</w:t>
            </w:r>
          </w:p>
        </w:tc>
      </w:tr>
      <w:tr w:rsidR="00D35F98" w:rsidRPr="00D35F98" w14:paraId="69568281" w14:textId="77777777" w:rsidTr="00E762C3">
        <w:trPr>
          <w:gridAfter w:val="1"/>
          <w:wAfter w:w="6" w:type="dxa"/>
          <w:trHeight w:val="269"/>
        </w:trPr>
        <w:tc>
          <w:tcPr>
            <w:tcW w:w="2799" w:type="dxa"/>
            <w:tcBorders>
              <w:top w:val="single" w:sz="4" w:space="0" w:color="auto"/>
              <w:left w:val="single" w:sz="4" w:space="0" w:color="auto"/>
              <w:bottom w:val="single" w:sz="4" w:space="0" w:color="auto"/>
              <w:right w:val="single" w:sz="4" w:space="0" w:color="auto"/>
            </w:tcBorders>
            <w:hideMark/>
          </w:tcPr>
          <w:p w14:paraId="16FDBEB6"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Gender Role</w:t>
            </w:r>
          </w:p>
        </w:tc>
        <w:tc>
          <w:tcPr>
            <w:tcW w:w="941" w:type="dxa"/>
            <w:tcBorders>
              <w:top w:val="single" w:sz="4" w:space="0" w:color="auto"/>
              <w:left w:val="single" w:sz="4" w:space="0" w:color="auto"/>
              <w:bottom w:val="single" w:sz="4" w:space="0" w:color="auto"/>
              <w:right w:val="single" w:sz="4" w:space="0" w:color="auto"/>
            </w:tcBorders>
            <w:vAlign w:val="center"/>
            <w:hideMark/>
          </w:tcPr>
          <w:p w14:paraId="1F8A104E"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.059</w:t>
            </w:r>
          </w:p>
        </w:tc>
        <w:tc>
          <w:tcPr>
            <w:tcW w:w="896" w:type="dxa"/>
            <w:tcBorders>
              <w:top w:val="single" w:sz="4" w:space="0" w:color="auto"/>
              <w:left w:val="single" w:sz="4" w:space="0" w:color="auto"/>
              <w:bottom w:val="single" w:sz="4" w:space="0" w:color="auto"/>
              <w:right w:val="single" w:sz="4" w:space="0" w:color="auto"/>
            </w:tcBorders>
            <w:vAlign w:val="center"/>
            <w:hideMark/>
          </w:tcPr>
          <w:p w14:paraId="0EA03F0E"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.042</w:t>
            </w:r>
          </w:p>
        </w:tc>
        <w:tc>
          <w:tcPr>
            <w:tcW w:w="993" w:type="dxa"/>
            <w:tcBorders>
              <w:top w:val="single" w:sz="4" w:space="0" w:color="auto"/>
              <w:left w:val="single" w:sz="4" w:space="0" w:color="auto"/>
              <w:bottom w:val="single" w:sz="4" w:space="0" w:color="auto"/>
              <w:right w:val="single" w:sz="4" w:space="0" w:color="auto"/>
            </w:tcBorders>
            <w:vAlign w:val="center"/>
            <w:hideMark/>
          </w:tcPr>
          <w:p w14:paraId="349FB0D6"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.103</w:t>
            </w:r>
          </w:p>
        </w:tc>
        <w:tc>
          <w:tcPr>
            <w:tcW w:w="1051" w:type="dxa"/>
            <w:tcBorders>
              <w:top w:val="single" w:sz="4" w:space="0" w:color="auto"/>
              <w:left w:val="single" w:sz="4" w:space="0" w:color="auto"/>
              <w:bottom w:val="single" w:sz="4" w:space="0" w:color="auto"/>
              <w:right w:val="single" w:sz="4" w:space="0" w:color="auto"/>
            </w:tcBorders>
            <w:vAlign w:val="center"/>
            <w:hideMark/>
          </w:tcPr>
          <w:p w14:paraId="6D4FD6C9"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1.399</w:t>
            </w:r>
          </w:p>
        </w:tc>
        <w:tc>
          <w:tcPr>
            <w:tcW w:w="768" w:type="dxa"/>
            <w:tcBorders>
              <w:top w:val="single" w:sz="4" w:space="0" w:color="auto"/>
              <w:left w:val="single" w:sz="4" w:space="0" w:color="auto"/>
              <w:bottom w:val="single" w:sz="4" w:space="0" w:color="auto"/>
              <w:right w:val="single" w:sz="4" w:space="0" w:color="auto"/>
            </w:tcBorders>
            <w:vAlign w:val="center"/>
            <w:hideMark/>
          </w:tcPr>
          <w:p w14:paraId="2AEFBD14"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.163</w:t>
            </w:r>
          </w:p>
        </w:tc>
        <w:tc>
          <w:tcPr>
            <w:tcW w:w="1327" w:type="dxa"/>
            <w:tcBorders>
              <w:top w:val="single" w:sz="4" w:space="0" w:color="auto"/>
              <w:left w:val="single" w:sz="4" w:space="0" w:color="auto"/>
              <w:bottom w:val="single" w:sz="4" w:space="0" w:color="auto"/>
              <w:right w:val="single" w:sz="4" w:space="0" w:color="auto"/>
            </w:tcBorders>
            <w:vAlign w:val="center"/>
            <w:hideMark/>
          </w:tcPr>
          <w:p w14:paraId="4A357D02"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.620</w:t>
            </w:r>
          </w:p>
        </w:tc>
        <w:tc>
          <w:tcPr>
            <w:tcW w:w="892" w:type="dxa"/>
            <w:tcBorders>
              <w:top w:val="single" w:sz="4" w:space="0" w:color="auto"/>
              <w:left w:val="single" w:sz="4" w:space="0" w:color="auto"/>
              <w:bottom w:val="single" w:sz="4" w:space="0" w:color="auto"/>
              <w:right w:val="single" w:sz="4" w:space="0" w:color="auto"/>
            </w:tcBorders>
            <w:vAlign w:val="center"/>
            <w:hideMark/>
          </w:tcPr>
          <w:p w14:paraId="0109A047"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1.614</w:t>
            </w:r>
          </w:p>
        </w:tc>
      </w:tr>
      <w:tr w:rsidR="00D35F98" w:rsidRPr="00D35F98" w14:paraId="514860A7" w14:textId="77777777" w:rsidTr="00E762C3">
        <w:trPr>
          <w:gridAfter w:val="1"/>
          <w:wAfter w:w="6" w:type="dxa"/>
          <w:trHeight w:val="260"/>
        </w:trPr>
        <w:tc>
          <w:tcPr>
            <w:tcW w:w="2799" w:type="dxa"/>
            <w:tcBorders>
              <w:top w:val="single" w:sz="4" w:space="0" w:color="auto"/>
              <w:left w:val="single" w:sz="4" w:space="0" w:color="auto"/>
              <w:bottom w:val="single" w:sz="4" w:space="0" w:color="auto"/>
              <w:right w:val="single" w:sz="4" w:space="0" w:color="auto"/>
            </w:tcBorders>
            <w:hideMark/>
          </w:tcPr>
          <w:p w14:paraId="36D99057"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Technological Competence</w:t>
            </w:r>
          </w:p>
        </w:tc>
        <w:tc>
          <w:tcPr>
            <w:tcW w:w="941" w:type="dxa"/>
            <w:tcBorders>
              <w:top w:val="single" w:sz="4" w:space="0" w:color="auto"/>
              <w:left w:val="single" w:sz="4" w:space="0" w:color="auto"/>
              <w:bottom w:val="single" w:sz="4" w:space="0" w:color="auto"/>
              <w:right w:val="single" w:sz="4" w:space="0" w:color="auto"/>
            </w:tcBorders>
            <w:vAlign w:val="center"/>
            <w:hideMark/>
          </w:tcPr>
          <w:p w14:paraId="53833A1D"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-.023</w:t>
            </w:r>
          </w:p>
        </w:tc>
        <w:tc>
          <w:tcPr>
            <w:tcW w:w="896" w:type="dxa"/>
            <w:tcBorders>
              <w:top w:val="single" w:sz="4" w:space="0" w:color="auto"/>
              <w:left w:val="single" w:sz="4" w:space="0" w:color="auto"/>
              <w:bottom w:val="single" w:sz="4" w:space="0" w:color="auto"/>
              <w:right w:val="single" w:sz="4" w:space="0" w:color="auto"/>
            </w:tcBorders>
            <w:vAlign w:val="center"/>
            <w:hideMark/>
          </w:tcPr>
          <w:p w14:paraId="6C594293"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.038</w:t>
            </w:r>
          </w:p>
        </w:tc>
        <w:tc>
          <w:tcPr>
            <w:tcW w:w="993" w:type="dxa"/>
            <w:tcBorders>
              <w:top w:val="single" w:sz="4" w:space="0" w:color="auto"/>
              <w:left w:val="single" w:sz="4" w:space="0" w:color="auto"/>
              <w:bottom w:val="single" w:sz="4" w:space="0" w:color="auto"/>
              <w:right w:val="single" w:sz="4" w:space="0" w:color="auto"/>
            </w:tcBorders>
            <w:vAlign w:val="center"/>
            <w:hideMark/>
          </w:tcPr>
          <w:p w14:paraId="375BEBA7"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-.036</w:t>
            </w:r>
          </w:p>
        </w:tc>
        <w:tc>
          <w:tcPr>
            <w:tcW w:w="1051" w:type="dxa"/>
            <w:tcBorders>
              <w:top w:val="single" w:sz="4" w:space="0" w:color="auto"/>
              <w:left w:val="single" w:sz="4" w:space="0" w:color="auto"/>
              <w:bottom w:val="single" w:sz="4" w:space="0" w:color="auto"/>
              <w:right w:val="single" w:sz="4" w:space="0" w:color="auto"/>
            </w:tcBorders>
            <w:vAlign w:val="center"/>
            <w:hideMark/>
          </w:tcPr>
          <w:p w14:paraId="5C6C2F05"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-.600</w:t>
            </w:r>
          </w:p>
        </w:tc>
        <w:tc>
          <w:tcPr>
            <w:tcW w:w="768" w:type="dxa"/>
            <w:tcBorders>
              <w:top w:val="single" w:sz="4" w:space="0" w:color="auto"/>
              <w:left w:val="single" w:sz="4" w:space="0" w:color="auto"/>
              <w:bottom w:val="single" w:sz="4" w:space="0" w:color="auto"/>
              <w:right w:val="single" w:sz="4" w:space="0" w:color="auto"/>
            </w:tcBorders>
            <w:vAlign w:val="center"/>
            <w:hideMark/>
          </w:tcPr>
          <w:p w14:paraId="3D54CC5A"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.549</w:t>
            </w:r>
          </w:p>
        </w:tc>
        <w:tc>
          <w:tcPr>
            <w:tcW w:w="1327" w:type="dxa"/>
            <w:tcBorders>
              <w:top w:val="single" w:sz="4" w:space="0" w:color="auto"/>
              <w:left w:val="single" w:sz="4" w:space="0" w:color="auto"/>
              <w:bottom w:val="single" w:sz="4" w:space="0" w:color="auto"/>
              <w:right w:val="single" w:sz="4" w:space="0" w:color="auto"/>
            </w:tcBorders>
            <w:vAlign w:val="center"/>
            <w:hideMark/>
          </w:tcPr>
          <w:p w14:paraId="793063FF"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.906</w:t>
            </w:r>
          </w:p>
        </w:tc>
        <w:tc>
          <w:tcPr>
            <w:tcW w:w="892" w:type="dxa"/>
            <w:tcBorders>
              <w:top w:val="single" w:sz="4" w:space="0" w:color="auto"/>
              <w:left w:val="single" w:sz="4" w:space="0" w:color="auto"/>
              <w:bottom w:val="single" w:sz="4" w:space="0" w:color="auto"/>
              <w:right w:val="single" w:sz="4" w:space="0" w:color="auto"/>
            </w:tcBorders>
            <w:vAlign w:val="center"/>
            <w:hideMark/>
          </w:tcPr>
          <w:p w14:paraId="50791C88" w14:textId="77777777" w:rsidR="00D35F98" w:rsidRPr="00D35F98" w:rsidRDefault="00D35F98" w:rsidP="00743040">
            <w:pPr>
              <w:spacing w:after="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1.104</w:t>
            </w:r>
          </w:p>
        </w:tc>
      </w:tr>
      <w:tr w:rsidR="00D35F98" w:rsidRPr="00D35F98" w14:paraId="6E2CDC99" w14:textId="77777777" w:rsidTr="00E762C3">
        <w:trPr>
          <w:gridAfter w:val="1"/>
          <w:wAfter w:w="6" w:type="dxa"/>
          <w:trHeight w:val="260"/>
        </w:trPr>
        <w:tc>
          <w:tcPr>
            <w:tcW w:w="2799" w:type="dxa"/>
            <w:tcBorders>
              <w:top w:val="single" w:sz="4" w:space="0" w:color="auto"/>
              <w:left w:val="single" w:sz="4" w:space="0" w:color="auto"/>
              <w:bottom w:val="single" w:sz="4" w:space="0" w:color="auto"/>
              <w:right w:val="single" w:sz="4" w:space="0" w:color="auto"/>
            </w:tcBorders>
            <w:hideMark/>
          </w:tcPr>
          <w:p w14:paraId="60B0B8F0"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Socialization processes</w:t>
            </w:r>
          </w:p>
        </w:tc>
        <w:tc>
          <w:tcPr>
            <w:tcW w:w="941" w:type="dxa"/>
            <w:tcBorders>
              <w:top w:val="single" w:sz="4" w:space="0" w:color="auto"/>
              <w:left w:val="single" w:sz="4" w:space="0" w:color="auto"/>
              <w:bottom w:val="single" w:sz="4" w:space="0" w:color="auto"/>
              <w:right w:val="single" w:sz="4" w:space="0" w:color="auto"/>
            </w:tcBorders>
            <w:vAlign w:val="center"/>
            <w:hideMark/>
          </w:tcPr>
          <w:p w14:paraId="76B3B9F5"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.066</w:t>
            </w:r>
          </w:p>
        </w:tc>
        <w:tc>
          <w:tcPr>
            <w:tcW w:w="896" w:type="dxa"/>
            <w:tcBorders>
              <w:top w:val="single" w:sz="4" w:space="0" w:color="auto"/>
              <w:left w:val="single" w:sz="4" w:space="0" w:color="auto"/>
              <w:bottom w:val="single" w:sz="4" w:space="0" w:color="auto"/>
              <w:right w:val="single" w:sz="4" w:space="0" w:color="auto"/>
            </w:tcBorders>
            <w:vAlign w:val="center"/>
            <w:hideMark/>
          </w:tcPr>
          <w:p w14:paraId="67F1E5FC"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.050</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10E9A9"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.084</w:t>
            </w:r>
          </w:p>
        </w:tc>
        <w:tc>
          <w:tcPr>
            <w:tcW w:w="1051" w:type="dxa"/>
            <w:tcBorders>
              <w:top w:val="single" w:sz="4" w:space="0" w:color="auto"/>
              <w:left w:val="single" w:sz="4" w:space="0" w:color="auto"/>
              <w:bottom w:val="single" w:sz="4" w:space="0" w:color="auto"/>
              <w:right w:val="single" w:sz="4" w:space="0" w:color="auto"/>
            </w:tcBorders>
            <w:vAlign w:val="center"/>
            <w:hideMark/>
          </w:tcPr>
          <w:p w14:paraId="11E0CE91"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1.324</w:t>
            </w:r>
          </w:p>
        </w:tc>
        <w:tc>
          <w:tcPr>
            <w:tcW w:w="768" w:type="dxa"/>
            <w:tcBorders>
              <w:top w:val="single" w:sz="4" w:space="0" w:color="auto"/>
              <w:left w:val="single" w:sz="4" w:space="0" w:color="auto"/>
              <w:bottom w:val="single" w:sz="4" w:space="0" w:color="auto"/>
              <w:right w:val="single" w:sz="4" w:space="0" w:color="auto"/>
            </w:tcBorders>
            <w:vAlign w:val="center"/>
            <w:hideMark/>
          </w:tcPr>
          <w:p w14:paraId="78613FCD"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.186</w:t>
            </w:r>
          </w:p>
        </w:tc>
        <w:tc>
          <w:tcPr>
            <w:tcW w:w="1327" w:type="dxa"/>
            <w:tcBorders>
              <w:top w:val="single" w:sz="4" w:space="0" w:color="auto"/>
              <w:left w:val="single" w:sz="4" w:space="0" w:color="auto"/>
              <w:bottom w:val="single" w:sz="4" w:space="0" w:color="auto"/>
              <w:right w:val="single" w:sz="4" w:space="0" w:color="auto"/>
            </w:tcBorders>
            <w:vAlign w:val="center"/>
            <w:hideMark/>
          </w:tcPr>
          <w:p w14:paraId="45D9A557"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.833</w:t>
            </w:r>
          </w:p>
        </w:tc>
        <w:tc>
          <w:tcPr>
            <w:tcW w:w="892" w:type="dxa"/>
            <w:tcBorders>
              <w:top w:val="single" w:sz="4" w:space="0" w:color="auto"/>
              <w:left w:val="single" w:sz="4" w:space="0" w:color="auto"/>
              <w:bottom w:val="single" w:sz="4" w:space="0" w:color="auto"/>
              <w:right w:val="single" w:sz="4" w:space="0" w:color="auto"/>
            </w:tcBorders>
            <w:vAlign w:val="center"/>
            <w:hideMark/>
          </w:tcPr>
          <w:p w14:paraId="49A8DCD6"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lang w:val="en-US"/>
              </w:rPr>
              <w:t>1.201</w:t>
            </w:r>
          </w:p>
        </w:tc>
      </w:tr>
      <w:tr w:rsidR="00D35F98" w:rsidRPr="00D35F98" w14:paraId="0FCB889D" w14:textId="77777777" w:rsidTr="00E762C3">
        <w:trPr>
          <w:trHeight w:val="260"/>
        </w:trPr>
        <w:tc>
          <w:tcPr>
            <w:tcW w:w="9673" w:type="dxa"/>
            <w:gridSpan w:val="9"/>
            <w:tcBorders>
              <w:top w:val="single" w:sz="4" w:space="0" w:color="auto"/>
              <w:left w:val="single" w:sz="4" w:space="0" w:color="auto"/>
              <w:bottom w:val="single" w:sz="4" w:space="0" w:color="auto"/>
              <w:right w:val="single" w:sz="4" w:space="0" w:color="auto"/>
            </w:tcBorders>
            <w:hideMark/>
          </w:tcPr>
          <w:p w14:paraId="4A17D823" w14:textId="77777777" w:rsidR="00D35F98" w:rsidRPr="00D35F98" w:rsidRDefault="00D35F98" w:rsidP="00743040">
            <w:pPr>
              <w:spacing w:after="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rPr>
              <w:t>Dependent Variable: EIR Utilization</w:t>
            </w:r>
            <w:r w:rsidRPr="00D35F98">
              <w:rPr>
                <w:rFonts w:ascii="Times New Roman" w:eastAsia="Calibri" w:hAnsi="Times New Roman" w:cs="Times New Roman"/>
                <w:bCs/>
                <w:sz w:val="24"/>
                <w:szCs w:val="24"/>
                <w:lang w:val="en-US"/>
              </w:rPr>
              <w:t xml:space="preserve">. </w:t>
            </w:r>
            <w:r w:rsidRPr="00D35F98">
              <w:rPr>
                <w:rFonts w:ascii="Times New Roman" w:eastAsia="Calibri" w:hAnsi="Times New Roman" w:cs="Times New Roman"/>
                <w:bCs/>
                <w:sz w:val="24"/>
                <w:szCs w:val="24"/>
              </w:rPr>
              <w:t xml:space="preserve">F (5, 295) = 1.053, </w:t>
            </w:r>
            <w:r w:rsidRPr="00D35F98">
              <w:rPr>
                <w:rFonts w:ascii="Times New Roman" w:eastAsia="Calibri" w:hAnsi="Times New Roman" w:cs="Times New Roman"/>
                <w:bCs/>
                <w:i/>
                <w:sz w:val="24"/>
                <w:szCs w:val="24"/>
              </w:rPr>
              <w:t>p</w:t>
            </w:r>
            <w:r w:rsidRPr="00D35F98">
              <w:rPr>
                <w:rFonts w:ascii="Times New Roman" w:eastAsia="Calibri" w:hAnsi="Times New Roman" w:cs="Times New Roman"/>
                <w:bCs/>
                <w:sz w:val="24"/>
                <w:szCs w:val="24"/>
              </w:rPr>
              <w:t xml:space="preserve">&gt;0.05. </w:t>
            </w:r>
            <w:r w:rsidRPr="00D35F98">
              <w:rPr>
                <w:rFonts w:ascii="Times New Roman" w:eastAsia="Calibri" w:hAnsi="Times New Roman" w:cs="Times New Roman"/>
                <w:bCs/>
                <w:sz w:val="24"/>
                <w:szCs w:val="24"/>
                <w:lang w:val="en-US"/>
              </w:rPr>
              <w:t>T (DF = 295)</w:t>
            </w:r>
          </w:p>
        </w:tc>
      </w:tr>
    </w:tbl>
    <w:p w14:paraId="0E44B6F8" w14:textId="77777777" w:rsidR="00D35F98" w:rsidRPr="00D35F98" w:rsidRDefault="00D35F98" w:rsidP="00D35F98">
      <w:pPr>
        <w:spacing w:after="20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sz w:val="24"/>
          <w:szCs w:val="24"/>
        </w:rPr>
        <w:t xml:space="preserve">R² = 0.018, </w:t>
      </w:r>
      <w:r w:rsidRPr="00D35F98">
        <w:rPr>
          <w:rFonts w:ascii="Times New Roman" w:eastAsia="Calibri" w:hAnsi="Times New Roman" w:cs="Times New Roman"/>
          <w:bCs/>
          <w:i/>
          <w:sz w:val="24"/>
          <w:szCs w:val="24"/>
        </w:rPr>
        <w:t>Adj</w:t>
      </w:r>
      <w:r w:rsidRPr="00D35F98">
        <w:rPr>
          <w:rFonts w:ascii="Times New Roman" w:eastAsia="Calibri" w:hAnsi="Times New Roman" w:cs="Times New Roman"/>
          <w:bCs/>
          <w:sz w:val="24"/>
          <w:szCs w:val="24"/>
        </w:rPr>
        <w:t>. R² = 0.001.</w:t>
      </w:r>
      <w:r w:rsidRPr="00D35F98">
        <w:rPr>
          <w:rFonts w:ascii="Times New Roman" w:eastAsia="Calibri" w:hAnsi="Times New Roman" w:cs="Times New Roman"/>
          <w:bCs/>
          <w:sz w:val="24"/>
          <w:szCs w:val="24"/>
        </w:rPr>
        <w:br/>
        <w:t xml:space="preserve">F (5, 295) = 1.053, </w:t>
      </w:r>
      <w:r w:rsidRPr="00D35F98">
        <w:rPr>
          <w:rFonts w:ascii="Times New Roman" w:eastAsia="Calibri" w:hAnsi="Times New Roman" w:cs="Times New Roman"/>
          <w:bCs/>
          <w:i/>
          <w:iCs/>
          <w:sz w:val="24"/>
          <w:szCs w:val="24"/>
        </w:rPr>
        <w:t>p</w:t>
      </w:r>
      <w:r w:rsidRPr="00D35F98">
        <w:rPr>
          <w:rFonts w:ascii="Times New Roman" w:eastAsia="Calibri" w:hAnsi="Times New Roman" w:cs="Times New Roman"/>
          <w:bCs/>
          <w:sz w:val="24"/>
          <w:szCs w:val="24"/>
        </w:rPr>
        <w:t xml:space="preserve"> &gt; 0.05. T (DF = 295)</w:t>
      </w:r>
    </w:p>
    <w:p w14:paraId="7D2C09F4" w14:textId="77777777" w:rsidR="00D35F98" w:rsidRPr="00D35F98" w:rsidRDefault="00D35F98" w:rsidP="00D35F98">
      <w:pPr>
        <w:spacing w:after="200" w:line="276" w:lineRule="auto"/>
        <w:jc w:val="both"/>
        <w:rPr>
          <w:rFonts w:ascii="Times New Roman" w:eastAsia="Calibri" w:hAnsi="Times New Roman" w:cs="Times New Roman"/>
          <w:bCs/>
          <w:sz w:val="24"/>
          <w:szCs w:val="24"/>
        </w:rPr>
      </w:pPr>
      <w:r w:rsidRPr="00D35F98">
        <w:rPr>
          <w:rFonts w:ascii="Times New Roman" w:eastAsia="Calibri" w:hAnsi="Times New Roman" w:cs="Times New Roman"/>
          <w:bCs/>
          <w:i/>
          <w:iCs/>
          <w:sz w:val="24"/>
          <w:szCs w:val="24"/>
        </w:rPr>
        <w:t>Note.</w:t>
      </w:r>
      <w:r w:rsidRPr="00D35F98">
        <w:rPr>
          <w:rFonts w:ascii="Times New Roman" w:eastAsia="Calibri" w:hAnsi="Times New Roman" w:cs="Times New Roman"/>
          <w:bCs/>
          <w:sz w:val="24"/>
          <w:szCs w:val="24"/>
        </w:rPr>
        <w:t xml:space="preserve"> Data from Researcher’s Field Survey (2024). Not significant at </w:t>
      </w:r>
      <w:r w:rsidRPr="00D35F98">
        <w:rPr>
          <w:rFonts w:ascii="Times New Roman" w:eastAsia="Calibri" w:hAnsi="Times New Roman" w:cs="Times New Roman"/>
          <w:bCs/>
          <w:i/>
          <w:iCs/>
          <w:sz w:val="24"/>
          <w:szCs w:val="24"/>
        </w:rPr>
        <w:t>p</w:t>
      </w:r>
      <w:r w:rsidRPr="00D35F98">
        <w:rPr>
          <w:rFonts w:ascii="Times New Roman" w:eastAsia="Calibri" w:hAnsi="Times New Roman" w:cs="Times New Roman"/>
          <w:bCs/>
          <w:sz w:val="24"/>
          <w:szCs w:val="24"/>
        </w:rPr>
        <w:t xml:space="preserve"> &gt; 0.05</w:t>
      </w:r>
    </w:p>
    <w:p w14:paraId="1D86C8E2" w14:textId="77777777" w:rsidR="00D35F98" w:rsidRPr="00D35F98" w:rsidRDefault="00D35F98" w:rsidP="00D35F98">
      <w:pPr>
        <w:spacing w:after="20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 xml:space="preserve">Table </w:t>
      </w:r>
      <w:r w:rsidR="00155A7C">
        <w:rPr>
          <w:rFonts w:ascii="Times New Roman" w:eastAsia="Calibri" w:hAnsi="Times New Roman" w:cs="Times New Roman"/>
          <w:bCs/>
          <w:sz w:val="24"/>
          <w:szCs w:val="24"/>
          <w:lang w:val="en-US"/>
        </w:rPr>
        <w:t>5</w:t>
      </w:r>
      <w:r w:rsidRPr="00D35F98">
        <w:rPr>
          <w:rFonts w:ascii="Times New Roman" w:eastAsia="Calibri" w:hAnsi="Times New Roman" w:cs="Times New Roman"/>
          <w:bCs/>
          <w:sz w:val="24"/>
          <w:szCs w:val="24"/>
          <w:lang w:val="en-US"/>
        </w:rPr>
        <w:t xml:space="preserve"> shows that gender differentiation (division of labour, occupational segregation, gender role, technological competence, and socialization processes) </w:t>
      </w:r>
      <w:bookmarkStart w:id="3" w:name="_Hlk190941313"/>
      <w:r w:rsidRPr="00D35F98">
        <w:rPr>
          <w:rFonts w:ascii="Times New Roman" w:eastAsia="Calibri" w:hAnsi="Times New Roman" w:cs="Times New Roman"/>
          <w:bCs/>
          <w:sz w:val="24"/>
          <w:szCs w:val="24"/>
          <w:lang w:val="en-US"/>
        </w:rPr>
        <w:t xml:space="preserve">has no significant influence on electronic information resources utilization by medical students in federal universities in South-West, Nigeria </w:t>
      </w:r>
      <w:r w:rsidRPr="00D35F98">
        <w:rPr>
          <w:rFonts w:ascii="Times New Roman" w:eastAsia="Calibri" w:hAnsi="Times New Roman" w:cs="Times New Roman"/>
          <w:bCs/>
          <w:sz w:val="24"/>
          <w:szCs w:val="24"/>
        </w:rPr>
        <w:t>(</w:t>
      </w:r>
      <w:r w:rsidRPr="00D35F98">
        <w:rPr>
          <w:rFonts w:ascii="Times New Roman" w:eastAsia="Calibri" w:hAnsi="Times New Roman" w:cs="Times New Roman"/>
          <w:bCs/>
          <w:i/>
          <w:sz w:val="24"/>
          <w:szCs w:val="24"/>
        </w:rPr>
        <w:t>Adj. R</w:t>
      </w:r>
      <w:r w:rsidRPr="00D35F98">
        <w:rPr>
          <w:rFonts w:ascii="Times New Roman" w:eastAsia="Calibri" w:hAnsi="Times New Roman" w:cs="Times New Roman"/>
          <w:bCs/>
          <w:i/>
          <w:sz w:val="24"/>
          <w:szCs w:val="24"/>
          <w:vertAlign w:val="superscript"/>
        </w:rPr>
        <w:t xml:space="preserve">2 </w:t>
      </w:r>
      <w:r w:rsidRPr="00D35F98">
        <w:rPr>
          <w:rFonts w:ascii="Times New Roman" w:eastAsia="Calibri" w:hAnsi="Times New Roman" w:cs="Times New Roman"/>
          <w:bCs/>
          <w:sz w:val="24"/>
          <w:szCs w:val="24"/>
        </w:rPr>
        <w:t>= .</w:t>
      </w:r>
      <w:r w:rsidRPr="00D35F98">
        <w:rPr>
          <w:rFonts w:ascii="Times New Roman" w:eastAsia="Calibri" w:hAnsi="Times New Roman" w:cs="Times New Roman"/>
          <w:bCs/>
          <w:sz w:val="24"/>
          <w:szCs w:val="24"/>
          <w:lang w:val="en-US"/>
        </w:rPr>
        <w:t>001</w:t>
      </w:r>
      <w:r w:rsidRPr="00D35F98">
        <w:rPr>
          <w:rFonts w:ascii="Times New Roman" w:eastAsia="Calibri" w:hAnsi="Times New Roman" w:cs="Times New Roman"/>
          <w:bCs/>
          <w:sz w:val="24"/>
          <w:szCs w:val="24"/>
        </w:rPr>
        <w:t xml:space="preserve">, </w:t>
      </w:r>
      <w:r w:rsidRPr="00D35F98">
        <w:rPr>
          <w:rFonts w:ascii="Times New Roman" w:eastAsia="Calibri" w:hAnsi="Times New Roman" w:cs="Times New Roman"/>
          <w:bCs/>
          <w:i/>
          <w:sz w:val="24"/>
          <w:szCs w:val="24"/>
        </w:rPr>
        <w:t xml:space="preserve">F </w:t>
      </w:r>
      <w:r w:rsidRPr="00D35F98">
        <w:rPr>
          <w:rFonts w:ascii="Times New Roman" w:eastAsia="Calibri" w:hAnsi="Times New Roman" w:cs="Times New Roman"/>
          <w:bCs/>
          <w:sz w:val="24"/>
          <w:szCs w:val="24"/>
        </w:rPr>
        <w:t>(</w:t>
      </w:r>
      <w:r w:rsidRPr="00D35F98">
        <w:rPr>
          <w:rFonts w:ascii="Times New Roman" w:eastAsia="Calibri" w:hAnsi="Times New Roman" w:cs="Times New Roman"/>
          <w:bCs/>
          <w:sz w:val="24"/>
          <w:szCs w:val="24"/>
          <w:lang w:val="en-US"/>
        </w:rPr>
        <w:t>5</w:t>
      </w:r>
      <w:r w:rsidRPr="00D35F98">
        <w:rPr>
          <w:rFonts w:ascii="Times New Roman" w:eastAsia="Calibri" w:hAnsi="Times New Roman" w:cs="Times New Roman"/>
          <w:bCs/>
          <w:sz w:val="24"/>
          <w:szCs w:val="24"/>
        </w:rPr>
        <w:t xml:space="preserve">, </w:t>
      </w:r>
      <w:r w:rsidRPr="00D35F98">
        <w:rPr>
          <w:rFonts w:ascii="Times New Roman" w:eastAsia="Calibri" w:hAnsi="Times New Roman" w:cs="Times New Roman"/>
          <w:bCs/>
          <w:sz w:val="24"/>
          <w:szCs w:val="24"/>
          <w:lang w:val="en-US"/>
        </w:rPr>
        <w:t>295</w:t>
      </w:r>
      <w:r w:rsidRPr="00D35F98">
        <w:rPr>
          <w:rFonts w:ascii="Times New Roman" w:eastAsia="Calibri" w:hAnsi="Times New Roman" w:cs="Times New Roman"/>
          <w:bCs/>
          <w:sz w:val="24"/>
          <w:szCs w:val="24"/>
        </w:rPr>
        <w:t xml:space="preserve">) = </w:t>
      </w:r>
      <w:r w:rsidRPr="00D35F98">
        <w:rPr>
          <w:rFonts w:ascii="Times New Roman" w:eastAsia="Calibri" w:hAnsi="Times New Roman" w:cs="Times New Roman"/>
          <w:bCs/>
          <w:sz w:val="24"/>
          <w:szCs w:val="24"/>
          <w:lang w:val="en-US"/>
        </w:rPr>
        <w:t>1.053</w:t>
      </w:r>
      <w:r w:rsidRPr="00D35F98">
        <w:rPr>
          <w:rFonts w:ascii="Times New Roman" w:eastAsia="Calibri" w:hAnsi="Times New Roman" w:cs="Times New Roman"/>
          <w:bCs/>
          <w:sz w:val="24"/>
          <w:szCs w:val="24"/>
        </w:rPr>
        <w:t xml:space="preserve">, </w:t>
      </w:r>
      <w:r w:rsidRPr="00D35F98">
        <w:rPr>
          <w:rFonts w:ascii="Times New Roman" w:eastAsia="Calibri" w:hAnsi="Times New Roman" w:cs="Times New Roman"/>
          <w:bCs/>
          <w:i/>
          <w:sz w:val="24"/>
          <w:szCs w:val="24"/>
        </w:rPr>
        <w:t>p</w:t>
      </w:r>
      <w:r w:rsidRPr="00D35F98">
        <w:rPr>
          <w:rFonts w:ascii="Times New Roman" w:eastAsia="Calibri" w:hAnsi="Times New Roman" w:cs="Times New Roman"/>
          <w:bCs/>
          <w:sz w:val="24"/>
          <w:szCs w:val="24"/>
          <w:lang w:val="en-US"/>
        </w:rPr>
        <w:t>&gt;</w:t>
      </w:r>
      <w:r w:rsidRPr="00D35F98">
        <w:rPr>
          <w:rFonts w:ascii="Times New Roman" w:eastAsia="Calibri" w:hAnsi="Times New Roman" w:cs="Times New Roman"/>
          <w:bCs/>
          <w:sz w:val="24"/>
          <w:szCs w:val="24"/>
        </w:rPr>
        <w:t>0.05)</w:t>
      </w:r>
      <w:r w:rsidRPr="00D35F98">
        <w:rPr>
          <w:rFonts w:ascii="Times New Roman" w:eastAsia="Calibri" w:hAnsi="Times New Roman" w:cs="Times New Roman"/>
          <w:bCs/>
          <w:sz w:val="24"/>
          <w:szCs w:val="24"/>
          <w:lang w:val="en-US"/>
        </w:rPr>
        <w:t xml:space="preserve">. </w:t>
      </w:r>
      <w:bookmarkEnd w:id="3"/>
      <w:r w:rsidRPr="00D35F98">
        <w:rPr>
          <w:rFonts w:ascii="Times New Roman" w:eastAsia="Calibri" w:hAnsi="Times New Roman" w:cs="Times New Roman"/>
          <w:bCs/>
          <w:sz w:val="24"/>
          <w:szCs w:val="24"/>
          <w:lang w:val="en-US"/>
        </w:rPr>
        <w:t xml:space="preserve">The adjusted </w:t>
      </w:r>
      <w:r w:rsidRPr="00D35F98">
        <w:rPr>
          <w:rFonts w:ascii="Times New Roman" w:eastAsia="Calibri" w:hAnsi="Times New Roman" w:cs="Times New Roman"/>
          <w:bCs/>
          <w:i/>
          <w:iCs/>
          <w:sz w:val="24"/>
          <w:szCs w:val="24"/>
          <w:lang w:val="en-US"/>
        </w:rPr>
        <w:t>R²</w:t>
      </w:r>
      <w:r w:rsidRPr="00D35F98">
        <w:rPr>
          <w:rFonts w:ascii="Times New Roman" w:eastAsia="Calibri" w:hAnsi="Times New Roman" w:cs="Times New Roman"/>
          <w:bCs/>
          <w:sz w:val="24"/>
          <w:szCs w:val="24"/>
          <w:lang w:val="en-US"/>
        </w:rPr>
        <w:t xml:space="preserve"> value of 0.001 indicates that only 0.1% of the variation in EIR utilization is explained by gender differentiation. This reveals that gender differentiation has minimal explanatory power regarding EIR utilization by medical students. The overall model was not statistically significant, with </w:t>
      </w:r>
      <w:r w:rsidRPr="00D35F98">
        <w:rPr>
          <w:rFonts w:ascii="Times New Roman" w:eastAsia="Calibri" w:hAnsi="Times New Roman" w:cs="Times New Roman"/>
          <w:bCs/>
          <w:i/>
          <w:iCs/>
          <w:sz w:val="24"/>
          <w:szCs w:val="24"/>
          <w:lang w:val="en-US"/>
        </w:rPr>
        <w:t xml:space="preserve">F </w:t>
      </w:r>
      <w:r w:rsidRPr="00D35F98">
        <w:rPr>
          <w:rFonts w:ascii="Times New Roman" w:eastAsia="Calibri" w:hAnsi="Times New Roman" w:cs="Times New Roman"/>
          <w:bCs/>
          <w:sz w:val="24"/>
          <w:szCs w:val="24"/>
          <w:lang w:val="en-US"/>
        </w:rPr>
        <w:t xml:space="preserve">(5, 295) = 1.053, </w:t>
      </w:r>
      <w:r w:rsidRPr="00D35F98">
        <w:rPr>
          <w:rFonts w:ascii="Times New Roman" w:eastAsia="Calibri" w:hAnsi="Times New Roman" w:cs="Times New Roman"/>
          <w:bCs/>
          <w:i/>
          <w:iCs/>
          <w:sz w:val="24"/>
          <w:szCs w:val="24"/>
          <w:lang w:val="en-US"/>
        </w:rPr>
        <w:t>p</w:t>
      </w:r>
      <w:r w:rsidRPr="00D35F98">
        <w:rPr>
          <w:rFonts w:ascii="Times New Roman" w:eastAsia="Calibri" w:hAnsi="Times New Roman" w:cs="Times New Roman"/>
          <w:bCs/>
          <w:sz w:val="24"/>
          <w:szCs w:val="24"/>
          <w:lang w:val="en-US"/>
        </w:rPr>
        <w:t xml:space="preserve"> &gt; 0.05. Relatively, division of labour showed no significant influence on EIR utilization (</w:t>
      </w:r>
      <w:r w:rsidRPr="00D35F98">
        <w:rPr>
          <w:rFonts w:ascii="Times New Roman" w:eastAsia="Calibri" w:hAnsi="Times New Roman" w:cs="Times New Roman"/>
          <w:bCs/>
          <w:i/>
          <w:iCs/>
          <w:sz w:val="24"/>
          <w:szCs w:val="24"/>
          <w:lang w:val="en-US"/>
        </w:rPr>
        <w:t>β</w:t>
      </w:r>
      <w:r w:rsidRPr="00D35F98">
        <w:rPr>
          <w:rFonts w:ascii="Times New Roman" w:eastAsia="Calibri" w:hAnsi="Times New Roman" w:cs="Times New Roman"/>
          <w:bCs/>
          <w:sz w:val="24"/>
          <w:szCs w:val="24"/>
          <w:lang w:val="en-US"/>
        </w:rPr>
        <w:t xml:space="preserve"> = 0.044, </w:t>
      </w:r>
      <w:r w:rsidRPr="00D35F98">
        <w:rPr>
          <w:rFonts w:ascii="Times New Roman" w:eastAsia="Calibri" w:hAnsi="Times New Roman" w:cs="Times New Roman"/>
          <w:bCs/>
          <w:i/>
          <w:iCs/>
          <w:sz w:val="24"/>
          <w:szCs w:val="24"/>
          <w:lang w:val="en-US"/>
        </w:rPr>
        <w:t>t</w:t>
      </w:r>
      <w:r w:rsidRPr="00D35F98">
        <w:rPr>
          <w:rFonts w:ascii="Times New Roman" w:eastAsia="Calibri" w:hAnsi="Times New Roman" w:cs="Times New Roman"/>
          <w:bCs/>
          <w:sz w:val="24"/>
          <w:szCs w:val="24"/>
          <w:lang w:val="en-US"/>
        </w:rPr>
        <w:t xml:space="preserve"> = 0.754, </w:t>
      </w:r>
      <w:r w:rsidRPr="00D35F98">
        <w:rPr>
          <w:rFonts w:ascii="Times New Roman" w:eastAsia="Calibri" w:hAnsi="Times New Roman" w:cs="Times New Roman"/>
          <w:bCs/>
          <w:i/>
          <w:iCs/>
          <w:sz w:val="24"/>
          <w:szCs w:val="24"/>
          <w:lang w:val="en-US"/>
        </w:rPr>
        <w:t>p</w:t>
      </w:r>
      <w:r w:rsidRPr="00D35F98">
        <w:rPr>
          <w:rFonts w:ascii="Times New Roman" w:eastAsia="Calibri" w:hAnsi="Times New Roman" w:cs="Times New Roman"/>
          <w:bCs/>
          <w:sz w:val="24"/>
          <w:szCs w:val="24"/>
          <w:lang w:val="en-US"/>
        </w:rPr>
        <w:t xml:space="preserve"> = 0.451), indicating that changes in gendered division of labor do not have a </w:t>
      </w:r>
      <w:r w:rsidRPr="00D35F98">
        <w:rPr>
          <w:rFonts w:ascii="Times New Roman" w:eastAsia="Calibri" w:hAnsi="Times New Roman" w:cs="Times New Roman"/>
          <w:bCs/>
          <w:sz w:val="24"/>
          <w:szCs w:val="24"/>
          <w:lang w:val="en-US"/>
        </w:rPr>
        <w:lastRenderedPageBreak/>
        <w:t>meaningful impact on how medical students use electronic resources. Similarly, occupational segregation did not significantly influence EIR utilization (</w:t>
      </w:r>
      <w:r w:rsidRPr="00D35F98">
        <w:rPr>
          <w:rFonts w:ascii="Times New Roman" w:eastAsia="Calibri" w:hAnsi="Times New Roman" w:cs="Times New Roman"/>
          <w:bCs/>
          <w:i/>
          <w:iCs/>
          <w:sz w:val="24"/>
          <w:szCs w:val="24"/>
          <w:lang w:val="en-US"/>
        </w:rPr>
        <w:t>β</w:t>
      </w:r>
      <w:r w:rsidRPr="00D35F98">
        <w:rPr>
          <w:rFonts w:ascii="Times New Roman" w:eastAsia="Calibri" w:hAnsi="Times New Roman" w:cs="Times New Roman"/>
          <w:bCs/>
          <w:sz w:val="24"/>
          <w:szCs w:val="24"/>
          <w:lang w:val="en-US"/>
        </w:rPr>
        <w:t xml:space="preserve"> = -0.041, </w:t>
      </w:r>
      <w:r w:rsidRPr="00D35F98">
        <w:rPr>
          <w:rFonts w:ascii="Times New Roman" w:eastAsia="Calibri" w:hAnsi="Times New Roman" w:cs="Times New Roman"/>
          <w:bCs/>
          <w:i/>
          <w:iCs/>
          <w:sz w:val="24"/>
          <w:szCs w:val="24"/>
          <w:lang w:val="en-US"/>
        </w:rPr>
        <w:t>t</w:t>
      </w:r>
      <w:r w:rsidRPr="00D35F98">
        <w:rPr>
          <w:rFonts w:ascii="Times New Roman" w:eastAsia="Calibri" w:hAnsi="Times New Roman" w:cs="Times New Roman"/>
          <w:bCs/>
          <w:sz w:val="24"/>
          <w:szCs w:val="24"/>
          <w:lang w:val="en-US"/>
        </w:rPr>
        <w:t xml:space="preserve"> = -0.560, </w:t>
      </w:r>
      <w:r w:rsidRPr="00D35F98">
        <w:rPr>
          <w:rFonts w:ascii="Times New Roman" w:eastAsia="Calibri" w:hAnsi="Times New Roman" w:cs="Times New Roman"/>
          <w:bCs/>
          <w:i/>
          <w:iCs/>
          <w:sz w:val="24"/>
          <w:szCs w:val="24"/>
          <w:lang w:val="en-US"/>
        </w:rPr>
        <w:t>p</w:t>
      </w:r>
      <w:r w:rsidRPr="00D35F98">
        <w:rPr>
          <w:rFonts w:ascii="Times New Roman" w:eastAsia="Calibri" w:hAnsi="Times New Roman" w:cs="Times New Roman"/>
          <w:bCs/>
          <w:sz w:val="24"/>
          <w:szCs w:val="24"/>
          <w:lang w:val="en-US"/>
        </w:rPr>
        <w:t xml:space="preserve"> = 0.576), implying that the gender-based separation of professions has no discernible effect on resource use. </w:t>
      </w:r>
    </w:p>
    <w:p w14:paraId="56D547AA" w14:textId="77777777" w:rsidR="00D35F98" w:rsidRPr="00D35F98" w:rsidRDefault="00D35F98" w:rsidP="00D35F98">
      <w:pPr>
        <w:spacing w:after="200" w:line="276" w:lineRule="auto"/>
        <w:jc w:val="both"/>
        <w:rPr>
          <w:rFonts w:ascii="Times New Roman" w:eastAsia="Calibri" w:hAnsi="Times New Roman" w:cs="Times New Roman"/>
          <w:bCs/>
          <w:sz w:val="24"/>
          <w:szCs w:val="24"/>
          <w:lang w:val="en-US"/>
        </w:rPr>
      </w:pPr>
      <w:r w:rsidRPr="00D35F98">
        <w:rPr>
          <w:rFonts w:ascii="Times New Roman" w:eastAsia="Calibri" w:hAnsi="Times New Roman" w:cs="Times New Roman"/>
          <w:bCs/>
          <w:sz w:val="24"/>
          <w:szCs w:val="24"/>
          <w:lang w:val="en-US"/>
        </w:rPr>
        <w:t>Gender role also had no significant effect on EIR utilization (</w:t>
      </w:r>
      <w:r w:rsidRPr="00D35F98">
        <w:rPr>
          <w:rFonts w:ascii="Times New Roman" w:eastAsia="Calibri" w:hAnsi="Times New Roman" w:cs="Times New Roman"/>
          <w:bCs/>
          <w:i/>
          <w:iCs/>
          <w:sz w:val="24"/>
          <w:szCs w:val="24"/>
          <w:lang w:val="en-US"/>
        </w:rPr>
        <w:t>β</w:t>
      </w:r>
      <w:r w:rsidRPr="00D35F98">
        <w:rPr>
          <w:rFonts w:ascii="Times New Roman" w:eastAsia="Calibri" w:hAnsi="Times New Roman" w:cs="Times New Roman"/>
          <w:bCs/>
          <w:sz w:val="24"/>
          <w:szCs w:val="24"/>
          <w:lang w:val="en-US"/>
        </w:rPr>
        <w:t xml:space="preserve"> = 0.103, </w:t>
      </w:r>
      <w:r w:rsidRPr="00D35F98">
        <w:rPr>
          <w:rFonts w:ascii="Times New Roman" w:eastAsia="Calibri" w:hAnsi="Times New Roman" w:cs="Times New Roman"/>
          <w:bCs/>
          <w:i/>
          <w:iCs/>
          <w:sz w:val="24"/>
          <w:szCs w:val="24"/>
          <w:lang w:val="en-US"/>
        </w:rPr>
        <w:t>t</w:t>
      </w:r>
      <w:r w:rsidRPr="00D35F98">
        <w:rPr>
          <w:rFonts w:ascii="Times New Roman" w:eastAsia="Calibri" w:hAnsi="Times New Roman" w:cs="Times New Roman"/>
          <w:bCs/>
          <w:sz w:val="24"/>
          <w:szCs w:val="24"/>
          <w:lang w:val="en-US"/>
        </w:rPr>
        <w:t xml:space="preserve"> = 1.399, </w:t>
      </w:r>
      <w:r w:rsidRPr="00D35F98">
        <w:rPr>
          <w:rFonts w:ascii="Times New Roman" w:eastAsia="Calibri" w:hAnsi="Times New Roman" w:cs="Times New Roman"/>
          <w:bCs/>
          <w:i/>
          <w:iCs/>
          <w:sz w:val="24"/>
          <w:szCs w:val="24"/>
          <w:lang w:val="en-US"/>
        </w:rPr>
        <w:t>p</w:t>
      </w:r>
      <w:r w:rsidRPr="00D35F98">
        <w:rPr>
          <w:rFonts w:ascii="Times New Roman" w:eastAsia="Calibri" w:hAnsi="Times New Roman" w:cs="Times New Roman"/>
          <w:bCs/>
          <w:sz w:val="24"/>
          <w:szCs w:val="24"/>
          <w:lang w:val="en-US"/>
        </w:rPr>
        <w:t xml:space="preserve"> = 0.163), showing that adherence to traditional gender roles does not significantly influence how medical students utilize electronic information resources. Additionally, technological competence showed no significant impact (</w:t>
      </w:r>
      <w:r w:rsidRPr="00D35F98">
        <w:rPr>
          <w:rFonts w:ascii="Times New Roman" w:eastAsia="Calibri" w:hAnsi="Times New Roman" w:cs="Times New Roman"/>
          <w:bCs/>
          <w:i/>
          <w:iCs/>
          <w:sz w:val="24"/>
          <w:szCs w:val="24"/>
          <w:lang w:val="en-US"/>
        </w:rPr>
        <w:t>β</w:t>
      </w:r>
      <w:r w:rsidRPr="00D35F98">
        <w:rPr>
          <w:rFonts w:ascii="Times New Roman" w:eastAsia="Calibri" w:hAnsi="Times New Roman" w:cs="Times New Roman"/>
          <w:bCs/>
          <w:sz w:val="24"/>
          <w:szCs w:val="24"/>
          <w:lang w:val="en-US"/>
        </w:rPr>
        <w:t xml:space="preserve"> = -0.036, </w:t>
      </w:r>
      <w:r w:rsidRPr="00D35F98">
        <w:rPr>
          <w:rFonts w:ascii="Times New Roman" w:eastAsia="Calibri" w:hAnsi="Times New Roman" w:cs="Times New Roman"/>
          <w:bCs/>
          <w:i/>
          <w:iCs/>
          <w:sz w:val="24"/>
          <w:szCs w:val="24"/>
          <w:lang w:val="en-US"/>
        </w:rPr>
        <w:t>t</w:t>
      </w:r>
      <w:r w:rsidRPr="00D35F98">
        <w:rPr>
          <w:rFonts w:ascii="Times New Roman" w:eastAsia="Calibri" w:hAnsi="Times New Roman" w:cs="Times New Roman"/>
          <w:bCs/>
          <w:sz w:val="24"/>
          <w:szCs w:val="24"/>
          <w:lang w:val="en-US"/>
        </w:rPr>
        <w:t xml:space="preserve"> = -0.600, </w:t>
      </w:r>
      <w:r w:rsidRPr="00D35F98">
        <w:rPr>
          <w:rFonts w:ascii="Times New Roman" w:eastAsia="Calibri" w:hAnsi="Times New Roman" w:cs="Times New Roman"/>
          <w:bCs/>
          <w:i/>
          <w:iCs/>
          <w:sz w:val="24"/>
          <w:szCs w:val="24"/>
          <w:lang w:val="en-US"/>
        </w:rPr>
        <w:t>p</w:t>
      </w:r>
      <w:r w:rsidRPr="00D35F98">
        <w:rPr>
          <w:rFonts w:ascii="Times New Roman" w:eastAsia="Calibri" w:hAnsi="Times New Roman" w:cs="Times New Roman"/>
          <w:bCs/>
          <w:sz w:val="24"/>
          <w:szCs w:val="24"/>
          <w:lang w:val="en-US"/>
        </w:rPr>
        <w:t xml:space="preserve"> = 0.549), meaning that any differences in technological proficiency between genders do not influence EIR utilization. Lastly, socialization processes had no significant influence on EIR utilization (</w:t>
      </w:r>
      <w:r w:rsidRPr="00D35F98">
        <w:rPr>
          <w:rFonts w:ascii="Times New Roman" w:eastAsia="Calibri" w:hAnsi="Times New Roman" w:cs="Times New Roman"/>
          <w:bCs/>
          <w:i/>
          <w:iCs/>
          <w:sz w:val="24"/>
          <w:szCs w:val="24"/>
          <w:lang w:val="en-US"/>
        </w:rPr>
        <w:t>β</w:t>
      </w:r>
      <w:r w:rsidRPr="00D35F98">
        <w:rPr>
          <w:rFonts w:ascii="Times New Roman" w:eastAsia="Calibri" w:hAnsi="Times New Roman" w:cs="Times New Roman"/>
          <w:bCs/>
          <w:sz w:val="24"/>
          <w:szCs w:val="24"/>
          <w:lang w:val="en-US"/>
        </w:rPr>
        <w:t xml:space="preserve"> = 0.084, </w:t>
      </w:r>
      <w:r w:rsidRPr="00D35F98">
        <w:rPr>
          <w:rFonts w:ascii="Times New Roman" w:eastAsia="Calibri" w:hAnsi="Times New Roman" w:cs="Times New Roman"/>
          <w:bCs/>
          <w:i/>
          <w:iCs/>
          <w:sz w:val="24"/>
          <w:szCs w:val="24"/>
          <w:lang w:val="en-US"/>
        </w:rPr>
        <w:t>t</w:t>
      </w:r>
      <w:r w:rsidRPr="00D35F98">
        <w:rPr>
          <w:rFonts w:ascii="Times New Roman" w:eastAsia="Calibri" w:hAnsi="Times New Roman" w:cs="Times New Roman"/>
          <w:bCs/>
          <w:sz w:val="24"/>
          <w:szCs w:val="24"/>
          <w:lang w:val="en-US"/>
        </w:rPr>
        <w:t xml:space="preserve"> = 1.324, </w:t>
      </w:r>
      <w:r w:rsidRPr="00D35F98">
        <w:rPr>
          <w:rFonts w:ascii="Times New Roman" w:eastAsia="Calibri" w:hAnsi="Times New Roman" w:cs="Times New Roman"/>
          <w:bCs/>
          <w:i/>
          <w:iCs/>
          <w:sz w:val="24"/>
          <w:szCs w:val="24"/>
          <w:lang w:val="en-US"/>
        </w:rPr>
        <w:t>p</w:t>
      </w:r>
      <w:r w:rsidRPr="00D35F98">
        <w:rPr>
          <w:rFonts w:ascii="Times New Roman" w:eastAsia="Calibri" w:hAnsi="Times New Roman" w:cs="Times New Roman"/>
          <w:bCs/>
          <w:sz w:val="24"/>
          <w:szCs w:val="24"/>
          <w:lang w:val="en-US"/>
        </w:rPr>
        <w:t xml:space="preserve"> = 0.186), indicating that how individuals are socially conditioned along gender lines does not affect the way they use electronic resources. Therefore, the null hypothesis that "gender differentiation has no significant influence on electronic information resources utilization" is accepted. By implication, gender differentiation does not play a notable role in explaining EIR utilization by medical students in federal universities in South-West, Nigeria.</w:t>
      </w:r>
    </w:p>
    <w:p w14:paraId="4F2B1C20" w14:textId="77777777" w:rsidR="00A64E3F" w:rsidRPr="00155A7C" w:rsidRDefault="00155A7C" w:rsidP="0027271E">
      <w:pPr>
        <w:spacing w:after="200" w:line="276" w:lineRule="auto"/>
        <w:jc w:val="both"/>
        <w:rPr>
          <w:rFonts w:ascii="Times New Roman" w:eastAsia="Calibri" w:hAnsi="Times New Roman" w:cs="Times New Roman"/>
          <w:b/>
          <w:sz w:val="24"/>
          <w:szCs w:val="24"/>
        </w:rPr>
      </w:pPr>
      <w:r w:rsidRPr="00155A7C">
        <w:rPr>
          <w:rFonts w:ascii="Times New Roman" w:eastAsia="Calibri" w:hAnsi="Times New Roman" w:cs="Times New Roman"/>
          <w:b/>
          <w:sz w:val="24"/>
          <w:szCs w:val="24"/>
        </w:rPr>
        <w:t>Discussion of Findings</w:t>
      </w:r>
    </w:p>
    <w:p w14:paraId="43E2C986" w14:textId="77777777" w:rsidR="005E18B4" w:rsidRPr="005E18B4" w:rsidRDefault="005E18B4" w:rsidP="005E18B4">
      <w:pPr>
        <w:spacing w:after="200" w:line="276" w:lineRule="auto"/>
        <w:jc w:val="both"/>
        <w:rPr>
          <w:rFonts w:ascii="Times New Roman" w:eastAsia="Calibri" w:hAnsi="Times New Roman" w:cs="Times New Roman"/>
          <w:bCs/>
          <w:sz w:val="24"/>
          <w:szCs w:val="24"/>
        </w:rPr>
      </w:pPr>
      <w:r w:rsidRPr="005E18B4">
        <w:rPr>
          <w:rFonts w:ascii="Times New Roman" w:eastAsia="Calibri" w:hAnsi="Times New Roman" w:cs="Times New Roman"/>
          <w:bCs/>
          <w:sz w:val="24"/>
          <w:szCs w:val="24"/>
        </w:rPr>
        <w:t xml:space="preserve">The utilization of electronic information resources (EIRs) has become a cornerstone in medical education, significantly influencing how students access, evaluate, and apply knowledge. EIRs, which include e-journals, medical databases, and online reference tools, provide students with real-time access to the latest research, clinical guidelines, and educational materials (Jones &amp; Peters, 2023). With the ever-evolving medical knowledge, the ability to effectively navigate these resources is essential for developing clinical competencies and engaging in evidence-based practice. EIRs not only enhance academic performance but also contribute to self-directed learning and improved decision-making skills (Ahmed et al., 2022). However, many factors seem to </w:t>
      </w:r>
      <w:r>
        <w:rPr>
          <w:rFonts w:ascii="Times New Roman" w:eastAsia="Calibri" w:hAnsi="Times New Roman" w:cs="Times New Roman"/>
          <w:bCs/>
          <w:sz w:val="24"/>
          <w:szCs w:val="24"/>
        </w:rPr>
        <w:t>influence</w:t>
      </w:r>
      <w:r w:rsidRPr="005E18B4">
        <w:rPr>
          <w:rFonts w:ascii="Times New Roman" w:eastAsia="Calibri" w:hAnsi="Times New Roman" w:cs="Times New Roman"/>
          <w:bCs/>
          <w:sz w:val="24"/>
          <w:szCs w:val="24"/>
        </w:rPr>
        <w:t xml:space="preserve"> the use of these resources. Therefore, understanding these factors is critical for librarians and administrators aiming to optimize the integration of digital tools into medical curricula and ensuring that students are equipped with the skills needed for modern medical practice. In the view of this, this study had examined gender differentiation </w:t>
      </w:r>
      <w:r>
        <w:rPr>
          <w:rFonts w:ascii="Times New Roman" w:eastAsia="Calibri" w:hAnsi="Times New Roman" w:cs="Times New Roman"/>
          <w:bCs/>
          <w:sz w:val="24"/>
          <w:szCs w:val="24"/>
        </w:rPr>
        <w:t xml:space="preserve">as correlates of </w:t>
      </w:r>
      <w:r w:rsidRPr="005E18B4">
        <w:rPr>
          <w:rFonts w:ascii="Times New Roman" w:eastAsia="Calibri" w:hAnsi="Times New Roman" w:cs="Times New Roman"/>
          <w:bCs/>
          <w:sz w:val="24"/>
          <w:szCs w:val="24"/>
        </w:rPr>
        <w:t xml:space="preserve">electronic information resources (EIRs) utilization by medical students in federal universities in South-West, Nigeria. The research questions and hypotheses were formulated to determining the influence of gender differentiation on electronic information resources (EIRs) utilization by medical students. </w:t>
      </w:r>
    </w:p>
    <w:p w14:paraId="6E59E19C" w14:textId="77777777" w:rsidR="005E18B4" w:rsidRPr="005E18B4" w:rsidRDefault="005E18B4" w:rsidP="005E18B4">
      <w:pPr>
        <w:spacing w:after="200" w:line="276" w:lineRule="auto"/>
        <w:jc w:val="both"/>
        <w:rPr>
          <w:rFonts w:ascii="Times New Roman" w:eastAsia="Calibri" w:hAnsi="Times New Roman" w:cs="Times New Roman"/>
          <w:bCs/>
          <w:sz w:val="24"/>
          <w:szCs w:val="24"/>
        </w:rPr>
      </w:pPr>
      <w:r w:rsidRPr="005E18B4">
        <w:rPr>
          <w:rFonts w:ascii="Times New Roman" w:eastAsia="Calibri" w:hAnsi="Times New Roman" w:cs="Times New Roman"/>
          <w:bCs/>
          <w:sz w:val="24"/>
          <w:szCs w:val="24"/>
        </w:rPr>
        <w:t xml:space="preserve">Research Question one sought to determine the extent of EIRs utilization by medical students in federal universities in South-West, Nigeria. The study found that the overall extent of EIRs utilization by medical students is high. This suggests that medical students generally utilize EIRs effectively and value their benefits. </w:t>
      </w:r>
      <w:r w:rsidRPr="005E18B4">
        <w:rPr>
          <w:rFonts w:ascii="Times New Roman" w:eastAsia="Calibri" w:hAnsi="Times New Roman" w:cs="Times New Roman"/>
          <w:bCs/>
          <w:sz w:val="24"/>
          <w:szCs w:val="24"/>
          <w:lang w:val="en-US"/>
        </w:rPr>
        <w:t>Th</w:t>
      </w:r>
      <w:r w:rsidRPr="005E18B4">
        <w:rPr>
          <w:rFonts w:ascii="Times New Roman" w:eastAsia="Calibri" w:hAnsi="Times New Roman" w:cs="Times New Roman"/>
          <w:bCs/>
          <w:sz w:val="24"/>
          <w:szCs w:val="24"/>
        </w:rPr>
        <w:t>is</w:t>
      </w:r>
      <w:r w:rsidRPr="005E18B4">
        <w:rPr>
          <w:rFonts w:ascii="Times New Roman" w:eastAsia="Calibri" w:hAnsi="Times New Roman" w:cs="Times New Roman"/>
          <w:bCs/>
          <w:sz w:val="24"/>
          <w:szCs w:val="24"/>
          <w:lang w:val="en-US"/>
        </w:rPr>
        <w:t xml:space="preserve"> finding </w:t>
      </w:r>
      <w:r w:rsidRPr="005E18B4">
        <w:rPr>
          <w:rFonts w:ascii="Times New Roman" w:eastAsia="Calibri" w:hAnsi="Times New Roman" w:cs="Times New Roman"/>
          <w:bCs/>
          <w:sz w:val="24"/>
          <w:szCs w:val="24"/>
        </w:rPr>
        <w:t>further reflects</w:t>
      </w:r>
      <w:r w:rsidRPr="005E18B4">
        <w:rPr>
          <w:rFonts w:ascii="Times New Roman" w:eastAsia="Calibri" w:hAnsi="Times New Roman" w:cs="Times New Roman"/>
          <w:bCs/>
          <w:sz w:val="24"/>
          <w:szCs w:val="24"/>
          <w:lang w:val="en-US"/>
        </w:rPr>
        <w:t xml:space="preserve"> </w:t>
      </w:r>
      <w:r w:rsidRPr="005E18B4">
        <w:rPr>
          <w:rFonts w:ascii="Times New Roman" w:eastAsia="Calibri" w:hAnsi="Times New Roman" w:cs="Times New Roman"/>
          <w:bCs/>
          <w:sz w:val="24"/>
          <w:szCs w:val="24"/>
        </w:rPr>
        <w:t xml:space="preserve">the </w:t>
      </w:r>
      <w:r w:rsidRPr="005E18B4">
        <w:rPr>
          <w:rFonts w:ascii="Times New Roman" w:eastAsia="Calibri" w:hAnsi="Times New Roman" w:cs="Times New Roman"/>
          <w:bCs/>
          <w:sz w:val="24"/>
          <w:szCs w:val="24"/>
          <w:lang w:val="en-US"/>
        </w:rPr>
        <w:t>global trends in medical education</w:t>
      </w:r>
      <w:r w:rsidRPr="005E18B4">
        <w:rPr>
          <w:rFonts w:ascii="Times New Roman" w:eastAsia="Calibri" w:hAnsi="Times New Roman" w:cs="Times New Roman"/>
          <w:bCs/>
          <w:sz w:val="24"/>
          <w:szCs w:val="24"/>
        </w:rPr>
        <w:t xml:space="preserve"> in which </w:t>
      </w:r>
      <w:r w:rsidRPr="005E18B4">
        <w:rPr>
          <w:rFonts w:ascii="Times New Roman" w:eastAsia="Calibri" w:hAnsi="Times New Roman" w:cs="Times New Roman"/>
          <w:bCs/>
          <w:sz w:val="24"/>
          <w:szCs w:val="24"/>
          <w:lang w:val="en-US"/>
        </w:rPr>
        <w:t xml:space="preserve">medical students increasingly rely on EIRs for academic success, clinical knowledge, and professional development </w:t>
      </w:r>
      <w:r w:rsidRPr="005E18B4">
        <w:rPr>
          <w:rFonts w:ascii="Times New Roman" w:eastAsia="Calibri" w:hAnsi="Times New Roman" w:cs="Times New Roman"/>
          <w:bCs/>
          <w:sz w:val="24"/>
          <w:szCs w:val="24"/>
        </w:rPr>
        <w:t>(</w:t>
      </w:r>
      <w:r w:rsidRPr="005E18B4">
        <w:rPr>
          <w:rFonts w:ascii="Times New Roman" w:eastAsia="Calibri" w:hAnsi="Times New Roman" w:cs="Times New Roman"/>
          <w:bCs/>
          <w:sz w:val="24"/>
          <w:szCs w:val="24"/>
          <w:lang w:val="en-US"/>
        </w:rPr>
        <w:t>Alotaibi et al.</w:t>
      </w:r>
      <w:r w:rsidRPr="005E18B4">
        <w:rPr>
          <w:rFonts w:ascii="Times New Roman" w:eastAsia="Calibri" w:hAnsi="Times New Roman" w:cs="Times New Roman"/>
          <w:bCs/>
          <w:sz w:val="24"/>
          <w:szCs w:val="24"/>
        </w:rPr>
        <w:t>,</w:t>
      </w:r>
      <w:r w:rsidRPr="005E18B4">
        <w:rPr>
          <w:rFonts w:ascii="Times New Roman" w:eastAsia="Calibri" w:hAnsi="Times New Roman" w:cs="Times New Roman"/>
          <w:bCs/>
          <w:sz w:val="24"/>
          <w:szCs w:val="24"/>
          <w:lang w:val="en-US"/>
        </w:rPr>
        <w:t>2023)</w:t>
      </w:r>
      <w:r w:rsidRPr="005E18B4">
        <w:rPr>
          <w:rFonts w:ascii="Times New Roman" w:eastAsia="Calibri" w:hAnsi="Times New Roman" w:cs="Times New Roman"/>
          <w:bCs/>
          <w:sz w:val="24"/>
          <w:szCs w:val="24"/>
        </w:rPr>
        <w:t xml:space="preserve">. This finding corroborates the work of Nwachukwu et al. (2023) who found that the level of utilization of EIRs among the medical students at a South African university was higher because their ICT literacy skills enhance </w:t>
      </w:r>
      <w:r w:rsidRPr="005E18B4">
        <w:rPr>
          <w:rFonts w:ascii="Times New Roman" w:eastAsia="Calibri" w:hAnsi="Times New Roman" w:cs="Times New Roman"/>
          <w:bCs/>
          <w:sz w:val="24"/>
          <w:szCs w:val="24"/>
        </w:rPr>
        <w:lastRenderedPageBreak/>
        <w:t>their EIR usage. Furthermore, the finding is in agreement with the study of Johnson and Omotayo (2023) who revealed that Nigerian medical students were offered training workshops and have access to high-speed internet which resulted into higher levels of EIR use and also help them to fully exploit EIRs. However, this finding contradicts the work of Abubakar and Abdulkareem (2022) who reported that over 80% of medical students in Nigerian universities were aware of the major medical databases like PubMed and Hinari, but their actual usage of the EIRs was lower. The reason for this may be attributed to technical access issues raised by the students.</w:t>
      </w:r>
    </w:p>
    <w:p w14:paraId="093105E7" w14:textId="77777777" w:rsidR="005E18B4" w:rsidRPr="005E18B4" w:rsidRDefault="005E18B4" w:rsidP="005E18B4">
      <w:pPr>
        <w:spacing w:after="200" w:line="276" w:lineRule="auto"/>
        <w:jc w:val="both"/>
        <w:rPr>
          <w:rFonts w:ascii="Times New Roman" w:eastAsia="Calibri" w:hAnsi="Times New Roman" w:cs="Times New Roman"/>
          <w:bCs/>
          <w:sz w:val="24"/>
          <w:szCs w:val="24"/>
        </w:rPr>
      </w:pPr>
      <w:r w:rsidRPr="005E18B4">
        <w:rPr>
          <w:rFonts w:ascii="Times New Roman" w:eastAsia="Calibri" w:hAnsi="Times New Roman" w:cs="Times New Roman"/>
          <w:bCs/>
          <w:sz w:val="24"/>
          <w:szCs w:val="24"/>
        </w:rPr>
        <w:t xml:space="preserve">Research question two ascertain the medical students’ perception on gender differentiation in federal universities in South-West, Nigeria. The study reveals that medical students perceive a moderate level of gender differentiation in their utilization of EIRs. This perception is most pronounced in the areas of division of labor and gender roles. This implies that there is a general agreement among medical students that gender differentiation exists in various aspects of their academic and professional experiences, particularly in the division of labor, gender roles, and technological competence. This finding is in agreement with the research by Ahmed et al. (2023) who reported that male students tend to utilize EIRs for quick access to clinical guidelines and summaries, while female students are more likely to spend time engaging with in-depth research articles and academic databases. Furthermore, the finding is in line with the work of </w:t>
      </w:r>
      <w:r w:rsidRPr="005E18B4">
        <w:rPr>
          <w:rFonts w:ascii="Times New Roman" w:eastAsia="Calibri" w:hAnsi="Times New Roman" w:cs="Times New Roman"/>
          <w:bCs/>
          <w:sz w:val="24"/>
          <w:szCs w:val="24"/>
          <w:lang w:val="en-US"/>
        </w:rPr>
        <w:t xml:space="preserve">Buba, Abdullahi, and Muhammed (2018) </w:t>
      </w:r>
      <w:r w:rsidRPr="005E18B4">
        <w:rPr>
          <w:rFonts w:ascii="Times New Roman" w:eastAsia="Calibri" w:hAnsi="Times New Roman" w:cs="Times New Roman"/>
          <w:bCs/>
          <w:sz w:val="24"/>
          <w:szCs w:val="24"/>
        </w:rPr>
        <w:t>who examined</w:t>
      </w:r>
      <w:r w:rsidRPr="005E18B4">
        <w:rPr>
          <w:rFonts w:ascii="Times New Roman" w:eastAsia="Calibri" w:hAnsi="Times New Roman" w:cs="Times New Roman"/>
          <w:bCs/>
          <w:sz w:val="24"/>
          <w:szCs w:val="24"/>
          <w:lang w:val="en-US"/>
        </w:rPr>
        <w:t xml:space="preserve"> how men and women use electronic information tools differently</w:t>
      </w:r>
      <w:r w:rsidRPr="005E18B4">
        <w:rPr>
          <w:rFonts w:ascii="Times New Roman" w:eastAsia="Calibri" w:hAnsi="Times New Roman" w:cs="Times New Roman"/>
          <w:bCs/>
          <w:sz w:val="24"/>
          <w:szCs w:val="24"/>
        </w:rPr>
        <w:t xml:space="preserve"> </w:t>
      </w:r>
      <w:r w:rsidRPr="005E18B4">
        <w:rPr>
          <w:rFonts w:ascii="Times New Roman" w:eastAsia="Calibri" w:hAnsi="Times New Roman" w:cs="Times New Roman"/>
          <w:bCs/>
          <w:sz w:val="24"/>
          <w:szCs w:val="24"/>
          <w:lang w:val="en-US"/>
        </w:rPr>
        <w:t>in the libraries of universities in Jigawa state, Nigeria</w:t>
      </w:r>
      <w:r w:rsidRPr="005E18B4">
        <w:rPr>
          <w:rFonts w:ascii="Times New Roman" w:eastAsia="Calibri" w:hAnsi="Times New Roman" w:cs="Times New Roman"/>
          <w:bCs/>
          <w:sz w:val="24"/>
          <w:szCs w:val="24"/>
        </w:rPr>
        <w:t xml:space="preserve">, and found that there is significant difference in the use of EIR between male and female students. </w:t>
      </w:r>
      <w:bookmarkStart w:id="4" w:name="_Hlk179975230"/>
      <w:r w:rsidRPr="005E18B4">
        <w:rPr>
          <w:rFonts w:ascii="Times New Roman" w:eastAsia="Calibri" w:hAnsi="Times New Roman" w:cs="Times New Roman"/>
          <w:bCs/>
          <w:sz w:val="24"/>
          <w:szCs w:val="24"/>
        </w:rPr>
        <w:t xml:space="preserve">The finding also corroborates the study of </w:t>
      </w:r>
      <w:r w:rsidRPr="005E18B4">
        <w:rPr>
          <w:rFonts w:ascii="Times New Roman" w:eastAsia="Calibri" w:hAnsi="Times New Roman" w:cs="Times New Roman"/>
          <w:bCs/>
          <w:sz w:val="24"/>
          <w:szCs w:val="24"/>
          <w:lang w:val="en-US"/>
        </w:rPr>
        <w:t xml:space="preserve">Ebijuwa (2018) </w:t>
      </w:r>
      <w:r w:rsidRPr="005E18B4">
        <w:rPr>
          <w:rFonts w:ascii="Times New Roman" w:eastAsia="Calibri" w:hAnsi="Times New Roman" w:cs="Times New Roman"/>
          <w:bCs/>
          <w:sz w:val="24"/>
          <w:szCs w:val="24"/>
        </w:rPr>
        <w:t xml:space="preserve">who reported that there is </w:t>
      </w:r>
      <w:r w:rsidRPr="005E18B4">
        <w:rPr>
          <w:rFonts w:ascii="Times New Roman" w:eastAsia="Calibri" w:hAnsi="Times New Roman" w:cs="Times New Roman"/>
          <w:bCs/>
          <w:sz w:val="24"/>
          <w:szCs w:val="24"/>
          <w:lang w:val="en-US"/>
        </w:rPr>
        <w:t>gender differentiation</w:t>
      </w:r>
      <w:r w:rsidRPr="005E18B4">
        <w:rPr>
          <w:rFonts w:ascii="Times New Roman" w:eastAsia="Calibri" w:hAnsi="Times New Roman" w:cs="Times New Roman"/>
          <w:bCs/>
          <w:sz w:val="24"/>
          <w:szCs w:val="24"/>
        </w:rPr>
        <w:t xml:space="preserve"> in the use of EIR among the students </w:t>
      </w:r>
      <w:r w:rsidRPr="005E18B4">
        <w:rPr>
          <w:rFonts w:ascii="Times New Roman" w:eastAsia="Calibri" w:hAnsi="Times New Roman" w:cs="Times New Roman"/>
          <w:bCs/>
          <w:sz w:val="24"/>
          <w:szCs w:val="24"/>
          <w:lang w:val="en-US"/>
        </w:rPr>
        <w:t>at selected private universities in Nigeria</w:t>
      </w:r>
      <w:r w:rsidRPr="005E18B4">
        <w:rPr>
          <w:rFonts w:ascii="Times New Roman" w:eastAsia="Calibri" w:hAnsi="Times New Roman" w:cs="Times New Roman"/>
          <w:bCs/>
          <w:sz w:val="24"/>
          <w:szCs w:val="24"/>
        </w:rPr>
        <w:t xml:space="preserve">. However, the finding contradicts work of </w:t>
      </w:r>
      <w:r w:rsidRPr="005E18B4">
        <w:rPr>
          <w:rFonts w:ascii="Times New Roman" w:eastAsia="Calibri" w:hAnsi="Times New Roman" w:cs="Times New Roman"/>
          <w:bCs/>
          <w:sz w:val="24"/>
          <w:szCs w:val="24"/>
          <w:lang w:val="en-US"/>
        </w:rPr>
        <w:t xml:space="preserve">Daniel and Agba (2021) </w:t>
      </w:r>
      <w:bookmarkEnd w:id="4"/>
      <w:r w:rsidRPr="005E18B4">
        <w:rPr>
          <w:rFonts w:ascii="Times New Roman" w:eastAsia="Calibri" w:hAnsi="Times New Roman" w:cs="Times New Roman"/>
          <w:bCs/>
          <w:sz w:val="24"/>
          <w:szCs w:val="24"/>
        </w:rPr>
        <w:t xml:space="preserve">who reported that there is no gender difference in </w:t>
      </w:r>
      <w:r w:rsidRPr="005E18B4">
        <w:rPr>
          <w:rFonts w:ascii="Times New Roman" w:eastAsia="Calibri" w:hAnsi="Times New Roman" w:cs="Times New Roman"/>
          <w:bCs/>
          <w:sz w:val="24"/>
          <w:szCs w:val="24"/>
          <w:lang w:val="en-US"/>
        </w:rPr>
        <w:t>utilization of information resources among undergraduate universities in South-South</w:t>
      </w:r>
      <w:r w:rsidRPr="005E18B4">
        <w:rPr>
          <w:rFonts w:ascii="Times New Roman" w:eastAsia="Calibri" w:hAnsi="Times New Roman" w:cs="Times New Roman"/>
          <w:bCs/>
          <w:sz w:val="24"/>
          <w:szCs w:val="24"/>
        </w:rPr>
        <w:t>,</w:t>
      </w:r>
      <w:r w:rsidRPr="005E18B4">
        <w:rPr>
          <w:rFonts w:ascii="Times New Roman" w:eastAsia="Calibri" w:hAnsi="Times New Roman" w:cs="Times New Roman"/>
          <w:bCs/>
          <w:sz w:val="24"/>
          <w:szCs w:val="24"/>
          <w:lang w:val="en-US"/>
        </w:rPr>
        <w:t xml:space="preserve"> Nigeria</w:t>
      </w:r>
      <w:r w:rsidRPr="005E18B4">
        <w:rPr>
          <w:rFonts w:ascii="Times New Roman" w:eastAsia="Calibri" w:hAnsi="Times New Roman" w:cs="Times New Roman"/>
          <w:bCs/>
          <w:sz w:val="24"/>
          <w:szCs w:val="24"/>
        </w:rPr>
        <w:t>.</w:t>
      </w:r>
    </w:p>
    <w:p w14:paraId="38BC1582" w14:textId="77777777" w:rsidR="005E18B4" w:rsidRPr="005E18B4" w:rsidRDefault="005E18B4" w:rsidP="005E18B4">
      <w:pPr>
        <w:spacing w:after="200" w:line="276" w:lineRule="auto"/>
        <w:jc w:val="both"/>
        <w:rPr>
          <w:rFonts w:ascii="Times New Roman" w:eastAsia="Calibri" w:hAnsi="Times New Roman" w:cs="Times New Roman"/>
          <w:bCs/>
          <w:sz w:val="24"/>
          <w:szCs w:val="24"/>
        </w:rPr>
      </w:pPr>
      <w:r w:rsidRPr="005E18B4">
        <w:rPr>
          <w:rFonts w:ascii="Times New Roman" w:eastAsia="Calibri" w:hAnsi="Times New Roman" w:cs="Times New Roman"/>
          <w:bCs/>
          <w:sz w:val="24"/>
          <w:szCs w:val="24"/>
        </w:rPr>
        <w:t xml:space="preserve">Research Question </w:t>
      </w:r>
      <w:r>
        <w:rPr>
          <w:rFonts w:ascii="Times New Roman" w:eastAsia="Calibri" w:hAnsi="Times New Roman" w:cs="Times New Roman"/>
          <w:bCs/>
          <w:sz w:val="24"/>
          <w:szCs w:val="24"/>
        </w:rPr>
        <w:t>three</w:t>
      </w:r>
      <w:r w:rsidRPr="005E18B4">
        <w:rPr>
          <w:rFonts w:ascii="Times New Roman" w:eastAsia="Calibri" w:hAnsi="Times New Roman" w:cs="Times New Roman"/>
          <w:bCs/>
          <w:sz w:val="24"/>
          <w:szCs w:val="24"/>
        </w:rPr>
        <w:t xml:space="preserve"> sought to identify factors militating against electronic information resources utilization by the medical students in federal universities in South-West, Nigeria. The results showed that </w:t>
      </w:r>
      <w:r w:rsidRPr="005E18B4">
        <w:rPr>
          <w:rFonts w:ascii="Times New Roman" w:eastAsia="Calibri" w:hAnsi="Times New Roman" w:cs="Times New Roman"/>
          <w:bCs/>
          <w:sz w:val="24"/>
          <w:szCs w:val="24"/>
          <w:lang w:val="en-US"/>
        </w:rPr>
        <w:t xml:space="preserve">there are several </w:t>
      </w:r>
      <w:r w:rsidRPr="005E18B4">
        <w:rPr>
          <w:rFonts w:ascii="Times New Roman" w:eastAsia="Calibri" w:hAnsi="Times New Roman" w:cs="Times New Roman"/>
          <w:bCs/>
          <w:sz w:val="24"/>
          <w:szCs w:val="24"/>
        </w:rPr>
        <w:t>factors militating against electronic information resource utilization by medical students in federal universities in South-West, Nigeria</w:t>
      </w:r>
      <w:r w:rsidRPr="005E18B4">
        <w:rPr>
          <w:rFonts w:ascii="Times New Roman" w:eastAsia="Calibri" w:hAnsi="Times New Roman" w:cs="Times New Roman"/>
          <w:bCs/>
          <w:sz w:val="24"/>
          <w:szCs w:val="24"/>
          <w:lang w:val="en-US"/>
        </w:rPr>
        <w:t xml:space="preserve">. In specific terms, the top </w:t>
      </w:r>
      <w:r w:rsidRPr="005E18B4">
        <w:rPr>
          <w:rFonts w:ascii="Times New Roman" w:eastAsia="Calibri" w:hAnsi="Times New Roman" w:cs="Times New Roman"/>
          <w:bCs/>
          <w:sz w:val="24"/>
          <w:szCs w:val="24"/>
        </w:rPr>
        <w:t>four</w:t>
      </w:r>
      <w:r w:rsidRPr="005E18B4">
        <w:rPr>
          <w:rFonts w:ascii="Times New Roman" w:eastAsia="Calibri" w:hAnsi="Times New Roman" w:cs="Times New Roman"/>
          <w:bCs/>
          <w:sz w:val="24"/>
          <w:szCs w:val="24"/>
          <w:lang w:val="en-US"/>
        </w:rPr>
        <w:t xml:space="preserve"> challenges </w:t>
      </w:r>
      <w:r w:rsidRPr="005E18B4">
        <w:rPr>
          <w:rFonts w:ascii="Times New Roman" w:eastAsia="Calibri" w:hAnsi="Times New Roman" w:cs="Times New Roman"/>
          <w:bCs/>
          <w:sz w:val="24"/>
          <w:szCs w:val="24"/>
        </w:rPr>
        <w:t>militating against electronic information resources utilization were</w:t>
      </w:r>
      <w:r w:rsidRPr="005E18B4">
        <w:rPr>
          <w:rFonts w:ascii="Times New Roman" w:eastAsia="Calibri" w:hAnsi="Times New Roman" w:cs="Times New Roman"/>
          <w:bCs/>
          <w:sz w:val="24"/>
          <w:szCs w:val="24"/>
          <w:lang w:val="en-US"/>
        </w:rPr>
        <w:t xml:space="preserve"> unavailability of latest computers, lack of printing facility, login problems encountered when accessing online platforms, and frequent power outages. The other factors that impede</w:t>
      </w:r>
      <w:r w:rsidRPr="005E18B4">
        <w:rPr>
          <w:rFonts w:ascii="Times New Roman" w:eastAsia="Calibri" w:hAnsi="Times New Roman" w:cs="Times New Roman"/>
          <w:bCs/>
          <w:sz w:val="24"/>
          <w:szCs w:val="24"/>
        </w:rPr>
        <w:t xml:space="preserve"> electronic information resource utilization</w:t>
      </w:r>
      <w:r w:rsidRPr="005E18B4">
        <w:rPr>
          <w:rFonts w:ascii="Times New Roman" w:eastAsia="Calibri" w:hAnsi="Times New Roman" w:cs="Times New Roman"/>
          <w:bCs/>
          <w:sz w:val="24"/>
          <w:szCs w:val="24"/>
          <w:lang w:val="en-US"/>
        </w:rPr>
        <w:t xml:space="preserve"> were low internet speed, inadequate searching skills, lack of awareness of e-resources, non-availability of full texts, and lack of access to internet facility. </w:t>
      </w:r>
      <w:r w:rsidRPr="005E18B4">
        <w:rPr>
          <w:rFonts w:ascii="Times New Roman" w:eastAsia="Calibri" w:hAnsi="Times New Roman" w:cs="Times New Roman"/>
          <w:bCs/>
          <w:sz w:val="24"/>
          <w:szCs w:val="24"/>
        </w:rPr>
        <w:t xml:space="preserve">This finding is in consistence with the research by Olatunji and Adewale (2021) as well as Fatima et al. (2021) who reported that when students face multiple obstacles in accessing e-resources such as unavailability of modern computers, lack of printing facilities, login issues, and frequent power outages, their overall academic performance suffers. These challenges, particularly when combined, lead to frustration, reduced motivation, and diminished learning outcomes. Therefore, addressing these challenges would contribute to enhancing the quality and effectiveness of </w:t>
      </w:r>
      <w:r w:rsidRPr="005E18B4">
        <w:rPr>
          <w:rFonts w:ascii="Times New Roman" w:eastAsia="Calibri" w:hAnsi="Times New Roman" w:cs="Times New Roman"/>
          <w:bCs/>
          <w:sz w:val="24"/>
          <w:szCs w:val="24"/>
        </w:rPr>
        <w:lastRenderedPageBreak/>
        <w:t>electronic information resource utilization in the study area. Contrarily, the study against the work of Nwachukwu et al. (2023) who reported that outdated computer hardware is the major factor that limits medical students' ability to efficiently access and navigate modern medical databases and digital learning platforms.</w:t>
      </w:r>
    </w:p>
    <w:p w14:paraId="2291E49C" w14:textId="77777777" w:rsidR="00121CC2" w:rsidRDefault="00A828F2" w:rsidP="00FA7C65">
      <w:pPr>
        <w:spacing w:after="200" w:line="276"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The only tested hypothesis</w:t>
      </w:r>
      <w:r w:rsidR="005E18B4" w:rsidRPr="005E18B4">
        <w:rPr>
          <w:rFonts w:ascii="Times New Roman" w:eastAsia="Calibri" w:hAnsi="Times New Roman" w:cs="Times New Roman"/>
          <w:bCs/>
          <w:sz w:val="24"/>
          <w:szCs w:val="24"/>
        </w:rPr>
        <w:t xml:space="preserve"> revealed that gender differentiation (division of labour, occupational segregation, gender role, technological competence, and socialization processes) has no significant influence on electronic information resources utilization by medical students in federal universities in South-West, Nigeria. This implies that gender differentiation does not play a notable role in explaining EIR utilization by medical students in federal universities in South-West, Nigeria. This finding challenges the conventional understanding that gender-based disparities often influence access to and use of digital resources but aligns with recent studies indicating a reduction in gender gaps in technologically advanced learning environments. For example, this finding is consistent with research by </w:t>
      </w:r>
      <w:r w:rsidR="005E18B4" w:rsidRPr="005E18B4">
        <w:rPr>
          <w:rFonts w:ascii="Times New Roman" w:eastAsia="Calibri" w:hAnsi="Times New Roman" w:cs="Times New Roman"/>
          <w:bCs/>
          <w:sz w:val="24"/>
          <w:szCs w:val="24"/>
          <w:lang w:val="en-US"/>
        </w:rPr>
        <w:t xml:space="preserve">Daniel and Agba </w:t>
      </w:r>
      <w:r w:rsidR="005E18B4" w:rsidRPr="005E18B4">
        <w:rPr>
          <w:rFonts w:ascii="Times New Roman" w:eastAsia="Calibri" w:hAnsi="Times New Roman" w:cs="Times New Roman"/>
          <w:bCs/>
          <w:sz w:val="24"/>
          <w:szCs w:val="24"/>
        </w:rPr>
        <w:t xml:space="preserve">(2021) who reported that gender differentiation </w:t>
      </w:r>
      <w:r w:rsidR="005E18B4" w:rsidRPr="005E18B4">
        <w:rPr>
          <w:rFonts w:ascii="Times New Roman" w:eastAsia="Calibri" w:hAnsi="Times New Roman" w:cs="Times New Roman"/>
          <w:bCs/>
          <w:sz w:val="24"/>
          <w:szCs w:val="24"/>
          <w:lang w:val="en-US"/>
        </w:rPr>
        <w:t xml:space="preserve">did not have a significant impact on the utilization </w:t>
      </w:r>
      <w:r w:rsidR="005E18B4" w:rsidRPr="005E18B4">
        <w:rPr>
          <w:rFonts w:ascii="Times New Roman" w:eastAsia="Calibri" w:hAnsi="Times New Roman" w:cs="Times New Roman"/>
          <w:bCs/>
          <w:sz w:val="24"/>
          <w:szCs w:val="24"/>
        </w:rPr>
        <w:t>of electronic</w:t>
      </w:r>
      <w:r w:rsidR="005E18B4" w:rsidRPr="005E18B4">
        <w:rPr>
          <w:rFonts w:ascii="Times New Roman" w:eastAsia="Calibri" w:hAnsi="Times New Roman" w:cs="Times New Roman"/>
          <w:bCs/>
          <w:sz w:val="24"/>
          <w:szCs w:val="24"/>
          <w:lang w:val="en-US"/>
        </w:rPr>
        <w:t xml:space="preserve"> information resources</w:t>
      </w:r>
      <w:r w:rsidR="005E18B4" w:rsidRPr="005E18B4">
        <w:rPr>
          <w:rFonts w:ascii="Times New Roman" w:eastAsia="Calibri" w:hAnsi="Times New Roman" w:cs="Times New Roman"/>
          <w:bCs/>
          <w:sz w:val="24"/>
          <w:szCs w:val="24"/>
        </w:rPr>
        <w:t xml:space="preserve">. Also, the finding is in line with the studies of Hassan and Williams (2023) as well as Olatunji and Adewale (2021) who found that gender differentiation did not have significant impact on the use of electronic database among the undergraduates. This shows that medical students, regardless of gender, are increasingly being trained to perform similar academic tasks and are exposed to equal learning opportunities through technology. However, this finding against the study of </w:t>
      </w:r>
      <w:r w:rsidR="005E18B4" w:rsidRPr="005E18B4">
        <w:rPr>
          <w:rFonts w:ascii="Times New Roman" w:eastAsia="Calibri" w:hAnsi="Times New Roman" w:cs="Times New Roman"/>
          <w:bCs/>
          <w:sz w:val="24"/>
          <w:szCs w:val="24"/>
          <w:lang w:val="en-US"/>
        </w:rPr>
        <w:t xml:space="preserve">Buba, Abdullahi, and Muhammed </w:t>
      </w:r>
      <w:r w:rsidR="005E18B4" w:rsidRPr="005E18B4">
        <w:rPr>
          <w:rFonts w:ascii="Times New Roman" w:eastAsia="Calibri" w:hAnsi="Times New Roman" w:cs="Times New Roman"/>
          <w:bCs/>
          <w:sz w:val="24"/>
          <w:szCs w:val="24"/>
        </w:rPr>
        <w:t xml:space="preserve">(2018) who found that gender differentiation influences the use of electronic information resources among the students in South-south, Nigeria. Also, </w:t>
      </w:r>
      <w:r w:rsidR="005E18B4" w:rsidRPr="005E18B4">
        <w:rPr>
          <w:rFonts w:ascii="Times New Roman" w:eastAsia="Calibri" w:hAnsi="Times New Roman" w:cs="Times New Roman"/>
          <w:bCs/>
          <w:sz w:val="24"/>
          <w:szCs w:val="24"/>
          <w:lang w:val="en-US"/>
        </w:rPr>
        <w:t>Yunisa (2019)</w:t>
      </w:r>
      <w:r w:rsidR="005E18B4" w:rsidRPr="005E18B4">
        <w:rPr>
          <w:rFonts w:ascii="Times New Roman" w:eastAsia="Calibri" w:hAnsi="Times New Roman" w:cs="Times New Roman"/>
          <w:bCs/>
          <w:sz w:val="24"/>
          <w:szCs w:val="24"/>
        </w:rPr>
        <w:t xml:space="preserve"> who found that gender differentiation influenced the usability of electronic information resources among undergraduate students in university libraries of Jigawa State, Nigeria.</w:t>
      </w:r>
    </w:p>
    <w:p w14:paraId="51FBF9FB" w14:textId="77777777" w:rsidR="009E0300" w:rsidRPr="009E0300" w:rsidRDefault="009E0300" w:rsidP="00FA7C65">
      <w:pPr>
        <w:spacing w:after="200" w:line="276" w:lineRule="auto"/>
        <w:jc w:val="both"/>
        <w:rPr>
          <w:rFonts w:ascii="Times New Roman" w:eastAsia="Calibri" w:hAnsi="Times New Roman" w:cs="Times New Roman"/>
          <w:b/>
          <w:sz w:val="24"/>
          <w:szCs w:val="24"/>
        </w:rPr>
      </w:pPr>
      <w:r w:rsidRPr="009E0300">
        <w:rPr>
          <w:rFonts w:ascii="Times New Roman" w:eastAsia="Calibri" w:hAnsi="Times New Roman" w:cs="Times New Roman"/>
          <w:b/>
          <w:sz w:val="24"/>
          <w:szCs w:val="24"/>
        </w:rPr>
        <w:t>Conclusions</w:t>
      </w:r>
    </w:p>
    <w:p w14:paraId="4AB1ECB2" w14:textId="77777777" w:rsidR="0088789D" w:rsidRPr="0088789D" w:rsidRDefault="0088789D" w:rsidP="0088789D">
      <w:pPr>
        <w:spacing w:after="200" w:line="276" w:lineRule="auto"/>
        <w:jc w:val="both"/>
        <w:rPr>
          <w:rFonts w:ascii="Times New Roman" w:eastAsia="Calibri" w:hAnsi="Times New Roman" w:cs="Times New Roman"/>
          <w:bCs/>
          <w:sz w:val="24"/>
          <w:szCs w:val="24"/>
          <w:lang w:val="en-US"/>
        </w:rPr>
      </w:pPr>
      <w:r w:rsidRPr="0088789D">
        <w:rPr>
          <w:rFonts w:ascii="Times New Roman" w:eastAsia="Calibri" w:hAnsi="Times New Roman" w:cs="Times New Roman"/>
          <w:bCs/>
          <w:sz w:val="24"/>
          <w:szCs w:val="24"/>
          <w:lang w:val="en-US"/>
        </w:rPr>
        <w:t xml:space="preserve">The study concluded that gender differentiation had no significant influence on the utilization of electronic information resources (EIR) among medical students in South-West Nigeria. This finding suggests that, in the context of medical education, traditional gender roles do not play a substantial role in determining how students engage with EIRs. </w:t>
      </w:r>
      <w:r>
        <w:rPr>
          <w:rFonts w:ascii="Times New Roman" w:eastAsia="Calibri" w:hAnsi="Times New Roman" w:cs="Times New Roman"/>
          <w:bCs/>
          <w:sz w:val="24"/>
          <w:szCs w:val="24"/>
          <w:lang w:val="en-US"/>
        </w:rPr>
        <w:t>This means that d</w:t>
      </w:r>
      <w:r w:rsidRPr="0088789D">
        <w:rPr>
          <w:rFonts w:ascii="Times New Roman" w:eastAsia="Calibri" w:hAnsi="Times New Roman" w:cs="Times New Roman"/>
          <w:bCs/>
          <w:sz w:val="24"/>
          <w:szCs w:val="24"/>
          <w:lang w:val="en-US"/>
        </w:rPr>
        <w:t>espite the increasing emphasis on digital literacy and equitable access to technology, th</w:t>
      </w:r>
      <w:r>
        <w:rPr>
          <w:rFonts w:ascii="Times New Roman" w:eastAsia="Calibri" w:hAnsi="Times New Roman" w:cs="Times New Roman"/>
          <w:bCs/>
          <w:sz w:val="24"/>
          <w:szCs w:val="24"/>
          <w:lang w:val="en-US"/>
        </w:rPr>
        <w:t>i</w:t>
      </w:r>
      <w:r w:rsidRPr="0088789D">
        <w:rPr>
          <w:rFonts w:ascii="Times New Roman" w:eastAsia="Calibri" w:hAnsi="Times New Roman" w:cs="Times New Roman"/>
          <w:bCs/>
          <w:sz w:val="24"/>
          <w:szCs w:val="24"/>
          <w:lang w:val="en-US"/>
        </w:rPr>
        <w:t>s factor</w:t>
      </w:r>
      <w:r>
        <w:rPr>
          <w:rFonts w:ascii="Times New Roman" w:eastAsia="Calibri" w:hAnsi="Times New Roman" w:cs="Times New Roman"/>
          <w:bCs/>
          <w:sz w:val="24"/>
          <w:szCs w:val="24"/>
          <w:lang w:val="en-US"/>
        </w:rPr>
        <w:t xml:space="preserve"> does</w:t>
      </w:r>
      <w:r w:rsidRPr="0088789D">
        <w:rPr>
          <w:rFonts w:ascii="Times New Roman" w:eastAsia="Calibri" w:hAnsi="Times New Roman" w:cs="Times New Roman"/>
          <w:bCs/>
          <w:sz w:val="24"/>
          <w:szCs w:val="24"/>
          <w:lang w:val="en-US"/>
        </w:rPr>
        <w:t xml:space="preserve"> not significantly affect EIR utilization. The results point to the need for institutions to focus on other barriers, such as infrastructural challenges, training in the use of academic databases, and improving access to technology to enhance the effective use of electronic resources. Furthermore, the diminishing role of gender in electronic resource utilization highlights the growing importance of addressing broader systematic issues rather than relying on gender-based interventions in promoting EIRs utilization. </w:t>
      </w:r>
    </w:p>
    <w:p w14:paraId="26D252B1" w14:textId="77777777" w:rsidR="0088789D" w:rsidRPr="0088789D" w:rsidRDefault="00513C01" w:rsidP="0088789D">
      <w:pPr>
        <w:spacing w:after="200" w:line="276" w:lineRule="auto"/>
        <w:jc w:val="both"/>
        <w:rPr>
          <w:rFonts w:ascii="Times New Roman" w:eastAsia="Calibri" w:hAnsi="Times New Roman" w:cs="Times New Roman"/>
          <w:b/>
          <w:sz w:val="24"/>
          <w:szCs w:val="24"/>
          <w:lang w:val="en-US"/>
        </w:rPr>
      </w:pPr>
      <w:r w:rsidRPr="00513C01">
        <w:rPr>
          <w:rFonts w:ascii="Times New Roman" w:eastAsia="Calibri" w:hAnsi="Times New Roman" w:cs="Times New Roman"/>
          <w:b/>
          <w:sz w:val="24"/>
          <w:szCs w:val="24"/>
          <w:lang w:val="en-US"/>
        </w:rPr>
        <w:t>Recommendations</w:t>
      </w:r>
    </w:p>
    <w:p w14:paraId="6DBB0499" w14:textId="77777777" w:rsidR="00513C01" w:rsidRPr="00513C01" w:rsidRDefault="00513C01" w:rsidP="00513C01">
      <w:pPr>
        <w:spacing w:after="200" w:line="276" w:lineRule="auto"/>
        <w:jc w:val="both"/>
        <w:rPr>
          <w:rFonts w:ascii="Times New Roman" w:eastAsia="Calibri" w:hAnsi="Times New Roman" w:cs="Times New Roman"/>
          <w:bCs/>
          <w:sz w:val="24"/>
          <w:szCs w:val="24"/>
          <w:lang w:val="en-US"/>
        </w:rPr>
      </w:pPr>
      <w:r w:rsidRPr="00513C01">
        <w:rPr>
          <w:rFonts w:ascii="Times New Roman" w:eastAsia="Calibri" w:hAnsi="Times New Roman" w:cs="Times New Roman"/>
          <w:bCs/>
          <w:sz w:val="24"/>
          <w:szCs w:val="24"/>
          <w:lang w:val="en-US"/>
        </w:rPr>
        <w:t>Based on the findings of this study, the following recommendations are made:</w:t>
      </w:r>
    </w:p>
    <w:p w14:paraId="3AAC598B" w14:textId="77777777" w:rsidR="00513C01" w:rsidRPr="00513C01" w:rsidRDefault="00513C01" w:rsidP="00513C01">
      <w:pPr>
        <w:numPr>
          <w:ilvl w:val="0"/>
          <w:numId w:val="5"/>
        </w:numPr>
        <w:spacing w:after="200" w:line="276" w:lineRule="auto"/>
        <w:jc w:val="both"/>
        <w:rPr>
          <w:rFonts w:ascii="Times New Roman" w:eastAsia="Calibri" w:hAnsi="Times New Roman" w:cs="Times New Roman"/>
          <w:bCs/>
          <w:sz w:val="24"/>
          <w:szCs w:val="24"/>
          <w:lang w:val="en-US"/>
        </w:rPr>
      </w:pPr>
      <w:r w:rsidRPr="00513C01">
        <w:rPr>
          <w:rFonts w:ascii="Times New Roman" w:eastAsia="Calibri" w:hAnsi="Times New Roman" w:cs="Times New Roman"/>
          <w:bCs/>
          <w:sz w:val="24"/>
          <w:szCs w:val="24"/>
          <w:lang w:val="en-US"/>
        </w:rPr>
        <w:lastRenderedPageBreak/>
        <w:t>Universities should prioritize improving the technological infrastructure to facilitate better access to electronic information resources (EIR). This includes ensuring reliable internet connectivity, providing adequate computer facilities, and establishing uninterrupted power supply systems to enhance students' ability to access and utilize EIR effectively.</w:t>
      </w:r>
    </w:p>
    <w:p w14:paraId="00F3FBFF" w14:textId="77777777" w:rsidR="00513C01" w:rsidRPr="00513C01" w:rsidRDefault="00513C01" w:rsidP="00513C01">
      <w:pPr>
        <w:numPr>
          <w:ilvl w:val="0"/>
          <w:numId w:val="5"/>
        </w:numPr>
        <w:spacing w:after="200" w:line="276" w:lineRule="auto"/>
        <w:jc w:val="both"/>
        <w:rPr>
          <w:rFonts w:ascii="Times New Roman" w:eastAsia="Calibri" w:hAnsi="Times New Roman" w:cs="Times New Roman"/>
          <w:bCs/>
          <w:sz w:val="24"/>
          <w:szCs w:val="24"/>
          <w:lang w:val="en-US"/>
        </w:rPr>
      </w:pPr>
      <w:r w:rsidRPr="00513C01">
        <w:rPr>
          <w:rFonts w:ascii="Times New Roman" w:eastAsia="Calibri" w:hAnsi="Times New Roman" w:cs="Times New Roman"/>
          <w:bCs/>
          <w:sz w:val="24"/>
          <w:szCs w:val="24"/>
          <w:lang w:val="en-US"/>
        </w:rPr>
        <w:t>Universities should implement comprehensive training programs that focus on developing students’ digital literacy skills. These programs should include hands-on training on navigating academic databases, understanding the significance of EIR, and conducting effective online searches. Tailoring these training sessions to meet the specific needs of medical students can help bridge the gap in EIR utilization.</w:t>
      </w:r>
    </w:p>
    <w:p w14:paraId="2B171897" w14:textId="77777777" w:rsidR="00513C01" w:rsidRPr="00513C01" w:rsidRDefault="00513C01" w:rsidP="00513C01">
      <w:pPr>
        <w:numPr>
          <w:ilvl w:val="0"/>
          <w:numId w:val="5"/>
        </w:numPr>
        <w:spacing w:after="200" w:line="276" w:lineRule="auto"/>
        <w:jc w:val="both"/>
        <w:rPr>
          <w:rFonts w:ascii="Times New Roman" w:eastAsia="Calibri" w:hAnsi="Times New Roman" w:cs="Times New Roman"/>
          <w:bCs/>
          <w:sz w:val="24"/>
          <w:szCs w:val="24"/>
          <w:lang w:val="en-US"/>
        </w:rPr>
      </w:pPr>
      <w:r w:rsidRPr="00513C01">
        <w:rPr>
          <w:rFonts w:ascii="Times New Roman" w:eastAsia="Calibri" w:hAnsi="Times New Roman" w:cs="Times New Roman"/>
          <w:bCs/>
          <w:sz w:val="24"/>
          <w:szCs w:val="24"/>
          <w:lang w:val="en-US"/>
        </w:rPr>
        <w:t>Universities should increase awareness among medical students about the value of electronic information resources. This can be achieved through workshops, seminars, and targeted information campaigns that highlight the benefits of using specialized academic resources over general web searches.</w:t>
      </w:r>
    </w:p>
    <w:p w14:paraId="3017201D" w14:textId="77777777" w:rsidR="009E0300" w:rsidRDefault="00513C01" w:rsidP="00F5357C">
      <w:pPr>
        <w:numPr>
          <w:ilvl w:val="0"/>
          <w:numId w:val="5"/>
        </w:numPr>
        <w:spacing w:after="200" w:line="276" w:lineRule="auto"/>
        <w:jc w:val="both"/>
        <w:rPr>
          <w:rFonts w:ascii="Times New Roman" w:eastAsia="Calibri" w:hAnsi="Times New Roman" w:cs="Times New Roman"/>
          <w:bCs/>
          <w:sz w:val="24"/>
          <w:szCs w:val="24"/>
          <w:lang w:val="en-US"/>
        </w:rPr>
      </w:pPr>
      <w:r w:rsidRPr="00513C01">
        <w:rPr>
          <w:rFonts w:ascii="Times New Roman" w:eastAsia="Calibri" w:hAnsi="Times New Roman" w:cs="Times New Roman"/>
          <w:bCs/>
          <w:sz w:val="24"/>
          <w:szCs w:val="24"/>
          <w:lang w:val="en-US"/>
        </w:rPr>
        <w:t>Universities should foster an environment that promotes collaborative learning among students. Encouraging group projects and peer-to-peer learning can enhance information-sharing practices and help students better understand how to utilize EIR effectively, regardless of their gender.</w:t>
      </w:r>
    </w:p>
    <w:p w14:paraId="0237D3EA"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32C96BE6"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743D1502"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665BDAA2"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6CDF6678"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516AFFD4"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10E55A22"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49BF9654"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55F6F566"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7E311E92"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3D6EC30C"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5D3D6E83"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18C5788D" w14:textId="77777777" w:rsidR="004E2CAA" w:rsidRDefault="004E2CAA" w:rsidP="0081094C">
      <w:pPr>
        <w:spacing w:after="200" w:line="276" w:lineRule="auto"/>
        <w:jc w:val="both"/>
        <w:rPr>
          <w:rFonts w:ascii="Times New Roman" w:eastAsia="Calibri" w:hAnsi="Times New Roman" w:cs="Times New Roman"/>
          <w:b/>
          <w:sz w:val="24"/>
          <w:szCs w:val="24"/>
          <w:lang w:val="en-US"/>
        </w:rPr>
      </w:pPr>
    </w:p>
    <w:p w14:paraId="6AAE6E58" w14:textId="77777777" w:rsidR="0081094C" w:rsidRPr="0081094C" w:rsidRDefault="0081094C" w:rsidP="000E2DFD">
      <w:pPr>
        <w:spacing w:after="200" w:line="276" w:lineRule="auto"/>
        <w:jc w:val="center"/>
        <w:rPr>
          <w:rFonts w:ascii="Times New Roman" w:eastAsia="Calibri" w:hAnsi="Times New Roman" w:cs="Times New Roman"/>
          <w:b/>
          <w:sz w:val="24"/>
          <w:szCs w:val="24"/>
          <w:lang w:val="en-US"/>
        </w:rPr>
      </w:pPr>
      <w:r w:rsidRPr="0081094C">
        <w:rPr>
          <w:rFonts w:ascii="Times New Roman" w:eastAsia="Calibri" w:hAnsi="Times New Roman" w:cs="Times New Roman"/>
          <w:b/>
          <w:sz w:val="24"/>
          <w:szCs w:val="24"/>
          <w:lang w:val="en-US"/>
        </w:rPr>
        <w:lastRenderedPageBreak/>
        <w:t>References</w:t>
      </w:r>
    </w:p>
    <w:p w14:paraId="40CC1DDB"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Adebayo, T. M., &amp; Alabi, A. F. (2022). Gendered barriers to the utilization of electronic resources in medical education in Kenya. </w:t>
      </w:r>
      <w:r w:rsidRPr="00066FAF">
        <w:rPr>
          <w:rFonts w:ascii="Times New Roman" w:hAnsi="Times New Roman" w:cs="Times New Roman"/>
          <w:i/>
          <w:iCs/>
        </w:rPr>
        <w:t>International Journal of Medical Libraries,</w:t>
      </w:r>
      <w:r w:rsidRPr="00066FAF">
        <w:rPr>
          <w:rFonts w:ascii="Times New Roman" w:hAnsi="Times New Roman" w:cs="Times New Roman"/>
        </w:rPr>
        <w:t xml:space="preserve"> 20(1), 87-102.</w:t>
      </w:r>
    </w:p>
    <w:p w14:paraId="71A22602"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Adebayo, T. M., Oladipo, K. A., &amp; Aluko, J. O. (2023). Barriers to electronic information resources utilization among medical students in Nigeria: A case study of three universities. </w:t>
      </w:r>
      <w:r w:rsidRPr="00066FAF">
        <w:rPr>
          <w:rFonts w:ascii="Times New Roman" w:hAnsi="Times New Roman" w:cs="Times New Roman"/>
          <w:i/>
          <w:iCs/>
        </w:rPr>
        <w:t>Journal of Medical Information Studies,</w:t>
      </w:r>
      <w:r w:rsidRPr="00066FAF">
        <w:rPr>
          <w:rFonts w:ascii="Times New Roman" w:hAnsi="Times New Roman" w:cs="Times New Roman"/>
        </w:rPr>
        <w:t xml:space="preserve"> 15(2), 121-134.</w:t>
      </w:r>
    </w:p>
    <w:p w14:paraId="7499178E"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Adewale, J. A., Balogun, O. M., &amp; Adeboye, D. T. (2023). Gender differences in digital literacy skills among medical students in Nigerian medical schools. </w:t>
      </w:r>
      <w:r w:rsidRPr="00066FAF">
        <w:rPr>
          <w:rFonts w:ascii="Times New Roman" w:hAnsi="Times New Roman" w:cs="Times New Roman"/>
          <w:i/>
          <w:iCs/>
        </w:rPr>
        <w:t>Journal of Medical Education,</w:t>
      </w:r>
      <w:r w:rsidRPr="00066FAF">
        <w:rPr>
          <w:rFonts w:ascii="Times New Roman" w:hAnsi="Times New Roman" w:cs="Times New Roman"/>
        </w:rPr>
        <w:t xml:space="preserve"> 14(3), 121-134.</w:t>
      </w:r>
    </w:p>
    <w:p w14:paraId="3029941B"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Adeyemi, A. L., &amp; Lawal, O. M. (2023). Information literacy and digital skills among medical students: implications for eir usage. </w:t>
      </w:r>
      <w:r w:rsidRPr="00C66113">
        <w:rPr>
          <w:rFonts w:ascii="Times New Roman" w:hAnsi="Times New Roman" w:cs="Times New Roman"/>
          <w:i/>
          <w:iCs/>
        </w:rPr>
        <w:t>Library and Information Science Journal,</w:t>
      </w:r>
      <w:r w:rsidRPr="00066FAF">
        <w:rPr>
          <w:rFonts w:ascii="Times New Roman" w:hAnsi="Times New Roman" w:cs="Times New Roman"/>
        </w:rPr>
        <w:t xml:space="preserve"> 19(4), 220-236.</w:t>
      </w:r>
    </w:p>
    <w:p w14:paraId="46238A7A"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 xml:space="preserve">Ahmed, H. M. (2015). Gender differences in students’ utilization of electronic information resources’ in Ramat Library, University of Maiduguri, Nigeria, </w:t>
      </w:r>
      <w:r w:rsidRPr="00B12C19">
        <w:rPr>
          <w:rFonts w:ascii="Times New Roman" w:hAnsi="Times New Roman" w:cs="Times New Roman"/>
          <w:i/>
          <w:iCs/>
          <w:sz w:val="24"/>
          <w:szCs w:val="24"/>
        </w:rPr>
        <w:t>Information Impact, 6</w:t>
      </w:r>
      <w:r w:rsidRPr="00B12C19">
        <w:rPr>
          <w:rFonts w:ascii="Times New Roman" w:hAnsi="Times New Roman" w:cs="Times New Roman"/>
          <w:sz w:val="24"/>
          <w:szCs w:val="24"/>
        </w:rPr>
        <w:t>(1), 118-123.</w:t>
      </w:r>
    </w:p>
    <w:p w14:paraId="5C844CC6"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Ajiboye, F. O., Ojo, S. A., &amp; Falade, D. A. (2022). Digital information literacy and utilization of electronic medical resources in African universities. </w:t>
      </w:r>
      <w:r w:rsidRPr="00C66113">
        <w:rPr>
          <w:rFonts w:ascii="Times New Roman" w:hAnsi="Times New Roman" w:cs="Times New Roman"/>
          <w:i/>
          <w:iCs/>
        </w:rPr>
        <w:t>African Journal of Health Information Management</w:t>
      </w:r>
      <w:r w:rsidRPr="00066FAF">
        <w:rPr>
          <w:rFonts w:ascii="Times New Roman" w:hAnsi="Times New Roman" w:cs="Times New Roman"/>
        </w:rPr>
        <w:t>, 18(3), 145-162.</w:t>
      </w:r>
    </w:p>
    <w:p w14:paraId="5A823BB1"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 xml:space="preserve">Akande, S. O. (2013). Gender differences in information retrieval skills and use of electronic resources among information professionals in South-western, Nigeria. </w:t>
      </w:r>
      <w:r w:rsidRPr="00B12C19">
        <w:rPr>
          <w:rFonts w:ascii="Times New Roman" w:hAnsi="Times New Roman" w:cs="Times New Roman"/>
          <w:i/>
          <w:iCs/>
          <w:sz w:val="24"/>
          <w:szCs w:val="24"/>
        </w:rPr>
        <w:t xml:space="preserve">International Journal of Library and Information Science, </w:t>
      </w:r>
      <w:r w:rsidRPr="00B12C19">
        <w:rPr>
          <w:rFonts w:ascii="Times New Roman" w:hAnsi="Times New Roman" w:cs="Times New Roman"/>
          <w:sz w:val="24"/>
          <w:szCs w:val="24"/>
        </w:rPr>
        <w:t>5(7), 208-215. DOI: 10.5897/IJLIS12.044</w:t>
      </w:r>
    </w:p>
    <w:p w14:paraId="5138E77E"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 xml:space="preserve">Amankwah, P. B. (2014). </w:t>
      </w:r>
      <w:r w:rsidRPr="00B12C19">
        <w:rPr>
          <w:rFonts w:ascii="Times New Roman" w:hAnsi="Times New Roman" w:cs="Times New Roman"/>
          <w:i/>
          <w:iCs/>
          <w:sz w:val="24"/>
          <w:szCs w:val="24"/>
        </w:rPr>
        <w:t>Use of electronic resources by undergraduate students of the Ghana Institute of Management and Public Administration (GIMPA).</w:t>
      </w:r>
      <w:r w:rsidRPr="00B12C19">
        <w:rPr>
          <w:rFonts w:ascii="Times New Roman" w:hAnsi="Times New Roman" w:cs="Times New Roman"/>
          <w:sz w:val="24"/>
          <w:szCs w:val="24"/>
        </w:rPr>
        <w:t xml:space="preserve"> An unpublished dissertation submitted to the University of Ghana, Legion in partial fulfilment of the requirement for the award of Masters of Art in Information studies. </w:t>
      </w:r>
    </w:p>
    <w:p w14:paraId="0F159FB9"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Bello, M. O., Akanbi, T. F., &amp; Suleiman, R. A. (2022). Subscription barriers and access to online medical resources: a Nigerian perspective. </w:t>
      </w:r>
      <w:r w:rsidRPr="00C66113">
        <w:rPr>
          <w:rFonts w:ascii="Times New Roman" w:hAnsi="Times New Roman" w:cs="Times New Roman"/>
          <w:i/>
          <w:iCs/>
        </w:rPr>
        <w:t>West African Journal of Library and Information Science,</w:t>
      </w:r>
      <w:r w:rsidRPr="00066FAF">
        <w:rPr>
          <w:rFonts w:ascii="Times New Roman" w:hAnsi="Times New Roman" w:cs="Times New Roman"/>
        </w:rPr>
        <w:t xml:space="preserve"> 12(1), 75-92.</w:t>
      </w:r>
    </w:p>
    <w:p w14:paraId="4B9D329B"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Daramola, C. F. (2013). Gender differences in the use of academic re</w:t>
      </w:r>
      <w:r w:rsidRPr="00B12C19">
        <w:rPr>
          <w:rFonts w:ascii="Times New Roman" w:hAnsi="Times New Roman" w:cs="Times New Roman"/>
          <w:sz w:val="24"/>
          <w:szCs w:val="24"/>
        </w:rPr>
        <w:softHyphen/>
        <w:t xml:space="preserve">sources: The case of FUTA library. </w:t>
      </w:r>
      <w:r w:rsidRPr="00B12C19">
        <w:rPr>
          <w:rFonts w:ascii="Times New Roman" w:hAnsi="Times New Roman" w:cs="Times New Roman"/>
          <w:i/>
          <w:iCs/>
          <w:sz w:val="24"/>
          <w:szCs w:val="24"/>
        </w:rPr>
        <w:t xml:space="preserve">International Journal of Library and Information Science, </w:t>
      </w:r>
      <w:r w:rsidRPr="00B12C19">
        <w:rPr>
          <w:rFonts w:ascii="Times New Roman" w:hAnsi="Times New Roman" w:cs="Times New Roman"/>
          <w:sz w:val="24"/>
          <w:szCs w:val="24"/>
        </w:rPr>
        <w:t>5(8), 256-261.</w:t>
      </w:r>
    </w:p>
    <w:p w14:paraId="68AB3933" w14:textId="77777777" w:rsidR="00044535"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lastRenderedPageBreak/>
        <w:t xml:space="preserve">Eze, P. O., Okoro, C. N., &amp; Olowokere, R. F. (2022). Attitudes toward online learning platforms and EIRS: a gendered perspective. </w:t>
      </w:r>
      <w:r w:rsidRPr="00C66113">
        <w:rPr>
          <w:rFonts w:ascii="Times New Roman" w:hAnsi="Times New Roman" w:cs="Times New Roman"/>
          <w:i/>
          <w:iCs/>
        </w:rPr>
        <w:t>Journal of Education Technology,</w:t>
      </w:r>
      <w:r w:rsidRPr="00066FAF">
        <w:rPr>
          <w:rFonts w:ascii="Times New Roman" w:hAnsi="Times New Roman" w:cs="Times New Roman"/>
        </w:rPr>
        <w:t xml:space="preserve"> 25(3), 78-90.</w:t>
      </w:r>
    </w:p>
    <w:p w14:paraId="0BBE5204"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 xml:space="preserve">Ford, N.; Miller, D. &amp; Moss, N. (2001). The role of individual difference in Internet searching: An empirical study. </w:t>
      </w:r>
      <w:r w:rsidRPr="00B12C19">
        <w:rPr>
          <w:rFonts w:ascii="Times New Roman" w:hAnsi="Times New Roman" w:cs="Times New Roman"/>
          <w:i/>
          <w:iCs/>
          <w:sz w:val="24"/>
          <w:szCs w:val="24"/>
        </w:rPr>
        <w:t>Journal of the American Society for Information Science and Technology</w:t>
      </w:r>
      <w:r w:rsidRPr="00B12C19">
        <w:rPr>
          <w:rFonts w:ascii="Times New Roman" w:hAnsi="Times New Roman" w:cs="Times New Roman"/>
          <w:sz w:val="24"/>
          <w:szCs w:val="24"/>
        </w:rPr>
        <w:t>, 52(12), 1049-1066.</w:t>
      </w:r>
    </w:p>
    <w:p w14:paraId="1F5D19EE"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Ige, A. A., Olamide, O. A., &amp; Ojo, S. F. (2023). Gender differentiation in the utilization of electronic information resources in medical education. </w:t>
      </w:r>
      <w:r w:rsidRPr="00C66113">
        <w:rPr>
          <w:rFonts w:ascii="Times New Roman" w:hAnsi="Times New Roman" w:cs="Times New Roman"/>
          <w:i/>
          <w:iCs/>
        </w:rPr>
        <w:t>Journal of Health Information Science,</w:t>
      </w:r>
      <w:r w:rsidRPr="00066FAF">
        <w:rPr>
          <w:rFonts w:ascii="Times New Roman" w:hAnsi="Times New Roman" w:cs="Times New Roman"/>
        </w:rPr>
        <w:t xml:space="preserve"> 17(2), 82-96.</w:t>
      </w:r>
    </w:p>
    <w:p w14:paraId="51B874F6"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Johnson, P. E., Okonkwo, A. S., &amp; Samuel, T. (2023). Economic challenges and EIR utilization among medical students in </w:t>
      </w:r>
      <w:r>
        <w:rPr>
          <w:rFonts w:ascii="Times New Roman" w:hAnsi="Times New Roman" w:cs="Times New Roman"/>
        </w:rPr>
        <w:t>s</w:t>
      </w:r>
      <w:r w:rsidRPr="00066FAF">
        <w:rPr>
          <w:rFonts w:ascii="Times New Roman" w:hAnsi="Times New Roman" w:cs="Times New Roman"/>
        </w:rPr>
        <w:t xml:space="preserve">ub-Saharan Africa. </w:t>
      </w:r>
      <w:r w:rsidRPr="00C66113">
        <w:rPr>
          <w:rFonts w:ascii="Times New Roman" w:hAnsi="Times New Roman" w:cs="Times New Roman"/>
          <w:i/>
          <w:iCs/>
        </w:rPr>
        <w:t>International Journal of Digital Libraries</w:t>
      </w:r>
      <w:r w:rsidRPr="00066FAF">
        <w:rPr>
          <w:rFonts w:ascii="Times New Roman" w:hAnsi="Times New Roman" w:cs="Times New Roman"/>
        </w:rPr>
        <w:t>, 17(1), 89-104.</w:t>
      </w:r>
    </w:p>
    <w:p w14:paraId="2C6BCF5E" w14:textId="77777777" w:rsidR="00044535" w:rsidRPr="00B12C19" w:rsidRDefault="00044535" w:rsidP="00044535">
      <w:pPr>
        <w:spacing w:line="360" w:lineRule="auto"/>
        <w:ind w:left="567" w:hanging="567"/>
        <w:jc w:val="both"/>
        <w:rPr>
          <w:rStyle w:val="Hyperlink"/>
          <w:rFonts w:ascii="Times New Roman" w:hAnsi="Times New Roman" w:cs="Times New Roman"/>
          <w:sz w:val="24"/>
          <w:szCs w:val="24"/>
        </w:rPr>
      </w:pPr>
      <w:r w:rsidRPr="00B12C19">
        <w:rPr>
          <w:rFonts w:ascii="Times New Roman" w:eastAsia="Calibri" w:hAnsi="Times New Roman" w:cs="Times New Roman"/>
          <w:sz w:val="24"/>
          <w:szCs w:val="24"/>
        </w:rPr>
        <w:t>Nemati-Anaraki, L. &amp; Babalhavaeji,</w:t>
      </w:r>
      <w:r w:rsidRPr="00AC7A49">
        <w:rPr>
          <w:rStyle w:val="Hyperlink"/>
          <w:rFonts w:ascii="Times New Roman" w:hAnsi="Times New Roman" w:cs="Times New Roman"/>
          <w:sz w:val="24"/>
          <w:szCs w:val="24"/>
          <w:u w:val="none"/>
        </w:rPr>
        <w:t xml:space="preserve"> </w:t>
      </w:r>
      <w:r w:rsidRPr="00AC7A49">
        <w:rPr>
          <w:rStyle w:val="Hyperlink"/>
          <w:rFonts w:ascii="Times New Roman" w:hAnsi="Times New Roman" w:cs="Times New Roman"/>
          <w:color w:val="auto"/>
          <w:sz w:val="24"/>
          <w:szCs w:val="24"/>
          <w:u w:val="none"/>
        </w:rPr>
        <w:t xml:space="preserve">F. (2013). Investigating the awareness and ability of medical students in using electronic resources of the integrated digital library portal of Iran. </w:t>
      </w:r>
      <w:r w:rsidRPr="00AC7A49">
        <w:rPr>
          <w:rStyle w:val="Hyperlink"/>
          <w:rFonts w:ascii="Times New Roman" w:hAnsi="Times New Roman" w:cs="Times New Roman"/>
          <w:i/>
          <w:iCs/>
          <w:color w:val="auto"/>
          <w:sz w:val="24"/>
          <w:szCs w:val="24"/>
          <w:u w:val="none"/>
        </w:rPr>
        <w:t>The Electronic Library,</w:t>
      </w:r>
      <w:r w:rsidRPr="00AC7A49">
        <w:rPr>
          <w:rStyle w:val="Hyperlink"/>
          <w:rFonts w:ascii="Times New Roman" w:hAnsi="Times New Roman" w:cs="Times New Roman"/>
          <w:color w:val="auto"/>
          <w:sz w:val="24"/>
          <w:szCs w:val="24"/>
          <w:u w:val="none"/>
        </w:rPr>
        <w:t xml:space="preserve"> 31(1), 70–83. </w:t>
      </w:r>
      <w:hyperlink r:id="rId7" w:history="1">
        <w:r w:rsidRPr="00AC7A49">
          <w:rPr>
            <w:rStyle w:val="Hyperlink"/>
            <w:rFonts w:ascii="Times New Roman" w:hAnsi="Times New Roman" w:cs="Times New Roman"/>
            <w:color w:val="auto"/>
            <w:sz w:val="24"/>
            <w:szCs w:val="24"/>
            <w:u w:val="none"/>
          </w:rPr>
          <w:t>http://dx.doi.org/10.1108/02640471311299146</w:t>
        </w:r>
      </w:hyperlink>
      <w:r w:rsidRPr="00AC7A49">
        <w:rPr>
          <w:rStyle w:val="Hyperlink"/>
          <w:rFonts w:ascii="Times New Roman" w:hAnsi="Times New Roman" w:cs="Times New Roman"/>
          <w:color w:val="auto"/>
          <w:sz w:val="24"/>
          <w:szCs w:val="24"/>
          <w:u w:val="none"/>
        </w:rPr>
        <w:t>.</w:t>
      </w:r>
    </w:p>
    <w:p w14:paraId="3EFF265C"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Nwachukwu, E. C., Okeke, A. F., &amp; Williams, A. S. (2022). The role of institutional support in bridging gender gaps in EIR utilization among medical students. </w:t>
      </w:r>
      <w:r w:rsidRPr="00C66113">
        <w:rPr>
          <w:rFonts w:ascii="Times New Roman" w:hAnsi="Times New Roman" w:cs="Times New Roman"/>
          <w:i/>
          <w:iCs/>
        </w:rPr>
        <w:t>Library &amp; Information Science Research,</w:t>
      </w:r>
      <w:r w:rsidRPr="00066FAF">
        <w:rPr>
          <w:rFonts w:ascii="Times New Roman" w:hAnsi="Times New Roman" w:cs="Times New Roman"/>
        </w:rPr>
        <w:t xml:space="preserve"> 21(2), 201-215.</w:t>
      </w:r>
    </w:p>
    <w:p w14:paraId="5D6F6FC3" w14:textId="77777777" w:rsidR="00044535" w:rsidRPr="00066FAF" w:rsidRDefault="00044535" w:rsidP="00044535">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Omojola, O. A., Akindele, D. S., &amp; Akinlabi, F. O. (2023). Perceptions of gender and EIR utilization in nigerian medical schools: </w:t>
      </w:r>
      <w:r>
        <w:rPr>
          <w:rFonts w:ascii="Times New Roman" w:hAnsi="Times New Roman" w:cs="Times New Roman"/>
        </w:rPr>
        <w:t>a</w:t>
      </w:r>
      <w:r w:rsidRPr="00066FAF">
        <w:rPr>
          <w:rFonts w:ascii="Times New Roman" w:hAnsi="Times New Roman" w:cs="Times New Roman"/>
        </w:rPr>
        <w:t xml:space="preserve"> comparative study. </w:t>
      </w:r>
      <w:r w:rsidRPr="00C66113">
        <w:rPr>
          <w:rFonts w:ascii="Times New Roman" w:hAnsi="Times New Roman" w:cs="Times New Roman"/>
          <w:i/>
          <w:iCs/>
        </w:rPr>
        <w:t>International Journal of Digital Education,</w:t>
      </w:r>
      <w:r w:rsidRPr="00066FAF">
        <w:rPr>
          <w:rFonts w:ascii="Times New Roman" w:hAnsi="Times New Roman" w:cs="Times New Roman"/>
        </w:rPr>
        <w:t xml:space="preserve"> 13(3), 167-178.</w:t>
      </w:r>
    </w:p>
    <w:p w14:paraId="171F6B9A"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 xml:space="preserve">Steinerova, J. &amp; Susol, J. (2007). Users information behaviour- a gender perspective. </w:t>
      </w:r>
      <w:r w:rsidRPr="00B12C19">
        <w:rPr>
          <w:rFonts w:ascii="Times New Roman" w:hAnsi="Times New Roman" w:cs="Times New Roman"/>
          <w:i/>
          <w:iCs/>
          <w:sz w:val="24"/>
          <w:szCs w:val="24"/>
        </w:rPr>
        <w:t xml:space="preserve">Information Research, </w:t>
      </w:r>
      <w:r w:rsidRPr="00B12C19">
        <w:rPr>
          <w:rFonts w:ascii="Times New Roman" w:hAnsi="Times New Roman" w:cs="Times New Roman"/>
          <w:sz w:val="24"/>
          <w:szCs w:val="24"/>
        </w:rPr>
        <w:t xml:space="preserve">12(13). Available at </w:t>
      </w:r>
      <w:hyperlink r:id="rId8" w:history="1">
        <w:r w:rsidRPr="00B12C19">
          <w:rPr>
            <w:rStyle w:val="Hyperlink"/>
            <w:rFonts w:ascii="Times New Roman" w:hAnsi="Times New Roman" w:cs="Times New Roman"/>
            <w:sz w:val="24"/>
            <w:szCs w:val="24"/>
          </w:rPr>
          <w:t>http://www.information.net/ir/12-13/paper.320.html</w:t>
        </w:r>
      </w:hyperlink>
      <w:r w:rsidRPr="00B12C19">
        <w:rPr>
          <w:rFonts w:ascii="Times New Roman" w:hAnsi="Times New Roman" w:cs="Times New Roman"/>
          <w:sz w:val="24"/>
          <w:szCs w:val="24"/>
        </w:rPr>
        <w:t>.</w:t>
      </w:r>
    </w:p>
    <w:p w14:paraId="2B6FABAB" w14:textId="77777777" w:rsidR="00044535" w:rsidRDefault="00044535" w:rsidP="00044535">
      <w:pPr>
        <w:spacing w:line="360" w:lineRule="auto"/>
        <w:ind w:left="567" w:hanging="567"/>
        <w:jc w:val="both"/>
        <w:rPr>
          <w:rFonts w:ascii="Times New Roman" w:hAnsi="Times New Roman" w:cs="Times New Roman"/>
        </w:rPr>
      </w:pPr>
      <w:r w:rsidRPr="00B12C19">
        <w:rPr>
          <w:rFonts w:ascii="Times New Roman" w:hAnsi="Times New Roman" w:cs="Times New Roman"/>
          <w:sz w:val="24"/>
          <w:szCs w:val="24"/>
        </w:rPr>
        <w:t xml:space="preserve">Tella, A. &amp; Mutala, S.M. (2008). Differences in computer literacy among undergraduate students at the University of Botswana: Implication for library use. </w:t>
      </w:r>
      <w:r w:rsidRPr="00B12C19">
        <w:rPr>
          <w:rFonts w:ascii="Times New Roman" w:hAnsi="Times New Roman" w:cs="Times New Roman"/>
          <w:i/>
          <w:iCs/>
          <w:sz w:val="24"/>
          <w:szCs w:val="24"/>
        </w:rPr>
        <w:t xml:space="preserve">Malaysian Journal of Library and Information Science, </w:t>
      </w:r>
      <w:r w:rsidRPr="00B12C19">
        <w:rPr>
          <w:rFonts w:ascii="Times New Roman" w:hAnsi="Times New Roman" w:cs="Times New Roman"/>
          <w:sz w:val="24"/>
          <w:szCs w:val="24"/>
        </w:rPr>
        <w:t>13(3).</w:t>
      </w:r>
    </w:p>
    <w:p w14:paraId="761985DA" w14:textId="77777777" w:rsidR="00044535" w:rsidRPr="00B12C19" w:rsidRDefault="00044535" w:rsidP="00044535">
      <w:pPr>
        <w:spacing w:line="360" w:lineRule="auto"/>
        <w:ind w:left="450" w:hanging="450"/>
        <w:jc w:val="both"/>
        <w:rPr>
          <w:rFonts w:ascii="Times New Roman" w:hAnsi="Times New Roman" w:cs="Times New Roman"/>
          <w:sz w:val="24"/>
          <w:szCs w:val="24"/>
        </w:rPr>
      </w:pPr>
      <w:r w:rsidRPr="00B12C19">
        <w:rPr>
          <w:rFonts w:ascii="Times New Roman" w:hAnsi="Times New Roman" w:cs="Times New Roman"/>
          <w:sz w:val="24"/>
          <w:szCs w:val="24"/>
        </w:rPr>
        <w:t xml:space="preserve">Yebowaah, F. A. &amp; Plockey, F. D. D. (2017). Awareness and use of electronic resources in university libraries: A case study of University for Development Studies Library. </w:t>
      </w:r>
      <w:r w:rsidRPr="00B12C19">
        <w:rPr>
          <w:rFonts w:ascii="Times New Roman" w:hAnsi="Times New Roman" w:cs="Times New Roman"/>
          <w:i/>
          <w:iCs/>
          <w:sz w:val="24"/>
          <w:szCs w:val="24"/>
        </w:rPr>
        <w:t>Library Philosophy and Practice (e-journal)</w:t>
      </w:r>
      <w:r w:rsidRPr="00B12C19">
        <w:rPr>
          <w:rFonts w:ascii="Times New Roman" w:hAnsi="Times New Roman" w:cs="Times New Roman"/>
          <w:sz w:val="24"/>
          <w:szCs w:val="24"/>
        </w:rPr>
        <w:t xml:space="preserve">. 1562. </w:t>
      </w:r>
      <w:hyperlink r:id="rId9" w:history="1">
        <w:r w:rsidRPr="00B12C19">
          <w:rPr>
            <w:rStyle w:val="Hyperlink"/>
            <w:rFonts w:ascii="Times New Roman" w:hAnsi="Times New Roman" w:cs="Times New Roman"/>
            <w:sz w:val="24"/>
            <w:szCs w:val="24"/>
          </w:rPr>
          <w:t>http://digitalcommons.unl.edu/libphilprac/1562</w:t>
        </w:r>
      </w:hyperlink>
    </w:p>
    <w:p w14:paraId="4C30E804" w14:textId="77777777" w:rsidR="0081094C" w:rsidRPr="00D04E8D" w:rsidRDefault="00044535" w:rsidP="00D04E8D">
      <w:pPr>
        <w:spacing w:line="360" w:lineRule="auto"/>
        <w:ind w:left="567" w:hanging="567"/>
        <w:jc w:val="both"/>
        <w:rPr>
          <w:rFonts w:ascii="Times New Roman" w:hAnsi="Times New Roman" w:cs="Times New Roman"/>
        </w:rPr>
      </w:pPr>
      <w:r w:rsidRPr="00066FAF">
        <w:rPr>
          <w:rFonts w:ascii="Times New Roman" w:hAnsi="Times New Roman" w:cs="Times New Roman"/>
        </w:rPr>
        <w:t xml:space="preserve">Yusuf, A. O., &amp; Adepoju, L. R. (2022). Financial constraints as a barrier to EIR utilization among medical students in Nigeria. </w:t>
      </w:r>
      <w:r w:rsidRPr="00C66113">
        <w:rPr>
          <w:rFonts w:ascii="Times New Roman" w:hAnsi="Times New Roman" w:cs="Times New Roman"/>
          <w:i/>
          <w:iCs/>
        </w:rPr>
        <w:t>Journal of Health and Library Studies</w:t>
      </w:r>
      <w:r w:rsidRPr="00066FAF">
        <w:rPr>
          <w:rFonts w:ascii="Times New Roman" w:hAnsi="Times New Roman" w:cs="Times New Roman"/>
        </w:rPr>
        <w:t>, 13(4), 198-214.</w:t>
      </w:r>
    </w:p>
    <w:sectPr w:rsidR="0081094C" w:rsidRPr="00D04E8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CC34" w14:textId="77777777" w:rsidR="00286138" w:rsidRDefault="00286138" w:rsidP="00A1291F">
      <w:pPr>
        <w:spacing w:after="0" w:line="240" w:lineRule="auto"/>
      </w:pPr>
      <w:r>
        <w:separator/>
      </w:r>
    </w:p>
  </w:endnote>
  <w:endnote w:type="continuationSeparator" w:id="0">
    <w:p w14:paraId="3E30B485" w14:textId="77777777" w:rsidR="00286138" w:rsidRDefault="00286138" w:rsidP="00A12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346370"/>
      <w:docPartObj>
        <w:docPartGallery w:val="Page Numbers (Bottom of Page)"/>
        <w:docPartUnique/>
      </w:docPartObj>
    </w:sdtPr>
    <w:sdtEndPr>
      <w:rPr>
        <w:noProof/>
      </w:rPr>
    </w:sdtEndPr>
    <w:sdtContent>
      <w:p w14:paraId="2A42B9AC" w14:textId="77777777" w:rsidR="00A1291F" w:rsidRDefault="00A129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D9C2D1" w14:textId="77777777" w:rsidR="00A1291F" w:rsidRDefault="00A129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9FC56" w14:textId="77777777" w:rsidR="00286138" w:rsidRDefault="00286138" w:rsidP="00A1291F">
      <w:pPr>
        <w:spacing w:after="0" w:line="240" w:lineRule="auto"/>
      </w:pPr>
      <w:r>
        <w:separator/>
      </w:r>
    </w:p>
  </w:footnote>
  <w:footnote w:type="continuationSeparator" w:id="0">
    <w:p w14:paraId="18CEC0C2" w14:textId="77777777" w:rsidR="00286138" w:rsidRDefault="00286138" w:rsidP="00A12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2F3C"/>
    <w:multiLevelType w:val="multilevel"/>
    <w:tmpl w:val="1652C33A"/>
    <w:lvl w:ilvl="0">
      <w:start w:val="1"/>
      <w:numFmt w:val="decimal"/>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6F767F9"/>
    <w:multiLevelType w:val="hybridMultilevel"/>
    <w:tmpl w:val="FEF00010"/>
    <w:lvl w:ilvl="0" w:tplc="0E563AE0">
      <w:start w:val="1"/>
      <w:numFmt w:val="decimal"/>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333FB7"/>
    <w:multiLevelType w:val="hybridMultilevel"/>
    <w:tmpl w:val="0EB4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BE52DB"/>
    <w:multiLevelType w:val="hybridMultilevel"/>
    <w:tmpl w:val="E6527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F48F4"/>
    <w:multiLevelType w:val="hybridMultilevel"/>
    <w:tmpl w:val="0128CBE6"/>
    <w:lvl w:ilvl="0" w:tplc="0E563AE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941607">
    <w:abstractNumId w:val="3"/>
  </w:num>
  <w:num w:numId="2" w16cid:durableId="2133093323">
    <w:abstractNumId w:val="1"/>
  </w:num>
  <w:num w:numId="3" w16cid:durableId="878054146">
    <w:abstractNumId w:val="0"/>
  </w:num>
  <w:num w:numId="4" w16cid:durableId="2125466198">
    <w:abstractNumId w:val="2"/>
  </w:num>
  <w:num w:numId="5" w16cid:durableId="12624500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21"/>
    <w:rsid w:val="00004A4E"/>
    <w:rsid w:val="00044535"/>
    <w:rsid w:val="00044601"/>
    <w:rsid w:val="000B7DF1"/>
    <w:rsid w:val="000C269B"/>
    <w:rsid w:val="000D4457"/>
    <w:rsid w:val="000E2DFD"/>
    <w:rsid w:val="000E6CBD"/>
    <w:rsid w:val="001017D5"/>
    <w:rsid w:val="00121CC2"/>
    <w:rsid w:val="001423CD"/>
    <w:rsid w:val="00155A7C"/>
    <w:rsid w:val="00170B21"/>
    <w:rsid w:val="001B75C5"/>
    <w:rsid w:val="00207725"/>
    <w:rsid w:val="002163A3"/>
    <w:rsid w:val="002349DE"/>
    <w:rsid w:val="002575D3"/>
    <w:rsid w:val="0027271E"/>
    <w:rsid w:val="00281DE0"/>
    <w:rsid w:val="00286138"/>
    <w:rsid w:val="00294E11"/>
    <w:rsid w:val="002A15B3"/>
    <w:rsid w:val="002A2EBD"/>
    <w:rsid w:val="002C0F58"/>
    <w:rsid w:val="002C20AC"/>
    <w:rsid w:val="002D419A"/>
    <w:rsid w:val="002E162D"/>
    <w:rsid w:val="002E1CF4"/>
    <w:rsid w:val="00301F60"/>
    <w:rsid w:val="00315144"/>
    <w:rsid w:val="00332EE7"/>
    <w:rsid w:val="003530C2"/>
    <w:rsid w:val="00385F68"/>
    <w:rsid w:val="003A148A"/>
    <w:rsid w:val="003C0214"/>
    <w:rsid w:val="003D05CE"/>
    <w:rsid w:val="003F0509"/>
    <w:rsid w:val="0041706F"/>
    <w:rsid w:val="00417B22"/>
    <w:rsid w:val="00427C3F"/>
    <w:rsid w:val="00456322"/>
    <w:rsid w:val="00460BB8"/>
    <w:rsid w:val="004B778C"/>
    <w:rsid w:val="004E2CAA"/>
    <w:rsid w:val="004F3D3F"/>
    <w:rsid w:val="004F4646"/>
    <w:rsid w:val="005008D5"/>
    <w:rsid w:val="00513C01"/>
    <w:rsid w:val="005141A9"/>
    <w:rsid w:val="00517AB4"/>
    <w:rsid w:val="00547CFE"/>
    <w:rsid w:val="00550242"/>
    <w:rsid w:val="00571323"/>
    <w:rsid w:val="0057144F"/>
    <w:rsid w:val="00586934"/>
    <w:rsid w:val="00595CD8"/>
    <w:rsid w:val="005E18B4"/>
    <w:rsid w:val="006333B1"/>
    <w:rsid w:val="006603D2"/>
    <w:rsid w:val="00691EAB"/>
    <w:rsid w:val="00694C3F"/>
    <w:rsid w:val="00696108"/>
    <w:rsid w:val="006A4FDE"/>
    <w:rsid w:val="006C1C82"/>
    <w:rsid w:val="006F0124"/>
    <w:rsid w:val="00706DBC"/>
    <w:rsid w:val="0070798C"/>
    <w:rsid w:val="00715FCB"/>
    <w:rsid w:val="007254BF"/>
    <w:rsid w:val="00743040"/>
    <w:rsid w:val="0075114A"/>
    <w:rsid w:val="00770A31"/>
    <w:rsid w:val="00797FE1"/>
    <w:rsid w:val="007D4C89"/>
    <w:rsid w:val="007E1463"/>
    <w:rsid w:val="0080751E"/>
    <w:rsid w:val="0081094C"/>
    <w:rsid w:val="00826D7B"/>
    <w:rsid w:val="0083034A"/>
    <w:rsid w:val="008378E1"/>
    <w:rsid w:val="00884A21"/>
    <w:rsid w:val="0088789D"/>
    <w:rsid w:val="00911DEA"/>
    <w:rsid w:val="00922E08"/>
    <w:rsid w:val="00951E0D"/>
    <w:rsid w:val="0098399A"/>
    <w:rsid w:val="009954C1"/>
    <w:rsid w:val="009A50F7"/>
    <w:rsid w:val="009D6012"/>
    <w:rsid w:val="009D65D1"/>
    <w:rsid w:val="009E0300"/>
    <w:rsid w:val="00A1291F"/>
    <w:rsid w:val="00A36BB3"/>
    <w:rsid w:val="00A64E3F"/>
    <w:rsid w:val="00A73179"/>
    <w:rsid w:val="00A80B51"/>
    <w:rsid w:val="00A828F2"/>
    <w:rsid w:val="00AC7A49"/>
    <w:rsid w:val="00AD3C80"/>
    <w:rsid w:val="00AD3F32"/>
    <w:rsid w:val="00AF4C22"/>
    <w:rsid w:val="00B02840"/>
    <w:rsid w:val="00B17644"/>
    <w:rsid w:val="00B6604F"/>
    <w:rsid w:val="00B77E28"/>
    <w:rsid w:val="00BA6DCF"/>
    <w:rsid w:val="00BA71AC"/>
    <w:rsid w:val="00C0506D"/>
    <w:rsid w:val="00C15453"/>
    <w:rsid w:val="00C226F6"/>
    <w:rsid w:val="00C619CA"/>
    <w:rsid w:val="00CD108E"/>
    <w:rsid w:val="00CF1995"/>
    <w:rsid w:val="00CF7261"/>
    <w:rsid w:val="00D04E8D"/>
    <w:rsid w:val="00D35E8E"/>
    <w:rsid w:val="00D35F98"/>
    <w:rsid w:val="00D6609B"/>
    <w:rsid w:val="00D673BD"/>
    <w:rsid w:val="00DD2895"/>
    <w:rsid w:val="00E416AA"/>
    <w:rsid w:val="00E871B8"/>
    <w:rsid w:val="00E95D3A"/>
    <w:rsid w:val="00EA15A2"/>
    <w:rsid w:val="00EA246E"/>
    <w:rsid w:val="00EB1462"/>
    <w:rsid w:val="00ED424A"/>
    <w:rsid w:val="00F32027"/>
    <w:rsid w:val="00F5357C"/>
    <w:rsid w:val="00FA7C65"/>
    <w:rsid w:val="00FC40A8"/>
    <w:rsid w:val="00FF2606"/>
    <w:rsid w:val="00FF5FBD"/>
    <w:rsid w:val="00FF71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83CAA"/>
  <w15:chartTrackingRefBased/>
  <w15:docId w15:val="{E772F765-50AF-44DF-B148-321C47D30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F58"/>
    <w:rPr>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8399A"/>
    <w:pPr>
      <w:ind w:left="720"/>
      <w:contextualSpacing/>
    </w:pPr>
  </w:style>
  <w:style w:type="character" w:customStyle="1" w:styleId="ListParagraphChar">
    <w:name w:val="List Paragraph Char"/>
    <w:link w:val="ListParagraph"/>
    <w:uiPriority w:val="34"/>
    <w:qFormat/>
    <w:rsid w:val="008378E1"/>
    <w:rPr>
      <w:kern w:val="0"/>
      <w:lang w:val="en-GB"/>
      <w14:ligatures w14:val="none"/>
    </w:rPr>
  </w:style>
  <w:style w:type="table" w:customStyle="1" w:styleId="TableGrid3">
    <w:name w:val="Table Grid3"/>
    <w:basedOn w:val="TableNormal"/>
    <w:next w:val="TableGrid"/>
    <w:uiPriority w:val="39"/>
    <w:rsid w:val="00427C3F"/>
    <w:pPr>
      <w:spacing w:after="0" w:line="240" w:lineRule="auto"/>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27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4535"/>
    <w:rPr>
      <w:color w:val="0563C1" w:themeColor="hyperlink"/>
      <w:u w:val="single"/>
    </w:rPr>
  </w:style>
  <w:style w:type="paragraph" w:styleId="Header">
    <w:name w:val="header"/>
    <w:basedOn w:val="Normal"/>
    <w:link w:val="HeaderChar"/>
    <w:uiPriority w:val="99"/>
    <w:unhideWhenUsed/>
    <w:rsid w:val="00A129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91F"/>
    <w:rPr>
      <w:kern w:val="0"/>
      <w:lang w:val="en-GB"/>
      <w14:ligatures w14:val="none"/>
    </w:rPr>
  </w:style>
  <w:style w:type="paragraph" w:styleId="Footer">
    <w:name w:val="footer"/>
    <w:basedOn w:val="Normal"/>
    <w:link w:val="FooterChar"/>
    <w:uiPriority w:val="99"/>
    <w:unhideWhenUsed/>
    <w:rsid w:val="00A129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91F"/>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119523">
      <w:bodyDiv w:val="1"/>
      <w:marLeft w:val="0"/>
      <w:marRight w:val="0"/>
      <w:marTop w:val="0"/>
      <w:marBottom w:val="0"/>
      <w:divBdr>
        <w:top w:val="none" w:sz="0" w:space="0" w:color="auto"/>
        <w:left w:val="none" w:sz="0" w:space="0" w:color="auto"/>
        <w:bottom w:val="none" w:sz="0" w:space="0" w:color="auto"/>
        <w:right w:val="none" w:sz="0" w:space="0" w:color="auto"/>
      </w:divBdr>
    </w:div>
    <w:div w:id="248276829">
      <w:bodyDiv w:val="1"/>
      <w:marLeft w:val="0"/>
      <w:marRight w:val="0"/>
      <w:marTop w:val="0"/>
      <w:marBottom w:val="0"/>
      <w:divBdr>
        <w:top w:val="none" w:sz="0" w:space="0" w:color="auto"/>
        <w:left w:val="none" w:sz="0" w:space="0" w:color="auto"/>
        <w:bottom w:val="none" w:sz="0" w:space="0" w:color="auto"/>
        <w:right w:val="none" w:sz="0" w:space="0" w:color="auto"/>
      </w:divBdr>
    </w:div>
    <w:div w:id="531380328">
      <w:bodyDiv w:val="1"/>
      <w:marLeft w:val="0"/>
      <w:marRight w:val="0"/>
      <w:marTop w:val="0"/>
      <w:marBottom w:val="0"/>
      <w:divBdr>
        <w:top w:val="none" w:sz="0" w:space="0" w:color="auto"/>
        <w:left w:val="none" w:sz="0" w:space="0" w:color="auto"/>
        <w:bottom w:val="none" w:sz="0" w:space="0" w:color="auto"/>
        <w:right w:val="none" w:sz="0" w:space="0" w:color="auto"/>
      </w:divBdr>
    </w:div>
    <w:div w:id="566648945">
      <w:bodyDiv w:val="1"/>
      <w:marLeft w:val="0"/>
      <w:marRight w:val="0"/>
      <w:marTop w:val="0"/>
      <w:marBottom w:val="0"/>
      <w:divBdr>
        <w:top w:val="none" w:sz="0" w:space="0" w:color="auto"/>
        <w:left w:val="none" w:sz="0" w:space="0" w:color="auto"/>
        <w:bottom w:val="none" w:sz="0" w:space="0" w:color="auto"/>
        <w:right w:val="none" w:sz="0" w:space="0" w:color="auto"/>
      </w:divBdr>
    </w:div>
    <w:div w:id="1650742357">
      <w:bodyDiv w:val="1"/>
      <w:marLeft w:val="0"/>
      <w:marRight w:val="0"/>
      <w:marTop w:val="0"/>
      <w:marBottom w:val="0"/>
      <w:divBdr>
        <w:top w:val="none" w:sz="0" w:space="0" w:color="auto"/>
        <w:left w:val="none" w:sz="0" w:space="0" w:color="auto"/>
        <w:bottom w:val="none" w:sz="0" w:space="0" w:color="auto"/>
        <w:right w:val="none" w:sz="0" w:space="0" w:color="auto"/>
      </w:divBdr>
    </w:div>
    <w:div w:id="1969819137">
      <w:bodyDiv w:val="1"/>
      <w:marLeft w:val="0"/>
      <w:marRight w:val="0"/>
      <w:marTop w:val="0"/>
      <w:marBottom w:val="0"/>
      <w:divBdr>
        <w:top w:val="none" w:sz="0" w:space="0" w:color="auto"/>
        <w:left w:val="none" w:sz="0" w:space="0" w:color="auto"/>
        <w:bottom w:val="none" w:sz="0" w:space="0" w:color="auto"/>
        <w:right w:val="none" w:sz="0" w:space="0" w:color="auto"/>
      </w:divBdr>
    </w:div>
    <w:div w:id="2000377177">
      <w:bodyDiv w:val="1"/>
      <w:marLeft w:val="0"/>
      <w:marRight w:val="0"/>
      <w:marTop w:val="0"/>
      <w:marBottom w:val="0"/>
      <w:divBdr>
        <w:top w:val="none" w:sz="0" w:space="0" w:color="auto"/>
        <w:left w:val="none" w:sz="0" w:space="0" w:color="auto"/>
        <w:bottom w:val="none" w:sz="0" w:space="0" w:color="auto"/>
        <w:right w:val="none" w:sz="0" w:space="0" w:color="auto"/>
      </w:divBdr>
    </w:div>
    <w:div w:id="201499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rmation.net/ir/12-13/paper.320.html" TargetMode="External"/><Relationship Id="rId3" Type="http://schemas.openxmlformats.org/officeDocument/2006/relationships/settings" Target="settings.xml"/><Relationship Id="rId7" Type="http://schemas.openxmlformats.org/officeDocument/2006/relationships/hyperlink" Target="http://dx.doi.org/10.1108/0264047131129914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igitalcommons.unl.edu/libphilprac/15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9459</Words>
  <Characters>55806</Characters>
  <Application>Microsoft Office Word</Application>
  <DocSecurity>4</DocSecurity>
  <Lines>465</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Oladeji Olawunmi</cp:lastModifiedBy>
  <cp:revision>2</cp:revision>
  <dcterms:created xsi:type="dcterms:W3CDTF">2025-08-21T10:02:00Z</dcterms:created>
  <dcterms:modified xsi:type="dcterms:W3CDTF">2025-08-21T10:02:00Z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23854c74-eb06-4519-a78b-4b1e6890864f</vt:lpwstr>
  </property>
</Properties>
</file>