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86" w:rsidRPr="00097492" w:rsidRDefault="00A2109F" w:rsidP="009B24C9">
      <w:pPr>
        <w:jc w:val="center"/>
        <w:rPr>
          <w:rFonts w:ascii="Times New Roman" w:hAnsi="Times New Roman"/>
          <w:b/>
          <w:sz w:val="24"/>
          <w:szCs w:val="24"/>
        </w:rPr>
      </w:pPr>
      <w:r w:rsidRPr="00097492">
        <w:rPr>
          <w:rFonts w:ascii="Times New Roman" w:hAnsi="Times New Roman"/>
          <w:b/>
          <w:sz w:val="24"/>
          <w:szCs w:val="24"/>
        </w:rPr>
        <w:t>T</w:t>
      </w:r>
      <w:r w:rsidR="002D0230" w:rsidRPr="00097492">
        <w:rPr>
          <w:rFonts w:ascii="Times New Roman" w:hAnsi="Times New Roman"/>
          <w:b/>
          <w:sz w:val="24"/>
          <w:szCs w:val="24"/>
        </w:rPr>
        <w:t>he effect of Inclusive Technological Infrastructure on Library Patronage in University Libraries in Southeast Nigeria</w:t>
      </w:r>
    </w:p>
    <w:p w:rsidR="009B24C9" w:rsidRPr="00097492" w:rsidRDefault="009B24C9" w:rsidP="006B7516">
      <w:pPr>
        <w:spacing w:line="240" w:lineRule="auto"/>
        <w:jc w:val="center"/>
        <w:rPr>
          <w:rFonts w:ascii="Times New Roman" w:hAnsi="Times New Roman"/>
          <w:sz w:val="24"/>
          <w:szCs w:val="24"/>
        </w:rPr>
      </w:pPr>
      <w:r w:rsidRPr="00097492">
        <w:rPr>
          <w:rFonts w:ascii="Times New Roman" w:hAnsi="Times New Roman"/>
          <w:sz w:val="24"/>
          <w:szCs w:val="24"/>
        </w:rPr>
        <w:t>Ugwonna, Martina Ifeoma</w:t>
      </w:r>
    </w:p>
    <w:p w:rsidR="009B24C9" w:rsidRPr="00097492" w:rsidRDefault="009B24C9" w:rsidP="006B7516">
      <w:pPr>
        <w:spacing w:line="240" w:lineRule="auto"/>
        <w:jc w:val="center"/>
        <w:rPr>
          <w:rFonts w:ascii="Times New Roman" w:hAnsi="Times New Roman"/>
          <w:sz w:val="24"/>
          <w:szCs w:val="24"/>
        </w:rPr>
      </w:pPr>
      <w:r w:rsidRPr="00097492">
        <w:rPr>
          <w:rFonts w:ascii="Times New Roman" w:hAnsi="Times New Roman"/>
          <w:sz w:val="24"/>
          <w:szCs w:val="24"/>
        </w:rPr>
        <w:t>i</w:t>
      </w:r>
      <w:hyperlink r:id="rId7" w:history="1">
        <w:r w:rsidRPr="00097492">
          <w:rPr>
            <w:rStyle w:val="Hyperlink"/>
            <w:rFonts w:ascii="Times New Roman" w:hAnsi="Times New Roman"/>
            <w:sz w:val="24"/>
            <w:szCs w:val="24"/>
          </w:rPr>
          <w:t>feoma.ogiri@unn.edu.ng</w:t>
        </w:r>
      </w:hyperlink>
    </w:p>
    <w:p w:rsidR="009B24C9" w:rsidRPr="00097492" w:rsidRDefault="009B24C9" w:rsidP="006B7516">
      <w:pPr>
        <w:spacing w:line="240" w:lineRule="auto"/>
        <w:jc w:val="center"/>
        <w:rPr>
          <w:rFonts w:ascii="Times New Roman" w:hAnsi="Times New Roman"/>
          <w:sz w:val="24"/>
          <w:szCs w:val="24"/>
        </w:rPr>
      </w:pPr>
      <w:r w:rsidRPr="00097492">
        <w:rPr>
          <w:rFonts w:ascii="Times New Roman" w:hAnsi="Times New Roman"/>
          <w:sz w:val="24"/>
          <w:szCs w:val="24"/>
        </w:rPr>
        <w:t>Nnamdi Azikiwe Library,</w:t>
      </w:r>
    </w:p>
    <w:p w:rsidR="004B7BD9" w:rsidRPr="00097492" w:rsidRDefault="009B24C9" w:rsidP="004B7BD9">
      <w:pPr>
        <w:spacing w:line="240" w:lineRule="auto"/>
        <w:jc w:val="center"/>
        <w:rPr>
          <w:rFonts w:ascii="Times New Roman" w:hAnsi="Times New Roman"/>
          <w:sz w:val="24"/>
          <w:szCs w:val="24"/>
        </w:rPr>
      </w:pPr>
      <w:r w:rsidRPr="00097492">
        <w:rPr>
          <w:rFonts w:ascii="Times New Roman" w:hAnsi="Times New Roman"/>
          <w:sz w:val="24"/>
          <w:szCs w:val="24"/>
        </w:rPr>
        <w:t xml:space="preserve">University of Nigeria, Nsukka. </w:t>
      </w:r>
    </w:p>
    <w:p w:rsidR="00BB4FF9" w:rsidRPr="00097492" w:rsidRDefault="00BB4FF9" w:rsidP="00950369">
      <w:pPr>
        <w:jc w:val="both"/>
        <w:rPr>
          <w:rFonts w:ascii="Times New Roman" w:hAnsi="Times New Roman"/>
          <w:b/>
          <w:sz w:val="24"/>
          <w:szCs w:val="24"/>
        </w:rPr>
      </w:pPr>
    </w:p>
    <w:p w:rsidR="00A2109F" w:rsidRPr="00097492" w:rsidRDefault="00A2109F" w:rsidP="00950369">
      <w:pPr>
        <w:jc w:val="both"/>
        <w:rPr>
          <w:rFonts w:ascii="Times New Roman" w:hAnsi="Times New Roman"/>
          <w:b/>
          <w:sz w:val="24"/>
          <w:szCs w:val="24"/>
        </w:rPr>
      </w:pPr>
      <w:r w:rsidRPr="00097492">
        <w:rPr>
          <w:rFonts w:ascii="Times New Roman" w:hAnsi="Times New Roman"/>
          <w:b/>
          <w:sz w:val="24"/>
          <w:szCs w:val="24"/>
        </w:rPr>
        <w:t>Abstract</w:t>
      </w:r>
    </w:p>
    <w:p w:rsidR="001048F7" w:rsidRPr="00097492" w:rsidRDefault="00043C12" w:rsidP="00950369">
      <w:pPr>
        <w:pStyle w:val="NormalWeb"/>
        <w:jc w:val="both"/>
        <w:rPr>
          <w:i/>
        </w:rPr>
      </w:pPr>
      <w:r w:rsidRPr="00097492">
        <w:rPr>
          <w:i/>
        </w:rPr>
        <w:t>This study empirically examined</w:t>
      </w:r>
      <w:r w:rsidR="001048F7" w:rsidRPr="00097492">
        <w:rPr>
          <w:i/>
        </w:rPr>
        <w:t xml:space="preserve"> the influence of </w:t>
      </w:r>
      <w:r w:rsidR="001048F7" w:rsidRPr="00097492">
        <w:rPr>
          <w:rStyle w:val="Strong"/>
          <w:b w:val="0"/>
          <w:i/>
        </w:rPr>
        <w:t>inclusive technological infrastructure</w:t>
      </w:r>
      <w:r w:rsidR="001048F7" w:rsidRPr="00097492">
        <w:rPr>
          <w:i/>
        </w:rPr>
        <w:t xml:space="preserve"> on university library patronage across five Southeast Nigerian states: Abia, Anambra, Enugu, Imo, and Ebonyi. A structured questionnaire collected data from </w:t>
      </w:r>
      <w:r w:rsidR="001048F7" w:rsidRPr="00097492">
        <w:rPr>
          <w:rStyle w:val="Strong"/>
          <w:b w:val="0"/>
          <w:i/>
        </w:rPr>
        <w:t>200 participants</w:t>
      </w:r>
      <w:r w:rsidR="003D5B23" w:rsidRPr="00097492">
        <w:rPr>
          <w:i/>
        </w:rPr>
        <w:t xml:space="preserve"> (students,</w:t>
      </w:r>
      <w:r w:rsidR="001048F7" w:rsidRPr="00097492">
        <w:rPr>
          <w:i/>
        </w:rPr>
        <w:t xml:space="preserve"> staff</w:t>
      </w:r>
      <w:r w:rsidR="003D5B23" w:rsidRPr="00097492">
        <w:rPr>
          <w:i/>
        </w:rPr>
        <w:t xml:space="preserve"> and persons with disabilities</w:t>
      </w:r>
      <w:r w:rsidR="001048F7" w:rsidRPr="00097492">
        <w:rPr>
          <w:i/>
        </w:rPr>
        <w:t xml:space="preserve">), measuring availability of inclusive technologies, staff training, institutional policy, and </w:t>
      </w:r>
      <w:r w:rsidR="00145879" w:rsidRPr="00097492">
        <w:rPr>
          <w:i/>
        </w:rPr>
        <w:t>usage patterns</w:t>
      </w:r>
      <w:r w:rsidR="001048F7" w:rsidRPr="00097492">
        <w:rPr>
          <w:i/>
        </w:rPr>
        <w:t xml:space="preserve">. Guided by the </w:t>
      </w:r>
      <w:r w:rsidR="001048F7" w:rsidRPr="00097492">
        <w:rPr>
          <w:rStyle w:val="Strong"/>
          <w:b w:val="0"/>
          <w:i/>
        </w:rPr>
        <w:t>Technology Acceptance Model (TAM)</w:t>
      </w:r>
      <w:r w:rsidR="001048F7" w:rsidRPr="00097492">
        <w:rPr>
          <w:b/>
          <w:i/>
        </w:rPr>
        <w:t xml:space="preserve"> </w:t>
      </w:r>
      <w:r w:rsidR="001048F7" w:rsidRPr="00097492">
        <w:rPr>
          <w:i/>
        </w:rPr>
        <w:t>and</w:t>
      </w:r>
      <w:r w:rsidR="001048F7" w:rsidRPr="00097492">
        <w:rPr>
          <w:b/>
          <w:i/>
        </w:rPr>
        <w:t xml:space="preserve"> </w:t>
      </w:r>
      <w:r w:rsidR="001048F7" w:rsidRPr="00097492">
        <w:rPr>
          <w:rStyle w:val="Strong"/>
          <w:b w:val="0"/>
          <w:i/>
        </w:rPr>
        <w:t>Social Model of Disability</w:t>
      </w:r>
      <w:r w:rsidR="001048F7" w:rsidRPr="00097492">
        <w:rPr>
          <w:i/>
        </w:rPr>
        <w:t xml:space="preserve">, the analysis </w:t>
      </w:r>
      <w:r w:rsidR="0074525E" w:rsidRPr="00097492">
        <w:rPr>
          <w:i/>
        </w:rPr>
        <w:t>employed descriptive statistics and correlation</w:t>
      </w:r>
      <w:r w:rsidR="00151FB9" w:rsidRPr="00097492">
        <w:rPr>
          <w:i/>
        </w:rPr>
        <w:t xml:space="preserve"> studies</w:t>
      </w:r>
      <w:r w:rsidR="001048F7" w:rsidRPr="00097492">
        <w:rPr>
          <w:i/>
        </w:rPr>
        <w:t>. Results reveal</w:t>
      </w:r>
      <w:r w:rsidR="009D477E" w:rsidRPr="00097492">
        <w:rPr>
          <w:i/>
        </w:rPr>
        <w:t>ed</w:t>
      </w:r>
      <w:r w:rsidR="001048F7" w:rsidRPr="00097492">
        <w:rPr>
          <w:i/>
        </w:rPr>
        <w:t xml:space="preserve"> t</w:t>
      </w:r>
      <w:r w:rsidR="006A3422" w:rsidRPr="00097492">
        <w:rPr>
          <w:i/>
        </w:rPr>
        <w:t xml:space="preserve">hat inclusive infrastructure, </w:t>
      </w:r>
      <w:r w:rsidR="001048F7" w:rsidRPr="00097492">
        <w:rPr>
          <w:i/>
        </w:rPr>
        <w:t>especially general ICT access, assi</w:t>
      </w:r>
      <w:r w:rsidR="006A3422" w:rsidRPr="00097492">
        <w:rPr>
          <w:i/>
        </w:rPr>
        <w:t xml:space="preserve">stive tools, and staff capacity, </w:t>
      </w:r>
      <w:r w:rsidR="001048F7" w:rsidRPr="00097492">
        <w:rPr>
          <w:i/>
        </w:rPr>
        <w:t xml:space="preserve">significantly </w:t>
      </w:r>
      <w:r w:rsidR="00CB72D8" w:rsidRPr="00097492">
        <w:rPr>
          <w:i/>
        </w:rPr>
        <w:t>correlated with</w:t>
      </w:r>
      <w:r w:rsidR="008C0E82" w:rsidRPr="00097492">
        <w:rPr>
          <w:i/>
        </w:rPr>
        <w:t xml:space="preserve"> library usage.</w:t>
      </w:r>
      <w:r w:rsidR="001048F7" w:rsidRPr="00097492">
        <w:rPr>
          <w:i/>
        </w:rPr>
        <w:t xml:space="preserve"> Key findings include low accessibility of screen readers/</w:t>
      </w:r>
      <w:r w:rsidR="009D477E" w:rsidRPr="00097492">
        <w:rPr>
          <w:i/>
        </w:rPr>
        <w:t>Braille</w:t>
      </w:r>
      <w:r w:rsidR="001048F7" w:rsidRPr="00097492">
        <w:rPr>
          <w:i/>
        </w:rPr>
        <w:t xml:space="preserve"> tools and moderate policy support. Recommendations center on procurement of assistive devices, staff training, policy reinforcement, and continuous evaluation to foster equitable access and academic engagement.</w:t>
      </w:r>
    </w:p>
    <w:p w:rsidR="003D5B23" w:rsidRPr="00097492" w:rsidRDefault="003D5B23" w:rsidP="00950369">
      <w:pPr>
        <w:spacing w:before="100" w:beforeAutospacing="1" w:after="100" w:afterAutospacing="1" w:line="240" w:lineRule="auto"/>
        <w:jc w:val="both"/>
        <w:rPr>
          <w:rFonts w:ascii="Times New Roman" w:eastAsia="Times New Roman" w:hAnsi="Times New Roman"/>
          <w:b/>
          <w:sz w:val="24"/>
          <w:szCs w:val="24"/>
        </w:rPr>
      </w:pPr>
      <w:r w:rsidRPr="00097492">
        <w:rPr>
          <w:rFonts w:ascii="Times New Roman" w:eastAsia="Times New Roman" w:hAnsi="Times New Roman"/>
          <w:b/>
          <w:bCs/>
          <w:sz w:val="24"/>
          <w:szCs w:val="24"/>
        </w:rPr>
        <w:t>Keywords</w:t>
      </w:r>
      <w:r w:rsidRPr="00097492">
        <w:rPr>
          <w:rFonts w:ascii="Times New Roman" w:eastAsia="Times New Roman" w:hAnsi="Times New Roman"/>
          <w:b/>
          <w:sz w:val="24"/>
          <w:szCs w:val="24"/>
        </w:rPr>
        <w:t>: Inclusive technology, library patronage, university libraries, accessibility, assistive technology, Southeast Nigeria</w:t>
      </w:r>
    </w:p>
    <w:p w:rsidR="00F66501" w:rsidRPr="00097492" w:rsidRDefault="00F66501" w:rsidP="00950369">
      <w:pPr>
        <w:spacing w:before="100" w:beforeAutospacing="1" w:after="100" w:afterAutospacing="1" w:line="240" w:lineRule="auto"/>
        <w:jc w:val="both"/>
        <w:rPr>
          <w:rFonts w:ascii="Times New Roman" w:eastAsia="Times New Roman" w:hAnsi="Times New Roman"/>
          <w:b/>
          <w:bCs/>
          <w:sz w:val="24"/>
          <w:szCs w:val="24"/>
        </w:rPr>
      </w:pPr>
    </w:p>
    <w:p w:rsidR="00F66501" w:rsidRPr="00097492" w:rsidRDefault="00F66501" w:rsidP="00950369">
      <w:pPr>
        <w:spacing w:before="100" w:beforeAutospacing="1" w:after="100" w:afterAutospacing="1" w:line="240" w:lineRule="auto"/>
        <w:jc w:val="both"/>
        <w:rPr>
          <w:rFonts w:ascii="Times New Roman" w:eastAsia="Times New Roman" w:hAnsi="Times New Roman"/>
          <w:b/>
          <w:bCs/>
          <w:sz w:val="24"/>
          <w:szCs w:val="24"/>
        </w:rPr>
      </w:pPr>
    </w:p>
    <w:p w:rsidR="00F66501" w:rsidRPr="00097492" w:rsidRDefault="00F66501" w:rsidP="00950369">
      <w:pPr>
        <w:spacing w:before="100" w:beforeAutospacing="1" w:after="100" w:afterAutospacing="1" w:line="240" w:lineRule="auto"/>
        <w:jc w:val="both"/>
        <w:rPr>
          <w:rFonts w:ascii="Times New Roman" w:eastAsia="Times New Roman" w:hAnsi="Times New Roman"/>
          <w:b/>
          <w:bCs/>
          <w:sz w:val="24"/>
          <w:szCs w:val="24"/>
        </w:rPr>
      </w:pPr>
    </w:p>
    <w:p w:rsidR="00BB4FF9" w:rsidRPr="00097492" w:rsidRDefault="00BB4FF9" w:rsidP="00950369">
      <w:pPr>
        <w:spacing w:before="100" w:beforeAutospacing="1" w:after="100" w:afterAutospacing="1" w:line="240" w:lineRule="auto"/>
        <w:jc w:val="both"/>
        <w:rPr>
          <w:rFonts w:ascii="Times New Roman" w:eastAsia="Times New Roman" w:hAnsi="Times New Roman"/>
          <w:b/>
          <w:bCs/>
          <w:sz w:val="24"/>
          <w:szCs w:val="24"/>
        </w:rPr>
      </w:pPr>
    </w:p>
    <w:p w:rsidR="00BB4FF9" w:rsidRPr="00097492" w:rsidRDefault="00BB4FF9" w:rsidP="00950369">
      <w:pPr>
        <w:spacing w:before="100" w:beforeAutospacing="1" w:after="100" w:afterAutospacing="1" w:line="240" w:lineRule="auto"/>
        <w:jc w:val="both"/>
        <w:rPr>
          <w:rFonts w:ascii="Times New Roman" w:eastAsia="Times New Roman" w:hAnsi="Times New Roman"/>
          <w:b/>
          <w:bCs/>
          <w:sz w:val="24"/>
          <w:szCs w:val="24"/>
        </w:rPr>
      </w:pPr>
    </w:p>
    <w:p w:rsidR="00BB4FF9" w:rsidRPr="00097492" w:rsidRDefault="00BB4FF9" w:rsidP="00950369">
      <w:pPr>
        <w:spacing w:before="100" w:beforeAutospacing="1" w:after="100" w:afterAutospacing="1" w:line="240" w:lineRule="auto"/>
        <w:jc w:val="both"/>
        <w:rPr>
          <w:rFonts w:ascii="Times New Roman" w:eastAsia="Times New Roman" w:hAnsi="Times New Roman"/>
          <w:b/>
          <w:bCs/>
          <w:sz w:val="24"/>
          <w:szCs w:val="24"/>
        </w:rPr>
      </w:pPr>
    </w:p>
    <w:p w:rsidR="00BB4FF9" w:rsidRPr="00097492" w:rsidRDefault="00BB4FF9" w:rsidP="00950369">
      <w:pPr>
        <w:spacing w:before="100" w:beforeAutospacing="1" w:after="100" w:afterAutospacing="1" w:line="240" w:lineRule="auto"/>
        <w:jc w:val="both"/>
        <w:rPr>
          <w:rFonts w:ascii="Times New Roman" w:eastAsia="Times New Roman" w:hAnsi="Times New Roman"/>
          <w:b/>
          <w:bCs/>
          <w:sz w:val="24"/>
          <w:szCs w:val="24"/>
        </w:rPr>
      </w:pPr>
    </w:p>
    <w:p w:rsidR="00BB4FF9" w:rsidRPr="00097492" w:rsidRDefault="00BB4FF9" w:rsidP="00950369">
      <w:pPr>
        <w:spacing w:before="100" w:beforeAutospacing="1" w:after="100" w:afterAutospacing="1" w:line="240" w:lineRule="auto"/>
        <w:jc w:val="both"/>
        <w:rPr>
          <w:rFonts w:ascii="Times New Roman" w:eastAsia="Times New Roman" w:hAnsi="Times New Roman"/>
          <w:b/>
          <w:bCs/>
          <w:sz w:val="24"/>
          <w:szCs w:val="24"/>
        </w:rPr>
      </w:pPr>
    </w:p>
    <w:p w:rsidR="00BB4FF9" w:rsidRPr="00097492" w:rsidRDefault="00BB4FF9" w:rsidP="00097492">
      <w:pPr>
        <w:spacing w:before="100" w:beforeAutospacing="1" w:after="100" w:afterAutospacing="1" w:line="240" w:lineRule="auto"/>
        <w:jc w:val="both"/>
        <w:rPr>
          <w:rFonts w:ascii="Times New Roman" w:eastAsia="Times New Roman" w:hAnsi="Times New Roman"/>
          <w:b/>
          <w:bCs/>
          <w:sz w:val="24"/>
          <w:szCs w:val="24"/>
        </w:rPr>
      </w:pPr>
    </w:p>
    <w:p w:rsidR="00A67D12" w:rsidRPr="00097492" w:rsidRDefault="00A67D12"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b/>
          <w:bCs/>
          <w:sz w:val="24"/>
          <w:szCs w:val="24"/>
        </w:rPr>
        <w:lastRenderedPageBreak/>
        <w:t>Introduction</w:t>
      </w:r>
    </w:p>
    <w:p w:rsidR="00A67D12" w:rsidRPr="00097492" w:rsidRDefault="00A67D12"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University libraries are critical to academic development, serving as hubs for learning, teaching, and research. In the 21st century, the role of these libraries has evolved, necessitating the incorporation of both traditional and modern technologies to meet the increasingly diverse needs of their users. Inclusive technological infrastructure refers to a strategic integr</w:t>
      </w:r>
      <w:r w:rsidR="006A3422" w:rsidRPr="00097492">
        <w:rPr>
          <w:rFonts w:ascii="Times New Roman" w:eastAsia="Times New Roman" w:hAnsi="Times New Roman"/>
          <w:sz w:val="24"/>
          <w:szCs w:val="24"/>
        </w:rPr>
        <w:t xml:space="preserve">ation of conventional resources, </w:t>
      </w:r>
      <w:r w:rsidR="00F555CB" w:rsidRPr="00097492">
        <w:rPr>
          <w:rFonts w:ascii="Times New Roman" w:eastAsia="Times New Roman" w:hAnsi="Times New Roman"/>
          <w:sz w:val="24"/>
          <w:szCs w:val="24"/>
        </w:rPr>
        <w:t>such as print materials, books imprint for publishers selection,</w:t>
      </w:r>
      <w:r w:rsidR="00DB010D" w:rsidRPr="00097492">
        <w:rPr>
          <w:rFonts w:ascii="Times New Roman" w:eastAsia="Times New Roman" w:hAnsi="Times New Roman"/>
          <w:sz w:val="24"/>
          <w:szCs w:val="24"/>
        </w:rPr>
        <w:t xml:space="preserve"> manual card filings,</w:t>
      </w:r>
      <w:r w:rsidR="006A3422" w:rsidRPr="00097492">
        <w:rPr>
          <w:rFonts w:ascii="Times New Roman" w:eastAsia="Times New Roman" w:hAnsi="Times New Roman"/>
          <w:sz w:val="24"/>
          <w:szCs w:val="24"/>
        </w:rPr>
        <w:t xml:space="preserve"> manual</w:t>
      </w:r>
      <w:r w:rsidR="00F555CB" w:rsidRPr="00097492">
        <w:rPr>
          <w:rFonts w:ascii="Times New Roman" w:eastAsia="Times New Roman" w:hAnsi="Times New Roman"/>
          <w:sz w:val="24"/>
          <w:szCs w:val="24"/>
        </w:rPr>
        <w:t xml:space="preserve"> newspaper indexing and</w:t>
      </w:r>
      <w:r w:rsidR="006A3422" w:rsidRPr="00097492">
        <w:rPr>
          <w:rFonts w:ascii="Times New Roman" w:eastAsia="Times New Roman" w:hAnsi="Times New Roman"/>
          <w:sz w:val="24"/>
          <w:szCs w:val="24"/>
        </w:rPr>
        <w:t xml:space="preserve"> </w:t>
      </w:r>
      <w:r w:rsidR="00F555CB" w:rsidRPr="00097492">
        <w:rPr>
          <w:rFonts w:ascii="Times New Roman" w:eastAsia="Times New Roman" w:hAnsi="Times New Roman"/>
          <w:sz w:val="24"/>
          <w:szCs w:val="24"/>
        </w:rPr>
        <w:t xml:space="preserve">manual </w:t>
      </w:r>
      <w:r w:rsidR="006A3422" w:rsidRPr="00097492">
        <w:rPr>
          <w:rFonts w:ascii="Times New Roman" w:eastAsia="Times New Roman" w:hAnsi="Times New Roman"/>
          <w:sz w:val="24"/>
          <w:szCs w:val="24"/>
        </w:rPr>
        <w:t xml:space="preserve">cataloging systems, </w:t>
      </w:r>
      <w:r w:rsidRPr="00097492">
        <w:rPr>
          <w:rFonts w:ascii="Times New Roman" w:eastAsia="Times New Roman" w:hAnsi="Times New Roman"/>
          <w:sz w:val="24"/>
          <w:szCs w:val="24"/>
        </w:rPr>
        <w:t>with modern technologies such as Online Public Access Catalogs (OPACs), electronic databases, wireless internet access, and assistive tools for individuals with disabilities (Ifijeh &amp; Yusuf, 2017). This inclusive approach ensures that library services remain accessible, functional, and beneficial to all categories of users, irrespective of physical ability, socioeconomic background, or digital literacy.</w:t>
      </w:r>
    </w:p>
    <w:p w:rsidR="00A67D12" w:rsidRPr="00097492" w:rsidRDefault="00A67D12"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In Southeast Nigeria, which comprises Abia, Anambra, Ebonyi, Enugu, and Imo states, universities vary significantly in their adoption of inclusive technological infrastructure. While some institutions have adopted digital systems and assistive technologies, others still rely heavily on traditional print-based services due to challenges such as limited funding, poor electricity supply, and inadequate ICT training among library personnel (Okike, 2020). Consequently, the effectiveness of university libraries in meeting user needs and attracting consistent patronage is in question.</w:t>
      </w:r>
    </w:p>
    <w:p w:rsidR="00A67D12" w:rsidRPr="00097492" w:rsidRDefault="00A67D12"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Previous studies have established a correlation between access to inclusive technologies and increased library usage. Ani, Esin, and Edem (2015) found that students in universities with advanced ICT services visited libraries more frequently and utilized services more effectively than those without. Similarly, Ugwu and Onyebinama (2022) demonstrated that the availability of assistive technologies significantly improved the patronage of visually and physically impaired users.</w:t>
      </w:r>
    </w:p>
    <w:p w:rsidR="00A67D12" w:rsidRPr="00097492" w:rsidRDefault="00A67D12"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Despite the growing interest in inclusive library services, empirical data focusing specifically on the relationship between inclusive technological infrastructure and library patronage in Southeast Nigerian universities remain limited. This gap necessitates an investigation into how inclusivity in technological infrastructure affects library use, particularly in a region marked by both technological progress and systemic limitations.</w:t>
      </w:r>
    </w:p>
    <w:p w:rsidR="00A67D12" w:rsidRPr="00097492" w:rsidRDefault="00A67D12"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b/>
          <w:bCs/>
          <w:sz w:val="24"/>
          <w:szCs w:val="24"/>
        </w:rPr>
        <w:t>Objectives of the Study</w:t>
      </w:r>
    </w:p>
    <w:p w:rsidR="00A67D12" w:rsidRPr="00097492" w:rsidRDefault="00A67D12"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This study aims to achieve the following objectives:</w:t>
      </w:r>
    </w:p>
    <w:p w:rsidR="006F3949" w:rsidRPr="00097492" w:rsidRDefault="006F3949" w:rsidP="006F3949">
      <w:pPr>
        <w:numPr>
          <w:ilvl w:val="0"/>
          <w:numId w:val="26"/>
        </w:numPr>
        <w:spacing w:before="100" w:beforeAutospacing="1" w:after="100" w:afterAutospacing="1" w:line="240" w:lineRule="auto"/>
        <w:rPr>
          <w:rFonts w:ascii="Times New Roman" w:eastAsia="Times New Roman" w:hAnsi="Times New Roman"/>
          <w:sz w:val="24"/>
          <w:szCs w:val="24"/>
        </w:rPr>
      </w:pPr>
      <w:r w:rsidRPr="00097492">
        <w:rPr>
          <w:rFonts w:ascii="Times New Roman" w:eastAsia="Times New Roman" w:hAnsi="Times New Roman"/>
          <w:sz w:val="24"/>
          <w:szCs w:val="24"/>
        </w:rPr>
        <w:t>To examine the demographic patterns of library users</w:t>
      </w:r>
      <w:r w:rsidR="00293E13" w:rsidRPr="00097492">
        <w:rPr>
          <w:rFonts w:ascii="Times New Roman" w:eastAsia="Times New Roman" w:hAnsi="Times New Roman"/>
          <w:sz w:val="24"/>
          <w:szCs w:val="24"/>
        </w:rPr>
        <w:t xml:space="preserve"> in southeast Nigeria</w:t>
      </w:r>
    </w:p>
    <w:p w:rsidR="00FF25D6" w:rsidRPr="00097492" w:rsidRDefault="00FF25D6" w:rsidP="00FF25D6">
      <w:pPr>
        <w:numPr>
          <w:ilvl w:val="0"/>
          <w:numId w:val="26"/>
        </w:numPr>
        <w:spacing w:before="100" w:beforeAutospacing="1" w:after="100" w:afterAutospacing="1" w:line="240" w:lineRule="auto"/>
        <w:rPr>
          <w:rFonts w:ascii="Times New Roman" w:eastAsia="Times New Roman" w:hAnsi="Times New Roman"/>
          <w:sz w:val="24"/>
          <w:szCs w:val="24"/>
        </w:rPr>
      </w:pPr>
      <w:r w:rsidRPr="00097492">
        <w:rPr>
          <w:rFonts w:ascii="Times New Roman" w:eastAsia="Times New Roman" w:hAnsi="Times New Roman"/>
          <w:sz w:val="24"/>
          <w:szCs w:val="24"/>
        </w:rPr>
        <w:t>To determine the availability of inclusive technological infrastructure in university libraries in Southeast Nigeria</w:t>
      </w:r>
    </w:p>
    <w:p w:rsidR="006F3949" w:rsidRPr="00097492" w:rsidRDefault="006F3949" w:rsidP="006F3949">
      <w:pPr>
        <w:numPr>
          <w:ilvl w:val="0"/>
          <w:numId w:val="26"/>
        </w:numPr>
        <w:spacing w:before="100" w:beforeAutospacing="1" w:after="100" w:afterAutospacing="1" w:line="240" w:lineRule="auto"/>
        <w:rPr>
          <w:rFonts w:ascii="Times New Roman" w:eastAsia="Times New Roman" w:hAnsi="Times New Roman"/>
          <w:sz w:val="24"/>
          <w:szCs w:val="24"/>
        </w:rPr>
      </w:pPr>
      <w:r w:rsidRPr="00097492">
        <w:rPr>
          <w:rFonts w:ascii="Times New Roman" w:eastAsia="Times New Roman" w:hAnsi="Times New Roman"/>
          <w:sz w:val="24"/>
          <w:szCs w:val="24"/>
        </w:rPr>
        <w:t>To assess how inclusive technology influences library patronage</w:t>
      </w:r>
    </w:p>
    <w:p w:rsidR="006F3949" w:rsidRPr="00097492" w:rsidRDefault="006F3949" w:rsidP="006F3949">
      <w:pPr>
        <w:numPr>
          <w:ilvl w:val="0"/>
          <w:numId w:val="26"/>
        </w:numPr>
        <w:spacing w:before="100" w:beforeAutospacing="1" w:after="100" w:afterAutospacing="1" w:line="240" w:lineRule="auto"/>
        <w:rPr>
          <w:rFonts w:ascii="Times New Roman" w:eastAsia="Times New Roman" w:hAnsi="Times New Roman"/>
          <w:sz w:val="24"/>
          <w:szCs w:val="24"/>
        </w:rPr>
      </w:pPr>
      <w:r w:rsidRPr="00097492">
        <w:rPr>
          <w:rFonts w:ascii="Times New Roman" w:eastAsia="Times New Roman" w:hAnsi="Times New Roman"/>
          <w:sz w:val="24"/>
          <w:szCs w:val="24"/>
        </w:rPr>
        <w:t>To recommend strategies for improving accessibility and patronage through inclusive technology</w:t>
      </w:r>
    </w:p>
    <w:p w:rsidR="00BA2B4B" w:rsidRPr="00097492" w:rsidRDefault="00BA2B4B" w:rsidP="00950369">
      <w:pPr>
        <w:spacing w:before="100" w:beforeAutospacing="1" w:after="100" w:afterAutospacing="1" w:line="240" w:lineRule="auto"/>
        <w:jc w:val="both"/>
        <w:outlineLvl w:val="1"/>
        <w:rPr>
          <w:rFonts w:ascii="Times New Roman" w:eastAsia="Times New Roman" w:hAnsi="Times New Roman"/>
          <w:b/>
          <w:bCs/>
          <w:sz w:val="24"/>
          <w:szCs w:val="24"/>
        </w:rPr>
      </w:pPr>
      <w:r w:rsidRPr="00097492">
        <w:rPr>
          <w:rFonts w:ascii="Times New Roman" w:eastAsia="Times New Roman" w:hAnsi="Times New Roman"/>
          <w:b/>
          <w:bCs/>
          <w:sz w:val="24"/>
          <w:szCs w:val="24"/>
        </w:rPr>
        <w:lastRenderedPageBreak/>
        <w:t>Theoretical Framework</w:t>
      </w:r>
    </w:p>
    <w:p w:rsidR="00BA2B4B" w:rsidRPr="00097492" w:rsidRDefault="00BA2B4B" w:rsidP="00950369">
      <w:pPr>
        <w:spacing w:before="100" w:beforeAutospacing="1" w:after="100" w:afterAutospacing="1" w:line="240" w:lineRule="auto"/>
        <w:jc w:val="both"/>
        <w:outlineLvl w:val="2"/>
        <w:rPr>
          <w:rFonts w:ascii="Times New Roman" w:eastAsia="Times New Roman" w:hAnsi="Times New Roman"/>
          <w:bCs/>
          <w:sz w:val="24"/>
          <w:szCs w:val="24"/>
        </w:rPr>
      </w:pPr>
      <w:r w:rsidRPr="00097492">
        <w:rPr>
          <w:rFonts w:ascii="Times New Roman" w:eastAsia="Times New Roman" w:hAnsi="Times New Roman"/>
          <w:bCs/>
          <w:sz w:val="24"/>
          <w:szCs w:val="24"/>
        </w:rPr>
        <w:t xml:space="preserve"> Technology Acceptance Model (TAM)</w:t>
      </w:r>
    </w:p>
    <w:p w:rsidR="00BA2B4B" w:rsidRPr="00097492" w:rsidRDefault="00BA2B4B"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The TAM by Davis (1989) suggests that perceived usefulness and ease of use are critical determinants of technology adoption. When users perceive inclusive technology as helpful and accessible, they are more likely to use the library.</w:t>
      </w:r>
    </w:p>
    <w:p w:rsidR="00BA2B4B" w:rsidRPr="00097492" w:rsidRDefault="00BA2B4B" w:rsidP="00950369">
      <w:pPr>
        <w:spacing w:before="100" w:beforeAutospacing="1" w:after="100" w:afterAutospacing="1" w:line="240" w:lineRule="auto"/>
        <w:jc w:val="both"/>
        <w:outlineLvl w:val="2"/>
        <w:rPr>
          <w:rFonts w:ascii="Times New Roman" w:eastAsia="Times New Roman" w:hAnsi="Times New Roman"/>
          <w:bCs/>
          <w:sz w:val="24"/>
          <w:szCs w:val="24"/>
        </w:rPr>
      </w:pPr>
      <w:r w:rsidRPr="00097492">
        <w:rPr>
          <w:rFonts w:ascii="Times New Roman" w:eastAsia="Times New Roman" w:hAnsi="Times New Roman"/>
          <w:bCs/>
          <w:sz w:val="24"/>
          <w:szCs w:val="24"/>
        </w:rPr>
        <w:t xml:space="preserve"> Social Model of Disability</w:t>
      </w:r>
    </w:p>
    <w:p w:rsidR="00BA2B4B" w:rsidRPr="00097492" w:rsidRDefault="00BA2B4B"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This model shifts attention from individual impairments to societal barriers. Inaccessible technology and untrained staff are structural impediments that limit library engagement by disabled users (Oliver, 1990).</w:t>
      </w:r>
    </w:p>
    <w:p w:rsidR="00BA2B4B" w:rsidRPr="00097492" w:rsidRDefault="00BA2B4B"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T</w:t>
      </w:r>
      <w:r w:rsidR="00455920" w:rsidRPr="00097492">
        <w:rPr>
          <w:rFonts w:ascii="Times New Roman" w:eastAsia="Times New Roman" w:hAnsi="Times New Roman"/>
          <w:sz w:val="24"/>
          <w:szCs w:val="24"/>
        </w:rPr>
        <w:t xml:space="preserve">ogether, these models </w:t>
      </w:r>
      <w:r w:rsidR="00672421" w:rsidRPr="00097492">
        <w:rPr>
          <w:rFonts w:ascii="Times New Roman" w:eastAsia="Times New Roman" w:hAnsi="Times New Roman"/>
          <w:sz w:val="24"/>
          <w:szCs w:val="24"/>
        </w:rPr>
        <w:t>underline</w:t>
      </w:r>
      <w:r w:rsidRPr="00097492">
        <w:rPr>
          <w:rFonts w:ascii="Times New Roman" w:eastAsia="Times New Roman" w:hAnsi="Times New Roman"/>
          <w:sz w:val="24"/>
          <w:szCs w:val="24"/>
        </w:rPr>
        <w:t xml:space="preserve"> the role of institutional infrastructure and perception in shaping user behavior.</w:t>
      </w:r>
    </w:p>
    <w:p w:rsidR="00B3178C" w:rsidRPr="00097492" w:rsidRDefault="00B3178C" w:rsidP="00950369">
      <w:pPr>
        <w:spacing w:before="100" w:beforeAutospacing="1" w:after="100" w:afterAutospacing="1" w:line="240" w:lineRule="auto"/>
        <w:jc w:val="both"/>
        <w:rPr>
          <w:rFonts w:ascii="Times New Roman" w:eastAsia="Times New Roman" w:hAnsi="Times New Roman"/>
          <w:b/>
          <w:bCs/>
          <w:sz w:val="24"/>
          <w:szCs w:val="24"/>
        </w:rPr>
      </w:pPr>
      <w:r w:rsidRPr="00097492">
        <w:rPr>
          <w:rFonts w:ascii="Times New Roman" w:eastAsia="Times New Roman" w:hAnsi="Times New Roman"/>
          <w:b/>
          <w:bCs/>
          <w:sz w:val="24"/>
          <w:szCs w:val="24"/>
        </w:rPr>
        <w:t>Literature Review</w:t>
      </w:r>
    </w:p>
    <w:p w:rsidR="00B3178C" w:rsidRPr="00097492" w:rsidRDefault="00C03FF1"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The involvement</w:t>
      </w:r>
      <w:r w:rsidR="00B3178C" w:rsidRPr="00097492">
        <w:rPr>
          <w:rFonts w:ascii="Times New Roman" w:eastAsia="Times New Roman" w:hAnsi="Times New Roman"/>
          <w:sz w:val="24"/>
          <w:szCs w:val="24"/>
        </w:rPr>
        <w:t xml:space="preserve"> of inclusive technological infrastructure in academic libraries has emerged as a transformative force shaping the quality and accessibility of library services. In the context of university libraries in S</w:t>
      </w:r>
      <w:r w:rsidR="00096D9B" w:rsidRPr="00097492">
        <w:rPr>
          <w:rFonts w:ascii="Times New Roman" w:eastAsia="Times New Roman" w:hAnsi="Times New Roman"/>
          <w:sz w:val="24"/>
          <w:szCs w:val="24"/>
        </w:rPr>
        <w:t>outheast Nigeria, the com</w:t>
      </w:r>
      <w:r w:rsidRPr="00097492">
        <w:rPr>
          <w:rFonts w:ascii="Times New Roman" w:eastAsia="Times New Roman" w:hAnsi="Times New Roman"/>
          <w:sz w:val="24"/>
          <w:szCs w:val="24"/>
        </w:rPr>
        <w:t>bination</w:t>
      </w:r>
      <w:r w:rsidR="00B3178C" w:rsidRPr="00097492">
        <w:rPr>
          <w:rFonts w:ascii="Times New Roman" w:eastAsia="Times New Roman" w:hAnsi="Times New Roman"/>
          <w:sz w:val="24"/>
          <w:szCs w:val="24"/>
        </w:rPr>
        <w:t xml:space="preserve"> of old and new technologies offers both opportunities and challenges in enhancing user patronage and engagement. Inclusive technological infrastructure refers to a blend of traditional resources (such as print collections and card catalogs) and modern digital tools (such as Online Public Access Catalogs (OPAC), e-resources, assistive technologies, and internet-enabled services) designed to meet the diverse needs of users regardless of their socioeconomic status, geographic location, or physical ability (Nwachukwu &amp; Eze, 2021).</w:t>
      </w:r>
    </w:p>
    <w:p w:rsidR="00B3178C" w:rsidRPr="00097492" w:rsidRDefault="00C409B7"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Several studies have </w:t>
      </w:r>
      <w:r w:rsidR="00BC6ADB" w:rsidRPr="00097492">
        <w:rPr>
          <w:rFonts w:ascii="Times New Roman" w:eastAsia="Times New Roman" w:hAnsi="Times New Roman"/>
          <w:sz w:val="24"/>
          <w:szCs w:val="24"/>
        </w:rPr>
        <w:t>emphasized</w:t>
      </w:r>
      <w:r w:rsidR="00B3178C" w:rsidRPr="00097492">
        <w:rPr>
          <w:rFonts w:ascii="Times New Roman" w:eastAsia="Times New Roman" w:hAnsi="Times New Roman"/>
          <w:sz w:val="24"/>
          <w:szCs w:val="24"/>
        </w:rPr>
        <w:t xml:space="preserve"> the importance of technological inclusion in fostering increased library usage and relevance</w:t>
      </w:r>
      <w:r w:rsidR="00C03FF1" w:rsidRPr="00097492">
        <w:rPr>
          <w:rFonts w:ascii="Times New Roman" w:eastAsia="Times New Roman" w:hAnsi="Times New Roman"/>
          <w:sz w:val="24"/>
          <w:szCs w:val="24"/>
        </w:rPr>
        <w:t xml:space="preserve"> especially in third world countries</w:t>
      </w:r>
      <w:r w:rsidR="00B3178C" w:rsidRPr="00097492">
        <w:rPr>
          <w:rFonts w:ascii="Times New Roman" w:eastAsia="Times New Roman" w:hAnsi="Times New Roman"/>
          <w:sz w:val="24"/>
          <w:szCs w:val="24"/>
        </w:rPr>
        <w:t>. According to Ani, Esin, and Edem (2015), access to digital resources significantly impacts the frequency of library visits among university students in Nigeria. This is particularly pertinent in the Southeast, where infrastructural disparities between urban and rural institutions necessitate inclusive approache</w:t>
      </w:r>
      <w:r w:rsidR="007C67D9" w:rsidRPr="00097492">
        <w:rPr>
          <w:rFonts w:ascii="Times New Roman" w:eastAsia="Times New Roman" w:hAnsi="Times New Roman"/>
          <w:sz w:val="24"/>
          <w:szCs w:val="24"/>
        </w:rPr>
        <w:t>s that bridge the digital gap</w:t>
      </w:r>
      <w:r w:rsidR="00B3178C" w:rsidRPr="00097492">
        <w:rPr>
          <w:rFonts w:ascii="Times New Roman" w:eastAsia="Times New Roman" w:hAnsi="Times New Roman"/>
          <w:sz w:val="24"/>
          <w:szCs w:val="24"/>
        </w:rPr>
        <w:t>. Inclusive technologies enable bo</w:t>
      </w:r>
      <w:r w:rsidR="00E40CBE" w:rsidRPr="00097492">
        <w:rPr>
          <w:rFonts w:ascii="Times New Roman" w:eastAsia="Times New Roman" w:hAnsi="Times New Roman"/>
          <w:sz w:val="24"/>
          <w:szCs w:val="24"/>
        </w:rPr>
        <w:t>th traditional and modern users (</w:t>
      </w:r>
      <w:r w:rsidR="00B3178C" w:rsidRPr="00097492">
        <w:rPr>
          <w:rFonts w:ascii="Times New Roman" w:eastAsia="Times New Roman" w:hAnsi="Times New Roman"/>
          <w:sz w:val="24"/>
          <w:szCs w:val="24"/>
        </w:rPr>
        <w:t>those who prefer print and t</w:t>
      </w:r>
      <w:r w:rsidR="00E40CBE" w:rsidRPr="00097492">
        <w:rPr>
          <w:rFonts w:ascii="Times New Roman" w:eastAsia="Times New Roman" w:hAnsi="Times New Roman"/>
          <w:sz w:val="24"/>
          <w:szCs w:val="24"/>
        </w:rPr>
        <w:t xml:space="preserve">hose reliant on digital formats) </w:t>
      </w:r>
      <w:r w:rsidR="00B3178C" w:rsidRPr="00097492">
        <w:rPr>
          <w:rFonts w:ascii="Times New Roman" w:eastAsia="Times New Roman" w:hAnsi="Times New Roman"/>
          <w:sz w:val="24"/>
          <w:szCs w:val="24"/>
        </w:rPr>
        <w:t>to find value in library services (Edewor, Okite-Amughoro &amp; Osuchukwu, 2016).</w:t>
      </w:r>
    </w:p>
    <w:p w:rsidR="00B3178C" w:rsidRPr="00097492" w:rsidRDefault="00B3178C"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Moreover, the role of assistive technologies cannot be overstated in creating inclusive learning environments. Technologies such as screen readers, magnifiers, and speech-to-text software enhance access for visually impaired and physically challenged users, promoting equity and increased patronage (Agboola &amp; Bami</w:t>
      </w:r>
      <w:r w:rsidR="005A745F" w:rsidRPr="00097492">
        <w:rPr>
          <w:rFonts w:ascii="Times New Roman" w:eastAsia="Times New Roman" w:hAnsi="Times New Roman"/>
          <w:sz w:val="24"/>
          <w:szCs w:val="24"/>
        </w:rPr>
        <w:t>gboye, 2020). This is in harmony</w:t>
      </w:r>
      <w:r w:rsidRPr="00097492">
        <w:rPr>
          <w:rFonts w:ascii="Times New Roman" w:eastAsia="Times New Roman" w:hAnsi="Times New Roman"/>
          <w:sz w:val="24"/>
          <w:szCs w:val="24"/>
        </w:rPr>
        <w:t xml:space="preserve"> with the findings of Ugwu and Onyebinama (2022), who reported that universities in the region with better inclusive infrastructure recorded higher usage by students with special needs.</w:t>
      </w:r>
    </w:p>
    <w:p w:rsidR="00B3178C" w:rsidRPr="00097492" w:rsidRDefault="00B3178C"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lastRenderedPageBreak/>
        <w:t>However, the implementation of inclusive technology in university libraries in Southeast Nigeria is hindered by several factors. Limited funding, inadequate ICT infrastructure, inconsistent electricity supply, and a shortage of trained personnel remain persistent b</w:t>
      </w:r>
      <w:r w:rsidR="000C49A2" w:rsidRPr="00097492">
        <w:rPr>
          <w:rFonts w:ascii="Times New Roman" w:eastAsia="Times New Roman" w:hAnsi="Times New Roman"/>
          <w:sz w:val="24"/>
          <w:szCs w:val="24"/>
        </w:rPr>
        <w:t>arriers (Okike, 2020). As report</w:t>
      </w:r>
      <w:r w:rsidRPr="00097492">
        <w:rPr>
          <w:rFonts w:ascii="Times New Roman" w:eastAsia="Times New Roman" w:hAnsi="Times New Roman"/>
          <w:sz w:val="24"/>
          <w:szCs w:val="24"/>
        </w:rPr>
        <w:t>ed by Ifijeh and Yusuf (2017), without strategic investment and policy support, efforts to foster inclusive technological adopti</w:t>
      </w:r>
      <w:r w:rsidR="007F264F" w:rsidRPr="00097492">
        <w:rPr>
          <w:rFonts w:ascii="Times New Roman" w:eastAsia="Times New Roman" w:hAnsi="Times New Roman"/>
          <w:sz w:val="24"/>
          <w:szCs w:val="24"/>
        </w:rPr>
        <w:t>on may fall short, thereby impac</w:t>
      </w:r>
      <w:r w:rsidRPr="00097492">
        <w:rPr>
          <w:rFonts w:ascii="Times New Roman" w:eastAsia="Times New Roman" w:hAnsi="Times New Roman"/>
          <w:sz w:val="24"/>
          <w:szCs w:val="24"/>
        </w:rPr>
        <w:t>t</w:t>
      </w:r>
      <w:r w:rsidR="007F264F" w:rsidRPr="00097492">
        <w:rPr>
          <w:rFonts w:ascii="Times New Roman" w:eastAsia="Times New Roman" w:hAnsi="Times New Roman"/>
          <w:sz w:val="24"/>
          <w:szCs w:val="24"/>
        </w:rPr>
        <w:t>ing library patronage adversely</w:t>
      </w:r>
      <w:r w:rsidRPr="00097492">
        <w:rPr>
          <w:rFonts w:ascii="Times New Roman" w:eastAsia="Times New Roman" w:hAnsi="Times New Roman"/>
          <w:sz w:val="24"/>
          <w:szCs w:val="24"/>
        </w:rPr>
        <w:t>.</w:t>
      </w:r>
    </w:p>
    <w:p w:rsidR="00B3178C" w:rsidRPr="00097492" w:rsidRDefault="00B3178C"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Nonetheless, libraries </w:t>
      </w:r>
      <w:r w:rsidR="00E22BB9" w:rsidRPr="00097492">
        <w:rPr>
          <w:rFonts w:ascii="Times New Roman" w:eastAsia="Times New Roman" w:hAnsi="Times New Roman"/>
          <w:sz w:val="24"/>
          <w:szCs w:val="24"/>
        </w:rPr>
        <w:t>that have adopted hybrid models (</w:t>
      </w:r>
      <w:r w:rsidRPr="00097492">
        <w:rPr>
          <w:rFonts w:ascii="Times New Roman" w:eastAsia="Times New Roman" w:hAnsi="Times New Roman"/>
          <w:sz w:val="24"/>
          <w:szCs w:val="24"/>
        </w:rPr>
        <w:t xml:space="preserve">where both old and </w:t>
      </w:r>
      <w:r w:rsidR="00E22BB9" w:rsidRPr="00097492">
        <w:rPr>
          <w:rFonts w:ascii="Times New Roman" w:eastAsia="Times New Roman" w:hAnsi="Times New Roman"/>
          <w:sz w:val="24"/>
          <w:szCs w:val="24"/>
        </w:rPr>
        <w:t xml:space="preserve">new technologies are integrated) </w:t>
      </w:r>
      <w:r w:rsidRPr="00097492">
        <w:rPr>
          <w:rFonts w:ascii="Times New Roman" w:eastAsia="Times New Roman" w:hAnsi="Times New Roman"/>
          <w:sz w:val="24"/>
          <w:szCs w:val="24"/>
        </w:rPr>
        <w:t>have witnessed improved user satisfaction and engagement. Nnadozie and Nnadozie (2019) assert that such libraries not only attract more users but also retain them by meeting their evolving academic and information needs through varied service delivery methods.</w:t>
      </w:r>
    </w:p>
    <w:p w:rsidR="00E22BB9" w:rsidRPr="00097492" w:rsidRDefault="00E22BB9"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Studies show that inclusive infrastructure enhances academic engagement and retention (Omeluzor &amp; Anyaegbu, 2019). However, Omotayo (2021) observes that many Nigerian university libraries still lack inclusive infrastructure. Furthermore, lack of trained personnel to guide users with disabilities limits access to even available facilities (Ibrahim </w:t>
      </w:r>
      <w:r w:rsidRPr="00097492">
        <w:rPr>
          <w:rFonts w:ascii="Times New Roman" w:eastAsia="Times New Roman" w:hAnsi="Times New Roman"/>
          <w:i/>
          <w:sz w:val="24"/>
          <w:szCs w:val="24"/>
        </w:rPr>
        <w:t>et al</w:t>
      </w:r>
      <w:r w:rsidRPr="00097492">
        <w:rPr>
          <w:rFonts w:ascii="Times New Roman" w:eastAsia="Times New Roman" w:hAnsi="Times New Roman"/>
          <w:sz w:val="24"/>
          <w:szCs w:val="24"/>
        </w:rPr>
        <w:t>., 2023).</w:t>
      </w:r>
    </w:p>
    <w:p w:rsidR="00E22BB9" w:rsidRPr="00097492" w:rsidRDefault="00E22BB9"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Other scholars (Echezona &amp; Ugwuanyi, 2022) recommend integrating accessibility policies and dedicated funding into university library planning. This study adds to the literature by empirically testing the extent of infrastructural inclusivity and its im</w:t>
      </w:r>
      <w:r w:rsidR="00A46B50" w:rsidRPr="00097492">
        <w:rPr>
          <w:rFonts w:ascii="Times New Roman" w:eastAsia="Times New Roman" w:hAnsi="Times New Roman"/>
          <w:sz w:val="24"/>
          <w:szCs w:val="24"/>
        </w:rPr>
        <w:t>pact on library patronage in fiv</w:t>
      </w:r>
      <w:r w:rsidRPr="00097492">
        <w:rPr>
          <w:rFonts w:ascii="Times New Roman" w:eastAsia="Times New Roman" w:hAnsi="Times New Roman"/>
          <w:sz w:val="24"/>
          <w:szCs w:val="24"/>
        </w:rPr>
        <w:t>e states of Southeast Nigeria.</w:t>
      </w:r>
    </w:p>
    <w:p w:rsidR="0047599E" w:rsidRPr="00097492" w:rsidRDefault="0047599E" w:rsidP="00950369">
      <w:pPr>
        <w:pStyle w:val="Heading2"/>
        <w:jc w:val="both"/>
        <w:rPr>
          <w:sz w:val="24"/>
          <w:szCs w:val="24"/>
        </w:rPr>
      </w:pPr>
      <w:r w:rsidRPr="00097492">
        <w:rPr>
          <w:rStyle w:val="Strong"/>
          <w:b/>
          <w:bCs/>
          <w:sz w:val="24"/>
          <w:szCs w:val="24"/>
        </w:rPr>
        <w:t>Methodology</w:t>
      </w:r>
    </w:p>
    <w:p w:rsidR="0047599E" w:rsidRPr="00097492" w:rsidRDefault="0047599E" w:rsidP="00BB2A12">
      <w:pPr>
        <w:pStyle w:val="NormalWeb"/>
        <w:jc w:val="both"/>
      </w:pPr>
      <w:r w:rsidRPr="00097492">
        <w:t xml:space="preserve">A descriptive, cross-sectional survey targeted </w:t>
      </w:r>
      <w:r w:rsidRPr="00097492">
        <w:rPr>
          <w:rStyle w:val="Strong"/>
          <w:b w:val="0"/>
        </w:rPr>
        <w:t>200 library users</w:t>
      </w:r>
      <w:r w:rsidRPr="00097492">
        <w:rPr>
          <w:b/>
        </w:rPr>
        <w:t xml:space="preserve"> </w:t>
      </w:r>
      <w:r w:rsidRPr="00097492">
        <w:t>(students and staff) from universities in Abia, Anambra, Enugu, Imo, and Ebonyi States</w:t>
      </w:r>
      <w:r w:rsidR="00BB2A12" w:rsidRPr="00097492">
        <w:t xml:space="preserve">. </w:t>
      </w:r>
      <w:r w:rsidR="00F96961" w:rsidRPr="00097492">
        <w:t xml:space="preserve">To ensure regional representation and </w:t>
      </w:r>
      <w:r w:rsidR="00F96961" w:rsidRPr="00097492">
        <w:rPr>
          <w:bCs/>
        </w:rPr>
        <w:t>institutional balance</w:t>
      </w:r>
      <w:r w:rsidR="00F96961" w:rsidRPr="00097492">
        <w:t xml:space="preserve"> in analyzing the effect of inclusive infrastructure across Southeast Nigeria equal participant contribution from each </w:t>
      </w:r>
      <w:r w:rsidR="00F96961" w:rsidRPr="00097492">
        <w:rPr>
          <w:bCs/>
        </w:rPr>
        <w:t>state</w:t>
      </w:r>
      <w:r w:rsidR="00F96961" w:rsidRPr="00097492">
        <w:t xml:space="preserve"> (40 respondents) and each </w:t>
      </w:r>
      <w:r w:rsidR="00F96961" w:rsidRPr="00097492">
        <w:rPr>
          <w:bCs/>
        </w:rPr>
        <w:t>institution</w:t>
      </w:r>
      <w:r w:rsidR="00425330" w:rsidRPr="00097492">
        <w:t xml:space="preserve"> (20 respondents) were</w:t>
      </w:r>
      <w:r w:rsidR="00F96961" w:rsidRPr="00097492">
        <w:t xml:space="preserve"> sampled.</w:t>
      </w:r>
      <w:r w:rsidR="00BB2A12" w:rsidRPr="00097492">
        <w:t xml:space="preserve"> </w:t>
      </w:r>
      <w:r w:rsidRPr="00097492">
        <w:t>Participants were selected u</w:t>
      </w:r>
      <w:r w:rsidR="00F96961" w:rsidRPr="00097492">
        <w:t>sing stratified random sampling.</w:t>
      </w:r>
      <w:r w:rsidRPr="00097492">
        <w:t xml:space="preserve"> </w:t>
      </w:r>
      <w:r w:rsidR="00F96961" w:rsidRPr="00097492">
        <w:t xml:space="preserve">From each of the five (5) states two (2) universities were </w:t>
      </w:r>
      <w:r w:rsidR="0034271D" w:rsidRPr="00097492">
        <w:t xml:space="preserve">randomly </w:t>
      </w:r>
      <w:r w:rsidR="00F96961" w:rsidRPr="00097492">
        <w:t>selected and from each institution</w:t>
      </w:r>
      <w:r w:rsidR="0034271D" w:rsidRPr="00097492">
        <w:t xml:space="preserve"> 20 library users</w:t>
      </w:r>
      <w:r w:rsidR="0056296C" w:rsidRPr="00097492">
        <w:t xml:space="preserve"> were </w:t>
      </w:r>
      <w:r w:rsidR="0034271D" w:rsidRPr="00097492">
        <w:t xml:space="preserve">randomly </w:t>
      </w:r>
      <w:r w:rsidR="0056296C" w:rsidRPr="00097492">
        <w:t xml:space="preserve">selected and later categorized according to </w:t>
      </w:r>
      <w:r w:rsidR="007A66F5" w:rsidRPr="00097492">
        <w:t>gender</w:t>
      </w:r>
      <w:r w:rsidR="0056296C" w:rsidRPr="00097492">
        <w:t xml:space="preserve"> disability status and their different roles</w:t>
      </w:r>
      <w:r w:rsidR="007A66F5" w:rsidRPr="00097492">
        <w:t xml:space="preserve"> in the universities</w:t>
      </w:r>
      <w:r w:rsidR="0056296C" w:rsidRPr="00097492">
        <w:t xml:space="preserve"> </w:t>
      </w:r>
      <w:r w:rsidR="004F4F55" w:rsidRPr="00097492">
        <w:t>this</w:t>
      </w:r>
      <w:r w:rsidR="0056296C" w:rsidRPr="00097492">
        <w:t xml:space="preserve"> gave a total population of 200 respondents.</w:t>
      </w:r>
    </w:p>
    <w:p w:rsidR="00BB2A12" w:rsidRPr="00097492" w:rsidRDefault="0047599E" w:rsidP="00BB2A12">
      <w:pPr>
        <w:pStyle w:val="NormalWeb"/>
        <w:jc w:val="both"/>
      </w:pPr>
      <w:r w:rsidRPr="00097492">
        <w:t>A structured questionnaire measured:</w:t>
      </w:r>
      <w:r w:rsidR="00BB2A12" w:rsidRPr="00097492">
        <w:t xml:space="preserve"> </w:t>
      </w:r>
      <w:r w:rsidRPr="00097492">
        <w:rPr>
          <w:rStyle w:val="Strong"/>
        </w:rPr>
        <w:t>Section A</w:t>
      </w:r>
      <w:r w:rsidR="000E79A1" w:rsidRPr="00097492">
        <w:t>: Demographic pattern of library usage</w:t>
      </w:r>
      <w:r w:rsidR="007A66F5" w:rsidRPr="00097492">
        <w:t xml:space="preserve"> showing gender distribution, roles of participants in the university, and disability status of participants in the different state institutions.</w:t>
      </w:r>
      <w:r w:rsidR="00BB2A12" w:rsidRPr="00097492">
        <w:t xml:space="preserve"> </w:t>
      </w:r>
      <w:r w:rsidRPr="00097492">
        <w:rPr>
          <w:rStyle w:val="Strong"/>
        </w:rPr>
        <w:t>Section B</w:t>
      </w:r>
      <w:r w:rsidR="009D7C38" w:rsidRPr="00097492">
        <w:t xml:space="preserve">: Infrastructure availability using </w:t>
      </w:r>
      <w:r w:rsidRPr="00097492">
        <w:t>Likert</w:t>
      </w:r>
      <w:r w:rsidR="009D7C38" w:rsidRPr="00097492">
        <w:t xml:space="preserve"> scale</w:t>
      </w:r>
      <w:r w:rsidRPr="00097492">
        <w:t xml:space="preserve"> </w:t>
      </w:r>
      <w:r w:rsidR="001600E5" w:rsidRPr="00097492">
        <w:t xml:space="preserve">of </w:t>
      </w:r>
      <w:r w:rsidRPr="00097492">
        <w:t>1–5</w:t>
      </w:r>
      <w:r w:rsidR="001600E5" w:rsidRPr="00097492">
        <w:t>: 1 = very low; 2 = low; 3 = moderate; 4 = High; 5 = very High</w:t>
      </w:r>
      <w:r w:rsidRPr="00097492">
        <w:t>)</w:t>
      </w:r>
      <w:r w:rsidR="00BB2A12" w:rsidRPr="00097492">
        <w:t xml:space="preserve"> </w:t>
      </w:r>
      <w:r w:rsidRPr="00097492">
        <w:rPr>
          <w:rStyle w:val="Strong"/>
        </w:rPr>
        <w:t>Section C</w:t>
      </w:r>
      <w:r w:rsidR="00952E86" w:rsidRPr="00097492">
        <w:t>: Usage patterns (visits and</w:t>
      </w:r>
      <w:r w:rsidRPr="00097492">
        <w:t xml:space="preserve"> duration</w:t>
      </w:r>
      <w:r w:rsidR="00952E86" w:rsidRPr="00097492">
        <w:t xml:space="preserve"> of visits</w:t>
      </w:r>
      <w:r w:rsidRPr="00097492">
        <w:t>),</w:t>
      </w:r>
      <w:r w:rsidR="00BB2A12" w:rsidRPr="00097492">
        <w:t xml:space="preserve"> </w:t>
      </w:r>
      <w:r w:rsidRPr="00097492">
        <w:rPr>
          <w:rStyle w:val="Strong"/>
        </w:rPr>
        <w:t>Section D</w:t>
      </w:r>
      <w:r w:rsidRPr="00097492">
        <w:t>: Perceived ease and usefulness.</w:t>
      </w:r>
      <w:r w:rsidR="00BB2A12" w:rsidRPr="00097492">
        <w:t xml:space="preserve"> Data were analyzed in SPSS version 25 using descriptive statistics. Pearson correlation with values between -1 and 1that measures the strength and direction of relationship between two variables (infrastructure and visits per week or duration of each visit), and multiple regressions (that tests the relationship between two or more variables) for predicting patronage based on infrastructure dimensions were employed.</w:t>
      </w:r>
    </w:p>
    <w:p w:rsidR="0047599E" w:rsidRPr="00097492" w:rsidRDefault="0047599E" w:rsidP="00BB2A12">
      <w:pPr>
        <w:pStyle w:val="NormalWeb"/>
        <w:jc w:val="both"/>
      </w:pPr>
    </w:p>
    <w:p w:rsidR="0047599E" w:rsidRPr="00097492" w:rsidRDefault="00F6011F" w:rsidP="00950369">
      <w:pPr>
        <w:pStyle w:val="NormalWeb"/>
        <w:jc w:val="both"/>
      </w:pPr>
      <w:r w:rsidRPr="00097492">
        <w:rPr>
          <w:b/>
        </w:rPr>
        <w:lastRenderedPageBreak/>
        <w:t>Pilot survey:</w:t>
      </w:r>
      <w:r w:rsidR="002654DF" w:rsidRPr="00097492">
        <w:rPr>
          <w:b/>
        </w:rPr>
        <w:t xml:space="preserve"> </w:t>
      </w:r>
      <w:r w:rsidR="007C15FC" w:rsidRPr="00097492">
        <w:t>Pilot survey of the study was carr</w:t>
      </w:r>
      <w:r w:rsidR="00193F7A" w:rsidRPr="00097492">
        <w:t>ied out at Kogi state university, Anyingba, Kogi state. Kogi Sta</w:t>
      </w:r>
      <w:r w:rsidR="008A1D70" w:rsidRPr="00097492">
        <w:t>t</w:t>
      </w:r>
      <w:r w:rsidR="00193F7A" w:rsidRPr="00097492">
        <w:t>e was chosen because it is in the same geographical zone with the study areas and shares boundaries with</w:t>
      </w:r>
      <w:r w:rsidR="008A1D70" w:rsidRPr="00097492">
        <w:t xml:space="preserve"> two</w:t>
      </w:r>
      <w:r w:rsidR="00193F7A" w:rsidRPr="00097492">
        <w:t xml:space="preserve"> of the study areas </w:t>
      </w:r>
      <w:r w:rsidR="008A1D70" w:rsidRPr="00097492">
        <w:t>–</w:t>
      </w:r>
      <w:r w:rsidR="00193F7A" w:rsidRPr="00097492">
        <w:t xml:space="preserve"> Enu</w:t>
      </w:r>
      <w:r w:rsidR="009D6B67" w:rsidRPr="00097492">
        <w:t>gu</w:t>
      </w:r>
      <w:r w:rsidR="008A1D70" w:rsidRPr="00097492">
        <w:t xml:space="preserve"> and Anambra</w:t>
      </w:r>
      <w:r w:rsidR="009D6B67" w:rsidRPr="00097492">
        <w:t xml:space="preserve"> state</w:t>
      </w:r>
      <w:r w:rsidR="008A1D70" w:rsidRPr="00097492">
        <w:t>s</w:t>
      </w:r>
      <w:r w:rsidR="00193F7A" w:rsidRPr="00097492">
        <w:t xml:space="preserve">. </w:t>
      </w:r>
      <w:r w:rsidR="00BC1424" w:rsidRPr="00097492">
        <w:t>Participants for the pilot survey comprise</w:t>
      </w:r>
      <w:r w:rsidR="00B9658D" w:rsidRPr="00097492">
        <w:t xml:space="preserve"> 20 ran</w:t>
      </w:r>
      <w:r w:rsidR="001F6DF7" w:rsidRPr="00097492">
        <w:t xml:space="preserve">domly selected </w:t>
      </w:r>
      <w:r w:rsidR="00193F7A" w:rsidRPr="00097492">
        <w:t>staff and students</w:t>
      </w:r>
      <w:r w:rsidR="001F6DF7" w:rsidRPr="00097492">
        <w:t xml:space="preserve"> </w:t>
      </w:r>
      <w:r w:rsidR="00C91034" w:rsidRPr="00097492">
        <w:t xml:space="preserve">of the institution </w:t>
      </w:r>
      <w:r w:rsidR="001F6DF7" w:rsidRPr="00097492">
        <w:t>that are library users</w:t>
      </w:r>
      <w:r w:rsidR="00193F7A" w:rsidRPr="00097492">
        <w:t xml:space="preserve">. </w:t>
      </w:r>
      <w:r w:rsidR="00F200AB" w:rsidRPr="00097492">
        <w:t xml:space="preserve">Cronbach’s alpha reliability </w:t>
      </w:r>
      <w:r w:rsidR="00E23679" w:rsidRPr="00097492">
        <w:t>p</w:t>
      </w:r>
      <w:r w:rsidR="0047599E" w:rsidRPr="00097492">
        <w:t>ilot testing (n=20)</w:t>
      </w:r>
      <w:r w:rsidR="00F200AB" w:rsidRPr="00097492">
        <w:t xml:space="preserve"> was applied to test the internal consistency of the items in the pilot survey, where a common interp</w:t>
      </w:r>
      <w:r w:rsidR="00E47877" w:rsidRPr="00097492">
        <w:t>re</w:t>
      </w:r>
      <w:r w:rsidR="00F200AB" w:rsidRPr="00097492">
        <w:t xml:space="preserve">tation is excellent (≥ 0.90), good (0.800 -0.89), acceptable (0.700 – 0.79), questionable (0.600 </w:t>
      </w:r>
      <w:r w:rsidR="00E47877" w:rsidRPr="00097492">
        <w:t>-</w:t>
      </w:r>
      <w:r w:rsidR="00F200AB" w:rsidRPr="00097492">
        <w:t xml:space="preserve"> 0.69)</w:t>
      </w:r>
      <w:r w:rsidR="00E47877" w:rsidRPr="00097492">
        <w:t xml:space="preserve">, and poor (˂ 0.60). The result </w:t>
      </w:r>
      <w:r w:rsidR="0047599E" w:rsidRPr="00097492">
        <w:t xml:space="preserve">yielded </w:t>
      </w:r>
      <w:r w:rsidR="00E47877" w:rsidRPr="00097492">
        <w:t xml:space="preserve">good </w:t>
      </w:r>
      <w:r w:rsidR="0047599E" w:rsidRPr="00097492">
        <w:t>reliability: Cronbach’s α = .89.</w:t>
      </w:r>
    </w:p>
    <w:p w:rsidR="0047599E" w:rsidRPr="00097492" w:rsidRDefault="0047599E" w:rsidP="00097492">
      <w:pPr>
        <w:pStyle w:val="Heading3"/>
        <w:jc w:val="both"/>
        <w:rPr>
          <w:sz w:val="24"/>
          <w:szCs w:val="24"/>
        </w:rPr>
      </w:pPr>
      <w:r w:rsidRPr="00097492">
        <w:rPr>
          <w:sz w:val="24"/>
          <w:szCs w:val="24"/>
        </w:rPr>
        <w:t>Data Analysis</w:t>
      </w:r>
    </w:p>
    <w:p w:rsidR="0047599E" w:rsidRPr="00097492" w:rsidRDefault="0047599E" w:rsidP="00097492">
      <w:pPr>
        <w:pStyle w:val="Heading2"/>
        <w:jc w:val="both"/>
        <w:rPr>
          <w:sz w:val="24"/>
          <w:szCs w:val="24"/>
        </w:rPr>
      </w:pPr>
      <w:r w:rsidRPr="00097492">
        <w:rPr>
          <w:rStyle w:val="Strong"/>
          <w:b/>
          <w:bCs/>
          <w:sz w:val="24"/>
          <w:szCs w:val="24"/>
        </w:rPr>
        <w:t xml:space="preserve"> Demographic Profile of </w:t>
      </w:r>
      <w:r w:rsidR="008A2053" w:rsidRPr="00097492">
        <w:rPr>
          <w:rStyle w:val="Strong"/>
          <w:b/>
          <w:bCs/>
          <w:sz w:val="24"/>
          <w:szCs w:val="24"/>
        </w:rPr>
        <w:t>Library users</w:t>
      </w:r>
    </w:p>
    <w:p w:rsidR="00233C07" w:rsidRPr="00097492" w:rsidRDefault="0047599E" w:rsidP="00097492">
      <w:pPr>
        <w:spacing w:before="100" w:beforeAutospacing="1" w:after="100" w:afterAutospacing="1" w:line="240" w:lineRule="auto"/>
        <w:jc w:val="both"/>
        <w:outlineLvl w:val="2"/>
        <w:rPr>
          <w:rFonts w:ascii="Times New Roman" w:eastAsia="Times New Roman" w:hAnsi="Times New Roman"/>
          <w:bCs/>
          <w:sz w:val="24"/>
          <w:szCs w:val="24"/>
        </w:rPr>
      </w:pPr>
      <w:r w:rsidRPr="00097492">
        <w:rPr>
          <w:rFonts w:ascii="Times New Roman" w:eastAsia="Times New Roman" w:hAnsi="Times New Roman"/>
          <w:bCs/>
          <w:sz w:val="24"/>
          <w:szCs w:val="24"/>
        </w:rPr>
        <w:t>Table 1: Demographic Profile of Respondents (N = 200)</w:t>
      </w:r>
    </w:p>
    <w:tbl>
      <w:tblPr>
        <w:tblW w:w="0" w:type="auto"/>
        <w:tblInd w:w="108" w:type="dxa"/>
        <w:tblBorders>
          <w:top w:val="single" w:sz="4" w:space="0" w:color="auto"/>
          <w:bottom w:val="single" w:sz="4" w:space="0" w:color="auto"/>
        </w:tblBorders>
        <w:tblLook w:val="04A0"/>
      </w:tblPr>
      <w:tblGrid>
        <w:gridCol w:w="2286"/>
        <w:gridCol w:w="2394"/>
        <w:gridCol w:w="1557"/>
        <w:gridCol w:w="1560"/>
      </w:tblGrid>
      <w:tr w:rsidR="002957FF" w:rsidRPr="00097492" w:rsidTr="00E72C1E">
        <w:tc>
          <w:tcPr>
            <w:tcW w:w="2286" w:type="dxa"/>
            <w:tcBorders>
              <w:top w:val="single" w:sz="4" w:space="0" w:color="auto"/>
              <w:bottom w:val="single" w:sz="4" w:space="0" w:color="auto"/>
            </w:tcBorders>
            <w:vAlign w:val="center"/>
          </w:tcPr>
          <w:p w:rsidR="00233C07" w:rsidRPr="00097492" w:rsidRDefault="00233C07" w:rsidP="00E72C1E">
            <w:pPr>
              <w:spacing w:after="0" w:line="240" w:lineRule="auto"/>
              <w:jc w:val="both"/>
              <w:rPr>
                <w:rFonts w:ascii="Times New Roman" w:eastAsia="Times New Roman" w:hAnsi="Times New Roman"/>
                <w:b/>
                <w:bCs/>
                <w:sz w:val="24"/>
                <w:szCs w:val="24"/>
              </w:rPr>
            </w:pPr>
            <w:r w:rsidRPr="00097492">
              <w:rPr>
                <w:rFonts w:ascii="Times New Roman" w:eastAsia="Times New Roman" w:hAnsi="Times New Roman"/>
                <w:b/>
                <w:bCs/>
                <w:sz w:val="24"/>
                <w:szCs w:val="24"/>
              </w:rPr>
              <w:t>Demographic Variable</w:t>
            </w:r>
          </w:p>
        </w:tc>
        <w:tc>
          <w:tcPr>
            <w:tcW w:w="2394" w:type="dxa"/>
            <w:tcBorders>
              <w:top w:val="single" w:sz="4" w:space="0" w:color="auto"/>
              <w:bottom w:val="single" w:sz="4" w:space="0" w:color="auto"/>
            </w:tcBorders>
            <w:vAlign w:val="center"/>
          </w:tcPr>
          <w:p w:rsidR="00233C07" w:rsidRPr="00097492" w:rsidRDefault="00233C07" w:rsidP="00E72C1E">
            <w:pPr>
              <w:spacing w:after="0" w:line="240" w:lineRule="auto"/>
              <w:jc w:val="both"/>
              <w:rPr>
                <w:rFonts w:ascii="Times New Roman" w:eastAsia="Times New Roman" w:hAnsi="Times New Roman"/>
                <w:b/>
                <w:bCs/>
                <w:sz w:val="24"/>
                <w:szCs w:val="24"/>
              </w:rPr>
            </w:pPr>
            <w:r w:rsidRPr="00097492">
              <w:rPr>
                <w:rFonts w:ascii="Times New Roman" w:eastAsia="Times New Roman" w:hAnsi="Times New Roman"/>
                <w:b/>
                <w:bCs/>
                <w:sz w:val="24"/>
                <w:szCs w:val="24"/>
              </w:rPr>
              <w:t>Category</w:t>
            </w:r>
          </w:p>
        </w:tc>
        <w:tc>
          <w:tcPr>
            <w:tcW w:w="1557" w:type="dxa"/>
            <w:tcBorders>
              <w:top w:val="single" w:sz="4" w:space="0" w:color="auto"/>
              <w:bottom w:val="single" w:sz="4" w:space="0" w:color="auto"/>
            </w:tcBorders>
            <w:vAlign w:val="center"/>
          </w:tcPr>
          <w:p w:rsidR="00233C07" w:rsidRPr="00097492" w:rsidRDefault="00233C07" w:rsidP="00E72C1E">
            <w:pPr>
              <w:spacing w:after="0" w:line="240" w:lineRule="auto"/>
              <w:jc w:val="both"/>
              <w:rPr>
                <w:rFonts w:ascii="Times New Roman" w:eastAsia="Times New Roman" w:hAnsi="Times New Roman"/>
                <w:b/>
                <w:bCs/>
                <w:sz w:val="24"/>
                <w:szCs w:val="24"/>
              </w:rPr>
            </w:pPr>
            <w:r w:rsidRPr="00097492">
              <w:rPr>
                <w:rFonts w:ascii="Times New Roman" w:eastAsia="Times New Roman" w:hAnsi="Times New Roman"/>
                <w:b/>
                <w:bCs/>
                <w:sz w:val="24"/>
                <w:szCs w:val="24"/>
              </w:rPr>
              <w:t>Frequency (n)</w:t>
            </w:r>
          </w:p>
        </w:tc>
        <w:tc>
          <w:tcPr>
            <w:tcW w:w="1560" w:type="dxa"/>
            <w:tcBorders>
              <w:top w:val="single" w:sz="4" w:space="0" w:color="auto"/>
              <w:bottom w:val="single" w:sz="4" w:space="0" w:color="auto"/>
            </w:tcBorders>
            <w:vAlign w:val="center"/>
          </w:tcPr>
          <w:p w:rsidR="00233C07" w:rsidRPr="00097492" w:rsidRDefault="00233C07" w:rsidP="00E72C1E">
            <w:pPr>
              <w:spacing w:after="0" w:line="240" w:lineRule="auto"/>
              <w:jc w:val="both"/>
              <w:rPr>
                <w:rFonts w:ascii="Times New Roman" w:eastAsia="Times New Roman" w:hAnsi="Times New Roman"/>
                <w:b/>
                <w:bCs/>
                <w:sz w:val="24"/>
                <w:szCs w:val="24"/>
              </w:rPr>
            </w:pPr>
            <w:r w:rsidRPr="00097492">
              <w:rPr>
                <w:rFonts w:ascii="Times New Roman" w:eastAsia="Times New Roman" w:hAnsi="Times New Roman"/>
                <w:b/>
                <w:bCs/>
                <w:sz w:val="24"/>
                <w:szCs w:val="24"/>
              </w:rPr>
              <w:t>Percentage (%)</w:t>
            </w:r>
          </w:p>
        </w:tc>
      </w:tr>
      <w:tr w:rsidR="002957FF" w:rsidRPr="00097492" w:rsidTr="00E72C1E">
        <w:tc>
          <w:tcPr>
            <w:tcW w:w="2286" w:type="dxa"/>
            <w:tcBorders>
              <w:top w:val="single" w:sz="4" w:space="0" w:color="auto"/>
            </w:tcBorders>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b/>
                <w:bCs/>
                <w:sz w:val="24"/>
                <w:szCs w:val="24"/>
              </w:rPr>
              <w:t>Gender</w:t>
            </w:r>
          </w:p>
        </w:tc>
        <w:tc>
          <w:tcPr>
            <w:tcW w:w="2394" w:type="dxa"/>
            <w:tcBorders>
              <w:top w:val="single" w:sz="4" w:space="0" w:color="auto"/>
            </w:tcBorders>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Male</w:t>
            </w:r>
          </w:p>
        </w:tc>
        <w:tc>
          <w:tcPr>
            <w:tcW w:w="1557" w:type="dxa"/>
            <w:tcBorders>
              <w:top w:val="single" w:sz="4" w:space="0" w:color="auto"/>
            </w:tcBorders>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108</w:t>
            </w:r>
          </w:p>
        </w:tc>
        <w:tc>
          <w:tcPr>
            <w:tcW w:w="1560" w:type="dxa"/>
            <w:tcBorders>
              <w:top w:val="single" w:sz="4" w:space="0" w:color="auto"/>
            </w:tcBorders>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54%</w:t>
            </w: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p>
        </w:tc>
        <w:tc>
          <w:tcPr>
            <w:tcW w:w="2394"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Female</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92</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46%</w:t>
            </w:r>
          </w:p>
        </w:tc>
      </w:tr>
      <w:tr w:rsidR="00A4049A" w:rsidRPr="00097492" w:rsidTr="00E72C1E">
        <w:tc>
          <w:tcPr>
            <w:tcW w:w="2286" w:type="dxa"/>
            <w:vAlign w:val="center"/>
          </w:tcPr>
          <w:p w:rsidR="00A4049A" w:rsidRPr="00097492" w:rsidRDefault="003B46A0"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                        </w:t>
            </w:r>
            <w:r w:rsidR="00A4049A" w:rsidRPr="00097492">
              <w:rPr>
                <w:rFonts w:ascii="Times New Roman" w:eastAsia="Times New Roman" w:hAnsi="Times New Roman"/>
                <w:sz w:val="24"/>
                <w:szCs w:val="24"/>
              </w:rPr>
              <w:t>Total</w:t>
            </w:r>
          </w:p>
        </w:tc>
        <w:tc>
          <w:tcPr>
            <w:tcW w:w="2394"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p>
        </w:tc>
        <w:tc>
          <w:tcPr>
            <w:tcW w:w="1557"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200</w:t>
            </w:r>
          </w:p>
        </w:tc>
        <w:tc>
          <w:tcPr>
            <w:tcW w:w="1560"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b/>
                <w:bCs/>
                <w:sz w:val="24"/>
                <w:szCs w:val="24"/>
              </w:rPr>
              <w:t>Role</w:t>
            </w:r>
          </w:p>
        </w:tc>
        <w:tc>
          <w:tcPr>
            <w:tcW w:w="2394"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Student</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160</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80%</w:t>
            </w: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p>
        </w:tc>
        <w:tc>
          <w:tcPr>
            <w:tcW w:w="2394"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Staff</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40</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r>
      <w:tr w:rsidR="00A4049A" w:rsidRPr="00097492" w:rsidTr="00E72C1E">
        <w:tc>
          <w:tcPr>
            <w:tcW w:w="2286" w:type="dxa"/>
            <w:vAlign w:val="center"/>
          </w:tcPr>
          <w:p w:rsidR="00A4049A" w:rsidRPr="00097492" w:rsidRDefault="003B46A0"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                         </w:t>
            </w:r>
            <w:r w:rsidR="00A4049A" w:rsidRPr="00097492">
              <w:rPr>
                <w:rFonts w:ascii="Times New Roman" w:eastAsia="Times New Roman" w:hAnsi="Times New Roman"/>
                <w:sz w:val="24"/>
                <w:szCs w:val="24"/>
              </w:rPr>
              <w:t>Total</w:t>
            </w:r>
          </w:p>
        </w:tc>
        <w:tc>
          <w:tcPr>
            <w:tcW w:w="2394"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p>
        </w:tc>
        <w:tc>
          <w:tcPr>
            <w:tcW w:w="1557"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200</w:t>
            </w:r>
          </w:p>
        </w:tc>
        <w:tc>
          <w:tcPr>
            <w:tcW w:w="1560"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b/>
                <w:bCs/>
                <w:sz w:val="24"/>
                <w:szCs w:val="24"/>
              </w:rPr>
              <w:t>Disability Status</w:t>
            </w:r>
          </w:p>
        </w:tc>
        <w:tc>
          <w:tcPr>
            <w:tcW w:w="2394" w:type="dxa"/>
            <w:vAlign w:val="center"/>
          </w:tcPr>
          <w:p w:rsidR="00233C07" w:rsidRPr="00097492" w:rsidRDefault="00233C07" w:rsidP="002957FF">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Persons with Disabilities</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32</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16%</w:t>
            </w: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p>
        </w:tc>
        <w:tc>
          <w:tcPr>
            <w:tcW w:w="2394" w:type="dxa"/>
            <w:vAlign w:val="center"/>
          </w:tcPr>
          <w:p w:rsidR="00233C07" w:rsidRPr="00097492" w:rsidRDefault="00233C07" w:rsidP="002957FF">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Persons without Disabilities</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168</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84%</w:t>
            </w:r>
          </w:p>
        </w:tc>
      </w:tr>
      <w:tr w:rsidR="00A4049A" w:rsidRPr="00097492" w:rsidTr="00E72C1E">
        <w:tc>
          <w:tcPr>
            <w:tcW w:w="2286" w:type="dxa"/>
            <w:vAlign w:val="center"/>
          </w:tcPr>
          <w:p w:rsidR="00A4049A" w:rsidRPr="00097492" w:rsidRDefault="003B46A0"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                          </w:t>
            </w:r>
            <w:r w:rsidR="00A4049A" w:rsidRPr="00097492">
              <w:rPr>
                <w:rFonts w:ascii="Times New Roman" w:eastAsia="Times New Roman" w:hAnsi="Times New Roman"/>
                <w:sz w:val="24"/>
                <w:szCs w:val="24"/>
              </w:rPr>
              <w:t>Total</w:t>
            </w:r>
          </w:p>
        </w:tc>
        <w:tc>
          <w:tcPr>
            <w:tcW w:w="2394" w:type="dxa"/>
            <w:vAlign w:val="center"/>
          </w:tcPr>
          <w:p w:rsidR="00A4049A" w:rsidRPr="00097492" w:rsidRDefault="00A4049A" w:rsidP="002957FF">
            <w:pPr>
              <w:spacing w:after="0" w:line="240" w:lineRule="auto"/>
              <w:rPr>
                <w:rFonts w:ascii="Times New Roman" w:eastAsia="Times New Roman" w:hAnsi="Times New Roman"/>
                <w:sz w:val="24"/>
                <w:szCs w:val="24"/>
              </w:rPr>
            </w:pPr>
          </w:p>
        </w:tc>
        <w:tc>
          <w:tcPr>
            <w:tcW w:w="1557"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200</w:t>
            </w:r>
          </w:p>
        </w:tc>
        <w:tc>
          <w:tcPr>
            <w:tcW w:w="1560"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b/>
                <w:bCs/>
                <w:sz w:val="24"/>
                <w:szCs w:val="24"/>
              </w:rPr>
              <w:t>State of Institution</w:t>
            </w:r>
          </w:p>
        </w:tc>
        <w:tc>
          <w:tcPr>
            <w:tcW w:w="2394"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Abia</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40</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p>
        </w:tc>
        <w:tc>
          <w:tcPr>
            <w:tcW w:w="2394"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Anambra</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40</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p>
        </w:tc>
        <w:tc>
          <w:tcPr>
            <w:tcW w:w="2394"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Ebonyi</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40</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p>
        </w:tc>
        <w:tc>
          <w:tcPr>
            <w:tcW w:w="2394"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Enugu</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40</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r>
      <w:tr w:rsidR="002957FF" w:rsidRPr="00097492" w:rsidTr="00E72C1E">
        <w:tc>
          <w:tcPr>
            <w:tcW w:w="2286"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p>
        </w:tc>
        <w:tc>
          <w:tcPr>
            <w:tcW w:w="2394"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Imo</w:t>
            </w:r>
          </w:p>
        </w:tc>
        <w:tc>
          <w:tcPr>
            <w:tcW w:w="1557"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40</w:t>
            </w:r>
          </w:p>
        </w:tc>
        <w:tc>
          <w:tcPr>
            <w:tcW w:w="1560" w:type="dxa"/>
            <w:vAlign w:val="center"/>
          </w:tcPr>
          <w:p w:rsidR="00233C07" w:rsidRPr="00097492" w:rsidRDefault="00233C07"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r>
      <w:tr w:rsidR="00A4049A" w:rsidRPr="00097492" w:rsidTr="00E72C1E">
        <w:tc>
          <w:tcPr>
            <w:tcW w:w="2286" w:type="dxa"/>
            <w:vAlign w:val="center"/>
          </w:tcPr>
          <w:p w:rsidR="00A4049A" w:rsidRPr="00097492" w:rsidRDefault="003B46A0"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                          </w:t>
            </w:r>
            <w:r w:rsidR="00A4049A" w:rsidRPr="00097492">
              <w:rPr>
                <w:rFonts w:ascii="Times New Roman" w:eastAsia="Times New Roman" w:hAnsi="Times New Roman"/>
                <w:sz w:val="24"/>
                <w:szCs w:val="24"/>
              </w:rPr>
              <w:t>Total</w:t>
            </w:r>
          </w:p>
        </w:tc>
        <w:tc>
          <w:tcPr>
            <w:tcW w:w="2394"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p>
        </w:tc>
        <w:tc>
          <w:tcPr>
            <w:tcW w:w="1557"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200</w:t>
            </w:r>
          </w:p>
        </w:tc>
        <w:tc>
          <w:tcPr>
            <w:tcW w:w="1560" w:type="dxa"/>
            <w:vAlign w:val="center"/>
          </w:tcPr>
          <w:p w:rsidR="00A4049A" w:rsidRPr="00097492" w:rsidRDefault="00A4049A" w:rsidP="00E72C1E">
            <w:pPr>
              <w:spacing w:after="0" w:line="240" w:lineRule="auto"/>
              <w:jc w:val="both"/>
              <w:rPr>
                <w:rFonts w:ascii="Times New Roman" w:eastAsia="Times New Roman" w:hAnsi="Times New Roman"/>
                <w:sz w:val="24"/>
                <w:szCs w:val="24"/>
              </w:rPr>
            </w:pPr>
          </w:p>
        </w:tc>
      </w:tr>
    </w:tbl>
    <w:p w:rsidR="00233C07" w:rsidRPr="00097492" w:rsidRDefault="00616C20" w:rsidP="00616C20">
      <w:pPr>
        <w:pStyle w:val="NormalWeb"/>
        <w:jc w:val="both"/>
      </w:pPr>
      <w:r w:rsidRPr="00097492">
        <w:t>Respondents included 54% male, 46% female, mostly students (80%), with 16% identifying as having a disability (visual or mobility).</w:t>
      </w:r>
    </w:p>
    <w:p w:rsidR="0047599E" w:rsidRPr="00097492" w:rsidRDefault="0047599E" w:rsidP="00950369">
      <w:pPr>
        <w:numPr>
          <w:ilvl w:val="0"/>
          <w:numId w:val="3"/>
        </w:num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Gender distribution is relatively balanced, with a slight male majority.</w:t>
      </w:r>
    </w:p>
    <w:p w:rsidR="0047599E" w:rsidRPr="00097492" w:rsidRDefault="0047599E" w:rsidP="00950369">
      <w:pPr>
        <w:numPr>
          <w:ilvl w:val="0"/>
          <w:numId w:val="3"/>
        </w:num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The majority of respondents are </w:t>
      </w:r>
      <w:r w:rsidRPr="00097492">
        <w:rPr>
          <w:rFonts w:ascii="Times New Roman" w:eastAsia="Times New Roman" w:hAnsi="Times New Roman"/>
          <w:bCs/>
          <w:sz w:val="24"/>
          <w:szCs w:val="24"/>
        </w:rPr>
        <w:t>students (80%)</w:t>
      </w:r>
      <w:r w:rsidRPr="00097492">
        <w:rPr>
          <w:rFonts w:ascii="Times New Roman" w:eastAsia="Times New Roman" w:hAnsi="Times New Roman"/>
          <w:sz w:val="24"/>
          <w:szCs w:val="24"/>
        </w:rPr>
        <w:t>, reflecting their dominant presence in university libraries</w:t>
      </w:r>
      <w:r w:rsidR="00507A5C" w:rsidRPr="00097492">
        <w:rPr>
          <w:rFonts w:ascii="Times New Roman" w:eastAsia="Times New Roman" w:hAnsi="Times New Roman"/>
          <w:sz w:val="24"/>
          <w:szCs w:val="24"/>
        </w:rPr>
        <w:t xml:space="preserve"> with only 20</w:t>
      </w:r>
      <w:r w:rsidR="009F6F03" w:rsidRPr="00097492">
        <w:rPr>
          <w:rFonts w:ascii="Times New Roman" w:eastAsia="Times New Roman" w:hAnsi="Times New Roman"/>
          <w:sz w:val="24"/>
          <w:szCs w:val="24"/>
        </w:rPr>
        <w:t>% as staff</w:t>
      </w:r>
      <w:r w:rsidRPr="00097492">
        <w:rPr>
          <w:rFonts w:ascii="Times New Roman" w:eastAsia="Times New Roman" w:hAnsi="Times New Roman"/>
          <w:sz w:val="24"/>
          <w:szCs w:val="24"/>
        </w:rPr>
        <w:t>.</w:t>
      </w:r>
    </w:p>
    <w:p w:rsidR="0047599E" w:rsidRPr="00097492" w:rsidRDefault="0047599E" w:rsidP="00950369">
      <w:pPr>
        <w:numPr>
          <w:ilvl w:val="0"/>
          <w:numId w:val="3"/>
        </w:num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bCs/>
          <w:sz w:val="24"/>
          <w:szCs w:val="24"/>
        </w:rPr>
        <w:t>16% are persons with disabilities</w:t>
      </w:r>
      <w:r w:rsidRPr="00097492">
        <w:rPr>
          <w:rFonts w:ascii="Times New Roman" w:eastAsia="Times New Roman" w:hAnsi="Times New Roman"/>
          <w:sz w:val="24"/>
          <w:szCs w:val="24"/>
        </w:rPr>
        <w:t>, which is significant for studies focused on inclusivity.</w:t>
      </w:r>
    </w:p>
    <w:p w:rsidR="00C12DC5" w:rsidRPr="00097492" w:rsidRDefault="0047599E" w:rsidP="00950369">
      <w:pPr>
        <w:numPr>
          <w:ilvl w:val="0"/>
          <w:numId w:val="3"/>
        </w:num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Equal representation from each of the five Southeastern states provides </w:t>
      </w:r>
      <w:r w:rsidRPr="00097492">
        <w:rPr>
          <w:rFonts w:ascii="Times New Roman" w:eastAsia="Times New Roman" w:hAnsi="Times New Roman"/>
          <w:bCs/>
          <w:sz w:val="24"/>
          <w:szCs w:val="24"/>
        </w:rPr>
        <w:t>regional balance</w:t>
      </w:r>
      <w:r w:rsidRPr="00097492">
        <w:rPr>
          <w:rFonts w:ascii="Times New Roman" w:eastAsia="Times New Roman" w:hAnsi="Times New Roman"/>
          <w:sz w:val="24"/>
          <w:szCs w:val="24"/>
        </w:rPr>
        <w:t xml:space="preserve"> </w:t>
      </w:r>
      <w:r w:rsidR="00616C20" w:rsidRPr="00097492">
        <w:rPr>
          <w:rFonts w:ascii="Times New Roman" w:eastAsia="Times New Roman" w:hAnsi="Times New Roman"/>
          <w:sz w:val="24"/>
          <w:szCs w:val="24"/>
        </w:rPr>
        <w:t>and increases the general outlook</w:t>
      </w:r>
      <w:r w:rsidRPr="00097492">
        <w:rPr>
          <w:rFonts w:ascii="Times New Roman" w:eastAsia="Times New Roman" w:hAnsi="Times New Roman"/>
          <w:sz w:val="24"/>
          <w:szCs w:val="24"/>
        </w:rPr>
        <w:t xml:space="preserve"> of the findings within the region.</w:t>
      </w:r>
    </w:p>
    <w:p w:rsidR="00A632AA" w:rsidRPr="00097492" w:rsidRDefault="00A632AA" w:rsidP="00950369">
      <w:pPr>
        <w:pStyle w:val="ListParagraph"/>
        <w:spacing w:before="100" w:beforeAutospacing="1" w:after="100" w:afterAutospacing="1" w:line="240" w:lineRule="auto"/>
        <w:ind w:hanging="720"/>
        <w:jc w:val="both"/>
        <w:outlineLvl w:val="2"/>
        <w:rPr>
          <w:rFonts w:ascii="Times New Roman" w:eastAsia="Times New Roman" w:hAnsi="Times New Roman"/>
          <w:b/>
          <w:bCs/>
          <w:sz w:val="24"/>
          <w:szCs w:val="24"/>
        </w:rPr>
      </w:pPr>
    </w:p>
    <w:p w:rsidR="00C12DC5" w:rsidRPr="00097492" w:rsidRDefault="00C12DC5" w:rsidP="00950369">
      <w:pPr>
        <w:pStyle w:val="ListParagraph"/>
        <w:spacing w:before="100" w:beforeAutospacing="1" w:after="100" w:afterAutospacing="1" w:line="240" w:lineRule="auto"/>
        <w:ind w:hanging="720"/>
        <w:jc w:val="both"/>
        <w:outlineLvl w:val="2"/>
        <w:rPr>
          <w:rFonts w:ascii="Times New Roman" w:eastAsia="Times New Roman" w:hAnsi="Times New Roman"/>
          <w:b/>
          <w:bCs/>
          <w:sz w:val="24"/>
          <w:szCs w:val="24"/>
        </w:rPr>
      </w:pPr>
      <w:r w:rsidRPr="00097492">
        <w:rPr>
          <w:rFonts w:ascii="Times New Roman" w:eastAsia="Times New Roman" w:hAnsi="Times New Roman"/>
          <w:b/>
          <w:bCs/>
          <w:sz w:val="24"/>
          <w:szCs w:val="24"/>
        </w:rPr>
        <w:lastRenderedPageBreak/>
        <w:t xml:space="preserve"> Distribution of Participants by State and Institution (N = 200)</w:t>
      </w:r>
    </w:p>
    <w:p w:rsidR="002B37D4" w:rsidRPr="00097492" w:rsidRDefault="0047599E" w:rsidP="00950369">
      <w:pPr>
        <w:spacing w:before="100" w:beforeAutospacing="1" w:after="100" w:afterAutospacing="1" w:line="240" w:lineRule="auto"/>
        <w:jc w:val="both"/>
        <w:outlineLvl w:val="2"/>
        <w:rPr>
          <w:rFonts w:ascii="Times New Roman" w:eastAsia="Times New Roman" w:hAnsi="Times New Roman"/>
          <w:b/>
          <w:bCs/>
          <w:sz w:val="24"/>
          <w:szCs w:val="24"/>
        </w:rPr>
      </w:pPr>
      <w:r w:rsidRPr="00097492">
        <w:rPr>
          <w:rFonts w:ascii="Times New Roman" w:eastAsia="Times New Roman" w:hAnsi="Times New Roman"/>
          <w:b/>
          <w:bCs/>
          <w:sz w:val="24"/>
          <w:szCs w:val="24"/>
        </w:rPr>
        <w:t>Table 2: Distribution of Participants by State and Institution (N = 200)</w:t>
      </w:r>
    </w:p>
    <w:tbl>
      <w:tblPr>
        <w:tblW w:w="0" w:type="auto"/>
        <w:tblBorders>
          <w:top w:val="single" w:sz="4" w:space="0" w:color="auto"/>
          <w:bottom w:val="single" w:sz="4" w:space="0" w:color="auto"/>
        </w:tblBorders>
        <w:tblLook w:val="04A0"/>
      </w:tblPr>
      <w:tblGrid>
        <w:gridCol w:w="2394"/>
        <w:gridCol w:w="3526"/>
        <w:gridCol w:w="1843"/>
        <w:gridCol w:w="1813"/>
      </w:tblGrid>
      <w:tr w:rsidR="002957FF" w:rsidRPr="00097492" w:rsidTr="00E72C1E">
        <w:tc>
          <w:tcPr>
            <w:tcW w:w="2394" w:type="dxa"/>
            <w:tcBorders>
              <w:top w:val="single" w:sz="4" w:space="0" w:color="auto"/>
              <w:bottom w:val="single" w:sz="4" w:space="0" w:color="auto"/>
            </w:tcBorders>
            <w:vAlign w:val="center"/>
          </w:tcPr>
          <w:p w:rsidR="002B37D4" w:rsidRPr="00097492" w:rsidRDefault="002B37D4" w:rsidP="00E72C1E">
            <w:pPr>
              <w:spacing w:after="0" w:line="240" w:lineRule="auto"/>
              <w:jc w:val="both"/>
              <w:rPr>
                <w:rFonts w:ascii="Times New Roman" w:eastAsia="Times New Roman" w:hAnsi="Times New Roman"/>
                <w:b/>
                <w:bCs/>
                <w:sz w:val="24"/>
                <w:szCs w:val="24"/>
              </w:rPr>
            </w:pPr>
            <w:r w:rsidRPr="00097492">
              <w:rPr>
                <w:rFonts w:ascii="Times New Roman" w:eastAsia="Times New Roman" w:hAnsi="Times New Roman"/>
                <w:b/>
                <w:bCs/>
                <w:sz w:val="24"/>
                <w:szCs w:val="24"/>
              </w:rPr>
              <w:t>State</w:t>
            </w:r>
          </w:p>
        </w:tc>
        <w:tc>
          <w:tcPr>
            <w:tcW w:w="3526" w:type="dxa"/>
            <w:tcBorders>
              <w:top w:val="single" w:sz="4" w:space="0" w:color="auto"/>
              <w:bottom w:val="single" w:sz="4" w:space="0" w:color="auto"/>
            </w:tcBorders>
            <w:vAlign w:val="center"/>
          </w:tcPr>
          <w:p w:rsidR="002B37D4" w:rsidRPr="00097492" w:rsidRDefault="002B37D4" w:rsidP="00E72C1E">
            <w:pPr>
              <w:spacing w:after="0" w:line="240" w:lineRule="auto"/>
              <w:jc w:val="both"/>
              <w:rPr>
                <w:rFonts w:ascii="Times New Roman" w:eastAsia="Times New Roman" w:hAnsi="Times New Roman"/>
                <w:b/>
                <w:bCs/>
                <w:sz w:val="24"/>
                <w:szCs w:val="24"/>
              </w:rPr>
            </w:pPr>
            <w:r w:rsidRPr="00097492">
              <w:rPr>
                <w:rFonts w:ascii="Times New Roman" w:eastAsia="Times New Roman" w:hAnsi="Times New Roman"/>
                <w:b/>
                <w:bCs/>
                <w:sz w:val="24"/>
                <w:szCs w:val="24"/>
              </w:rPr>
              <w:t>Institution</w:t>
            </w:r>
          </w:p>
        </w:tc>
        <w:tc>
          <w:tcPr>
            <w:tcW w:w="1843" w:type="dxa"/>
            <w:tcBorders>
              <w:top w:val="single" w:sz="4" w:space="0" w:color="auto"/>
              <w:bottom w:val="single" w:sz="4" w:space="0" w:color="auto"/>
            </w:tcBorders>
            <w:vAlign w:val="center"/>
          </w:tcPr>
          <w:p w:rsidR="002B37D4" w:rsidRPr="00097492" w:rsidRDefault="002B37D4" w:rsidP="00E72C1E">
            <w:pPr>
              <w:spacing w:after="0" w:line="240" w:lineRule="auto"/>
              <w:rPr>
                <w:rFonts w:ascii="Times New Roman" w:eastAsia="Times New Roman" w:hAnsi="Times New Roman"/>
                <w:b/>
                <w:bCs/>
                <w:sz w:val="24"/>
                <w:szCs w:val="24"/>
              </w:rPr>
            </w:pPr>
            <w:r w:rsidRPr="00097492">
              <w:rPr>
                <w:rFonts w:ascii="Times New Roman" w:eastAsia="Times New Roman" w:hAnsi="Times New Roman"/>
                <w:b/>
                <w:bCs/>
                <w:sz w:val="24"/>
                <w:szCs w:val="24"/>
              </w:rPr>
              <w:t>No. of Respondents</w:t>
            </w:r>
          </w:p>
        </w:tc>
        <w:tc>
          <w:tcPr>
            <w:tcW w:w="1813" w:type="dxa"/>
            <w:tcBorders>
              <w:top w:val="single" w:sz="4" w:space="0" w:color="auto"/>
              <w:bottom w:val="single" w:sz="4" w:space="0" w:color="auto"/>
            </w:tcBorders>
            <w:vAlign w:val="center"/>
          </w:tcPr>
          <w:p w:rsidR="002B37D4" w:rsidRPr="00097492" w:rsidRDefault="002B37D4" w:rsidP="00E72C1E">
            <w:pPr>
              <w:spacing w:after="0" w:line="240" w:lineRule="auto"/>
              <w:jc w:val="both"/>
              <w:rPr>
                <w:rFonts w:ascii="Times New Roman" w:eastAsia="Times New Roman" w:hAnsi="Times New Roman"/>
                <w:b/>
                <w:bCs/>
                <w:sz w:val="24"/>
                <w:szCs w:val="24"/>
              </w:rPr>
            </w:pPr>
            <w:r w:rsidRPr="00097492">
              <w:rPr>
                <w:rFonts w:ascii="Times New Roman" w:eastAsia="Times New Roman" w:hAnsi="Times New Roman"/>
                <w:b/>
                <w:bCs/>
                <w:sz w:val="24"/>
                <w:szCs w:val="24"/>
              </w:rPr>
              <w:t>Percentage (%)</w:t>
            </w:r>
          </w:p>
        </w:tc>
      </w:tr>
      <w:tr w:rsidR="002957FF" w:rsidRPr="00097492" w:rsidTr="00E72C1E">
        <w:tc>
          <w:tcPr>
            <w:tcW w:w="2394" w:type="dxa"/>
            <w:tcBorders>
              <w:top w:val="single" w:sz="4" w:space="0" w:color="auto"/>
            </w:tcBorders>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Abia</w:t>
            </w:r>
          </w:p>
        </w:tc>
        <w:tc>
          <w:tcPr>
            <w:tcW w:w="3526" w:type="dxa"/>
            <w:tcBorders>
              <w:top w:val="single" w:sz="4" w:space="0" w:color="auto"/>
            </w:tcBorders>
            <w:vAlign w:val="center"/>
          </w:tcPr>
          <w:p w:rsidR="002B37D4" w:rsidRPr="00097492" w:rsidRDefault="002B37D4" w:rsidP="00D661F7">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Abia State University (ABSU), Uturu</w:t>
            </w:r>
          </w:p>
        </w:tc>
        <w:tc>
          <w:tcPr>
            <w:tcW w:w="1843" w:type="dxa"/>
            <w:tcBorders>
              <w:top w:val="single" w:sz="4" w:space="0" w:color="auto"/>
            </w:tcBorders>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tcBorders>
              <w:top w:val="single" w:sz="4" w:space="0" w:color="auto"/>
            </w:tcBorders>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2957FF" w:rsidRPr="00097492" w:rsidTr="00E72C1E">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p>
        </w:tc>
        <w:tc>
          <w:tcPr>
            <w:tcW w:w="3526" w:type="dxa"/>
            <w:vAlign w:val="center"/>
          </w:tcPr>
          <w:p w:rsidR="002B37D4" w:rsidRPr="00097492" w:rsidRDefault="002B37D4" w:rsidP="00D661F7">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Michael Okpara University of Agriculture (MOUAU), Umudike</w:t>
            </w: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B50F54" w:rsidRPr="00097492" w:rsidTr="00E72C1E">
        <w:tc>
          <w:tcPr>
            <w:tcW w:w="2394" w:type="dxa"/>
            <w:vAlign w:val="center"/>
          </w:tcPr>
          <w:p w:rsidR="00B50F54" w:rsidRPr="00097492" w:rsidRDefault="00C26BC3"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                           </w:t>
            </w:r>
            <w:r w:rsidR="00B50F54" w:rsidRPr="00097492">
              <w:rPr>
                <w:rFonts w:ascii="Times New Roman" w:eastAsia="Times New Roman" w:hAnsi="Times New Roman"/>
                <w:sz w:val="24"/>
                <w:szCs w:val="24"/>
              </w:rPr>
              <w:t>Total</w:t>
            </w:r>
          </w:p>
        </w:tc>
        <w:tc>
          <w:tcPr>
            <w:tcW w:w="3526" w:type="dxa"/>
            <w:vAlign w:val="center"/>
          </w:tcPr>
          <w:p w:rsidR="00B50F54" w:rsidRPr="00097492" w:rsidRDefault="00B50F54" w:rsidP="00D661F7">
            <w:pPr>
              <w:spacing w:after="0" w:line="240" w:lineRule="auto"/>
              <w:rPr>
                <w:rFonts w:ascii="Times New Roman" w:eastAsia="Times New Roman" w:hAnsi="Times New Roman"/>
                <w:sz w:val="24"/>
                <w:szCs w:val="24"/>
              </w:rPr>
            </w:pPr>
          </w:p>
        </w:tc>
        <w:tc>
          <w:tcPr>
            <w:tcW w:w="184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40</w:t>
            </w:r>
          </w:p>
        </w:tc>
        <w:tc>
          <w:tcPr>
            <w:tcW w:w="181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20%</w:t>
            </w:r>
          </w:p>
        </w:tc>
      </w:tr>
      <w:tr w:rsidR="002957FF" w:rsidRPr="00097492" w:rsidTr="00E72C1E">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Anambra</w:t>
            </w:r>
          </w:p>
        </w:tc>
        <w:tc>
          <w:tcPr>
            <w:tcW w:w="3526" w:type="dxa"/>
            <w:vAlign w:val="center"/>
          </w:tcPr>
          <w:p w:rsidR="002B37D4" w:rsidRPr="00097492" w:rsidRDefault="002B37D4" w:rsidP="00D661F7">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 xml:space="preserve">Nnamdi Azikiwe University (UNIZIK), </w:t>
            </w:r>
            <w:r w:rsidR="004F1AD1" w:rsidRPr="00097492">
              <w:rPr>
                <w:rFonts w:ascii="Times New Roman" w:eastAsia="Times New Roman" w:hAnsi="Times New Roman"/>
                <w:sz w:val="24"/>
                <w:szCs w:val="24"/>
              </w:rPr>
              <w:t xml:space="preserve"> </w:t>
            </w:r>
            <w:r w:rsidRPr="00097492">
              <w:rPr>
                <w:rFonts w:ascii="Times New Roman" w:eastAsia="Times New Roman" w:hAnsi="Times New Roman"/>
                <w:sz w:val="24"/>
                <w:szCs w:val="24"/>
              </w:rPr>
              <w:t>Awka</w:t>
            </w: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2957FF" w:rsidRPr="00097492" w:rsidTr="00E72C1E">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p>
        </w:tc>
        <w:tc>
          <w:tcPr>
            <w:tcW w:w="3526" w:type="dxa"/>
            <w:vAlign w:val="center"/>
          </w:tcPr>
          <w:p w:rsidR="002B37D4" w:rsidRPr="00097492" w:rsidRDefault="002B37D4" w:rsidP="00D661F7">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Chukwuemeka Odumegwu Ojukwu University (COOU), Igbariam</w:t>
            </w: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B50F54" w:rsidRPr="00097492" w:rsidTr="00E72C1E">
        <w:tc>
          <w:tcPr>
            <w:tcW w:w="2394" w:type="dxa"/>
            <w:vAlign w:val="center"/>
          </w:tcPr>
          <w:p w:rsidR="00B50F54" w:rsidRPr="00097492" w:rsidRDefault="00C26BC3"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                           </w:t>
            </w:r>
            <w:r w:rsidR="00B50F54" w:rsidRPr="00097492">
              <w:rPr>
                <w:rFonts w:ascii="Times New Roman" w:eastAsia="Times New Roman" w:hAnsi="Times New Roman"/>
                <w:sz w:val="24"/>
                <w:szCs w:val="24"/>
              </w:rPr>
              <w:t>Total</w:t>
            </w:r>
          </w:p>
        </w:tc>
        <w:tc>
          <w:tcPr>
            <w:tcW w:w="3526" w:type="dxa"/>
            <w:vAlign w:val="center"/>
          </w:tcPr>
          <w:p w:rsidR="00B50F54" w:rsidRPr="00097492" w:rsidRDefault="00B50F54" w:rsidP="00D661F7">
            <w:pPr>
              <w:spacing w:after="0" w:line="240" w:lineRule="auto"/>
              <w:rPr>
                <w:rFonts w:ascii="Times New Roman" w:eastAsia="Times New Roman" w:hAnsi="Times New Roman"/>
                <w:sz w:val="24"/>
                <w:szCs w:val="24"/>
              </w:rPr>
            </w:pPr>
          </w:p>
        </w:tc>
        <w:tc>
          <w:tcPr>
            <w:tcW w:w="184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40</w:t>
            </w:r>
          </w:p>
        </w:tc>
        <w:tc>
          <w:tcPr>
            <w:tcW w:w="181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20%</w:t>
            </w:r>
          </w:p>
        </w:tc>
      </w:tr>
      <w:tr w:rsidR="002957FF" w:rsidRPr="00097492" w:rsidTr="00E72C1E">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Ebonyi</w:t>
            </w:r>
          </w:p>
        </w:tc>
        <w:tc>
          <w:tcPr>
            <w:tcW w:w="3526" w:type="dxa"/>
            <w:vAlign w:val="center"/>
          </w:tcPr>
          <w:p w:rsidR="002B37D4" w:rsidRPr="00097492" w:rsidRDefault="002B37D4" w:rsidP="00AC2043">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Ebonyi State University (EBSU), Abakaliki</w:t>
            </w: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2957FF" w:rsidRPr="00097492" w:rsidTr="00E72C1E">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p>
        </w:tc>
        <w:tc>
          <w:tcPr>
            <w:tcW w:w="3526" w:type="dxa"/>
            <w:vAlign w:val="center"/>
          </w:tcPr>
          <w:p w:rsidR="002B37D4" w:rsidRPr="00097492" w:rsidRDefault="002B37D4" w:rsidP="00AC2043">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Alex Ekwueme Federal University Ndufu-Alike (AE-FUNAI)</w:t>
            </w: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B50F54" w:rsidRPr="00097492" w:rsidTr="00E72C1E">
        <w:tc>
          <w:tcPr>
            <w:tcW w:w="2394" w:type="dxa"/>
            <w:vAlign w:val="center"/>
          </w:tcPr>
          <w:p w:rsidR="00B50F54" w:rsidRPr="00097492" w:rsidRDefault="00C26BC3"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                           </w:t>
            </w:r>
            <w:r w:rsidR="00B50F54" w:rsidRPr="00097492">
              <w:rPr>
                <w:rFonts w:ascii="Times New Roman" w:eastAsia="Times New Roman" w:hAnsi="Times New Roman"/>
                <w:sz w:val="24"/>
                <w:szCs w:val="24"/>
              </w:rPr>
              <w:t>Total</w:t>
            </w:r>
          </w:p>
        </w:tc>
        <w:tc>
          <w:tcPr>
            <w:tcW w:w="3526" w:type="dxa"/>
            <w:vAlign w:val="center"/>
          </w:tcPr>
          <w:p w:rsidR="00B50F54" w:rsidRPr="00097492" w:rsidRDefault="00B50F54" w:rsidP="00AC2043">
            <w:pPr>
              <w:spacing w:after="0" w:line="240" w:lineRule="auto"/>
              <w:rPr>
                <w:rFonts w:ascii="Times New Roman" w:eastAsia="Times New Roman" w:hAnsi="Times New Roman"/>
                <w:sz w:val="24"/>
                <w:szCs w:val="24"/>
              </w:rPr>
            </w:pPr>
          </w:p>
        </w:tc>
        <w:tc>
          <w:tcPr>
            <w:tcW w:w="184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40</w:t>
            </w:r>
          </w:p>
        </w:tc>
        <w:tc>
          <w:tcPr>
            <w:tcW w:w="181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20%</w:t>
            </w:r>
          </w:p>
        </w:tc>
      </w:tr>
      <w:tr w:rsidR="002957FF" w:rsidRPr="00097492" w:rsidTr="00E72C1E">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Enugu</w:t>
            </w:r>
          </w:p>
        </w:tc>
        <w:tc>
          <w:tcPr>
            <w:tcW w:w="3526" w:type="dxa"/>
            <w:vAlign w:val="center"/>
          </w:tcPr>
          <w:p w:rsidR="002B37D4" w:rsidRPr="00097492" w:rsidRDefault="002B37D4" w:rsidP="00AC2043">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University of Nigeria, Nsukka (UNN)</w:t>
            </w: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2957FF" w:rsidRPr="00097492" w:rsidTr="00E72C1E">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p>
        </w:tc>
        <w:tc>
          <w:tcPr>
            <w:tcW w:w="3526"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Enugu State University of Science &amp; Technology (ESUT), Enugu</w:t>
            </w: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B50F54" w:rsidRPr="00097492" w:rsidTr="00E72C1E">
        <w:tc>
          <w:tcPr>
            <w:tcW w:w="2394" w:type="dxa"/>
            <w:vAlign w:val="center"/>
          </w:tcPr>
          <w:p w:rsidR="00B50F54" w:rsidRPr="00097492" w:rsidRDefault="00C26BC3"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                           </w:t>
            </w:r>
            <w:r w:rsidR="00B50F54" w:rsidRPr="00097492">
              <w:rPr>
                <w:rFonts w:ascii="Times New Roman" w:eastAsia="Times New Roman" w:hAnsi="Times New Roman"/>
                <w:sz w:val="24"/>
                <w:szCs w:val="24"/>
              </w:rPr>
              <w:t>Total</w:t>
            </w:r>
          </w:p>
        </w:tc>
        <w:tc>
          <w:tcPr>
            <w:tcW w:w="3526" w:type="dxa"/>
            <w:vAlign w:val="center"/>
          </w:tcPr>
          <w:p w:rsidR="00B50F54" w:rsidRPr="00097492" w:rsidRDefault="00B50F54" w:rsidP="00E72C1E">
            <w:pPr>
              <w:spacing w:after="0" w:line="240" w:lineRule="auto"/>
              <w:jc w:val="both"/>
              <w:rPr>
                <w:rFonts w:ascii="Times New Roman" w:eastAsia="Times New Roman" w:hAnsi="Times New Roman"/>
                <w:sz w:val="24"/>
                <w:szCs w:val="24"/>
              </w:rPr>
            </w:pPr>
          </w:p>
        </w:tc>
        <w:tc>
          <w:tcPr>
            <w:tcW w:w="184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40</w:t>
            </w:r>
          </w:p>
        </w:tc>
        <w:tc>
          <w:tcPr>
            <w:tcW w:w="181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20%</w:t>
            </w:r>
          </w:p>
        </w:tc>
      </w:tr>
      <w:tr w:rsidR="002957FF" w:rsidRPr="00097492" w:rsidTr="00E72C1E">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Imo</w:t>
            </w:r>
          </w:p>
        </w:tc>
        <w:tc>
          <w:tcPr>
            <w:tcW w:w="3526" w:type="dxa"/>
            <w:vAlign w:val="center"/>
          </w:tcPr>
          <w:p w:rsidR="002B37D4" w:rsidRPr="00097492" w:rsidRDefault="002B37D4" w:rsidP="00AC2043">
            <w:pPr>
              <w:spacing w:after="0" w:line="240" w:lineRule="auto"/>
              <w:rPr>
                <w:rFonts w:ascii="Times New Roman" w:eastAsia="Times New Roman" w:hAnsi="Times New Roman"/>
                <w:sz w:val="24"/>
                <w:szCs w:val="24"/>
              </w:rPr>
            </w:pPr>
            <w:r w:rsidRPr="00097492">
              <w:rPr>
                <w:rFonts w:ascii="Times New Roman" w:eastAsia="Times New Roman" w:hAnsi="Times New Roman"/>
                <w:sz w:val="24"/>
                <w:szCs w:val="24"/>
              </w:rPr>
              <w:t>Imo State University (IMSU), Owerri</w:t>
            </w: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2957FF" w:rsidRPr="00097492" w:rsidTr="00B84B8A">
        <w:trPr>
          <w:trHeight w:val="2313"/>
        </w:trPr>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p>
        </w:tc>
        <w:tc>
          <w:tcPr>
            <w:tcW w:w="3526"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Federal University of Technology (FUTO), Owerri</w:t>
            </w: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20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10%</w:t>
            </w:r>
          </w:p>
        </w:tc>
      </w:tr>
      <w:tr w:rsidR="00B50F54" w:rsidRPr="00097492" w:rsidTr="00E72C1E">
        <w:tc>
          <w:tcPr>
            <w:tcW w:w="2394" w:type="dxa"/>
            <w:vAlign w:val="center"/>
          </w:tcPr>
          <w:p w:rsidR="00B50F54" w:rsidRPr="00097492" w:rsidRDefault="00C26BC3"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                           </w:t>
            </w:r>
            <w:r w:rsidR="00B50F54" w:rsidRPr="00097492">
              <w:rPr>
                <w:rFonts w:ascii="Times New Roman" w:eastAsia="Times New Roman" w:hAnsi="Times New Roman"/>
                <w:sz w:val="24"/>
                <w:szCs w:val="24"/>
              </w:rPr>
              <w:t>Total</w:t>
            </w:r>
          </w:p>
        </w:tc>
        <w:tc>
          <w:tcPr>
            <w:tcW w:w="3526" w:type="dxa"/>
            <w:vAlign w:val="center"/>
          </w:tcPr>
          <w:p w:rsidR="00B50F54" w:rsidRPr="00097492" w:rsidRDefault="00B50F54" w:rsidP="00E72C1E">
            <w:pPr>
              <w:spacing w:after="0" w:line="240" w:lineRule="auto"/>
              <w:jc w:val="both"/>
              <w:rPr>
                <w:rFonts w:ascii="Times New Roman" w:eastAsia="Times New Roman" w:hAnsi="Times New Roman"/>
                <w:sz w:val="24"/>
                <w:szCs w:val="24"/>
              </w:rPr>
            </w:pPr>
          </w:p>
        </w:tc>
        <w:tc>
          <w:tcPr>
            <w:tcW w:w="184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40</w:t>
            </w:r>
          </w:p>
        </w:tc>
        <w:tc>
          <w:tcPr>
            <w:tcW w:w="1813" w:type="dxa"/>
            <w:vAlign w:val="center"/>
          </w:tcPr>
          <w:p w:rsidR="00B50F54" w:rsidRPr="00097492" w:rsidRDefault="00B50F54" w:rsidP="00E72C1E">
            <w:pPr>
              <w:spacing w:after="0" w:line="240" w:lineRule="auto"/>
              <w:jc w:val="both"/>
              <w:rPr>
                <w:rFonts w:ascii="Times New Roman" w:eastAsia="Times New Roman" w:hAnsi="Times New Roman"/>
                <w:b/>
                <w:sz w:val="24"/>
                <w:szCs w:val="24"/>
              </w:rPr>
            </w:pPr>
            <w:r w:rsidRPr="00097492">
              <w:rPr>
                <w:rFonts w:ascii="Times New Roman" w:eastAsia="Times New Roman" w:hAnsi="Times New Roman"/>
                <w:b/>
                <w:sz w:val="24"/>
                <w:szCs w:val="24"/>
              </w:rPr>
              <w:t>20%</w:t>
            </w:r>
          </w:p>
        </w:tc>
      </w:tr>
      <w:tr w:rsidR="002957FF" w:rsidRPr="00097492" w:rsidTr="00E72C1E">
        <w:tc>
          <w:tcPr>
            <w:tcW w:w="2394"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b/>
                <w:bCs/>
                <w:sz w:val="24"/>
                <w:szCs w:val="24"/>
              </w:rPr>
              <w:t>Total</w:t>
            </w:r>
          </w:p>
        </w:tc>
        <w:tc>
          <w:tcPr>
            <w:tcW w:w="3526"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p>
        </w:tc>
        <w:tc>
          <w:tcPr>
            <w:tcW w:w="184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b/>
                <w:bCs/>
                <w:sz w:val="24"/>
                <w:szCs w:val="24"/>
              </w:rPr>
              <w:t>200</w:t>
            </w:r>
          </w:p>
        </w:tc>
        <w:tc>
          <w:tcPr>
            <w:tcW w:w="1813" w:type="dxa"/>
            <w:vAlign w:val="center"/>
          </w:tcPr>
          <w:p w:rsidR="002B37D4" w:rsidRPr="00097492" w:rsidRDefault="002B37D4" w:rsidP="00E72C1E">
            <w:pPr>
              <w:spacing w:after="0" w:line="240" w:lineRule="auto"/>
              <w:jc w:val="both"/>
              <w:rPr>
                <w:rFonts w:ascii="Times New Roman" w:eastAsia="Times New Roman" w:hAnsi="Times New Roman"/>
                <w:sz w:val="24"/>
                <w:szCs w:val="24"/>
              </w:rPr>
            </w:pPr>
            <w:r w:rsidRPr="00097492">
              <w:rPr>
                <w:rFonts w:ascii="Times New Roman" w:eastAsia="Times New Roman" w:hAnsi="Times New Roman"/>
                <w:b/>
                <w:bCs/>
                <w:sz w:val="24"/>
                <w:szCs w:val="24"/>
              </w:rPr>
              <w:t>100%</w:t>
            </w:r>
          </w:p>
        </w:tc>
      </w:tr>
    </w:tbl>
    <w:p w:rsidR="00035B8B" w:rsidRPr="00097492" w:rsidRDefault="00F155BB" w:rsidP="00950369">
      <w:pPr>
        <w:spacing w:before="100" w:beforeAutospacing="1" w:after="100" w:afterAutospacing="1" w:line="240" w:lineRule="auto"/>
        <w:jc w:val="both"/>
        <w:rPr>
          <w:rStyle w:val="Strong"/>
          <w:rFonts w:ascii="Times New Roman" w:hAnsi="Times New Roman"/>
          <w:sz w:val="24"/>
          <w:szCs w:val="24"/>
        </w:rPr>
      </w:pPr>
      <w:r w:rsidRPr="00097492">
        <w:rPr>
          <w:rFonts w:ascii="Times New Roman" w:eastAsia="Times New Roman" w:hAnsi="Times New Roman"/>
          <w:sz w:val="24"/>
          <w:szCs w:val="24"/>
        </w:rPr>
        <w:t>Table 2 shows</w:t>
      </w:r>
      <w:r w:rsidR="001B3B46" w:rsidRPr="00097492">
        <w:rPr>
          <w:rFonts w:ascii="Times New Roman" w:eastAsia="Times New Roman" w:hAnsi="Times New Roman"/>
          <w:sz w:val="24"/>
          <w:szCs w:val="24"/>
        </w:rPr>
        <w:t xml:space="preserve"> a structured table showing the </w:t>
      </w:r>
      <w:r w:rsidR="001B3B46" w:rsidRPr="00097492">
        <w:rPr>
          <w:rFonts w:ascii="Times New Roman" w:eastAsia="Times New Roman" w:hAnsi="Times New Roman"/>
          <w:bCs/>
          <w:sz w:val="24"/>
          <w:szCs w:val="24"/>
        </w:rPr>
        <w:t>distribution of participants by state and institution</w:t>
      </w:r>
      <w:r w:rsidR="001B3B46" w:rsidRPr="00097492">
        <w:rPr>
          <w:rFonts w:ascii="Times New Roman" w:eastAsia="Times New Roman" w:hAnsi="Times New Roman"/>
          <w:sz w:val="24"/>
          <w:szCs w:val="24"/>
        </w:rPr>
        <w:t xml:space="preserve"> based on the total of </w:t>
      </w:r>
      <w:r w:rsidR="001B3B46" w:rsidRPr="00097492">
        <w:rPr>
          <w:rFonts w:ascii="Times New Roman" w:eastAsia="Times New Roman" w:hAnsi="Times New Roman"/>
          <w:bCs/>
          <w:sz w:val="24"/>
          <w:szCs w:val="24"/>
        </w:rPr>
        <w:t>200 participants across 5 states</w:t>
      </w:r>
      <w:r w:rsidR="001B3B46" w:rsidRPr="00097492">
        <w:rPr>
          <w:rFonts w:ascii="Times New Roman" w:eastAsia="Times New Roman" w:hAnsi="Times New Roman"/>
          <w:sz w:val="24"/>
          <w:szCs w:val="24"/>
        </w:rPr>
        <w:t xml:space="preserve"> in Sou</w:t>
      </w:r>
      <w:r w:rsidRPr="00097492">
        <w:rPr>
          <w:rFonts w:ascii="Times New Roman" w:eastAsia="Times New Roman" w:hAnsi="Times New Roman"/>
          <w:sz w:val="24"/>
          <w:szCs w:val="24"/>
        </w:rPr>
        <w:t>theast Nigeria. From this table,</w:t>
      </w:r>
      <w:r w:rsidR="001B3B46" w:rsidRPr="00097492">
        <w:rPr>
          <w:rFonts w:ascii="Times New Roman" w:eastAsia="Times New Roman" w:hAnsi="Times New Roman"/>
          <w:sz w:val="24"/>
          <w:szCs w:val="24"/>
        </w:rPr>
        <w:t xml:space="preserve"> </w:t>
      </w:r>
      <w:r w:rsidR="001B3B46" w:rsidRPr="00097492">
        <w:rPr>
          <w:rFonts w:ascii="Times New Roman" w:eastAsia="Times New Roman" w:hAnsi="Times New Roman"/>
          <w:bCs/>
          <w:sz w:val="24"/>
          <w:szCs w:val="24"/>
        </w:rPr>
        <w:t>two universities per state</w:t>
      </w:r>
      <w:r w:rsidRPr="00097492">
        <w:rPr>
          <w:rFonts w:ascii="Times New Roman" w:eastAsia="Times New Roman" w:hAnsi="Times New Roman"/>
          <w:sz w:val="24"/>
          <w:szCs w:val="24"/>
        </w:rPr>
        <w:t xml:space="preserve">, with each </w:t>
      </w:r>
      <w:r w:rsidR="001B3B46" w:rsidRPr="00097492">
        <w:rPr>
          <w:rFonts w:ascii="Times New Roman" w:eastAsia="Times New Roman" w:hAnsi="Times New Roman"/>
          <w:sz w:val="24"/>
          <w:szCs w:val="24"/>
        </w:rPr>
        <w:t>contributing an equal or nearly equal number of participants (e.g., 20 per university)</w:t>
      </w:r>
      <w:r w:rsidRPr="00097492">
        <w:rPr>
          <w:rFonts w:ascii="Times New Roman" w:eastAsia="Times New Roman" w:hAnsi="Times New Roman"/>
          <w:sz w:val="24"/>
          <w:szCs w:val="24"/>
        </w:rPr>
        <w:t xml:space="preserve"> were sampled</w:t>
      </w:r>
      <w:r w:rsidR="001B3B46" w:rsidRPr="00097492">
        <w:rPr>
          <w:rFonts w:ascii="Times New Roman" w:eastAsia="Times New Roman" w:hAnsi="Times New Roman"/>
          <w:sz w:val="24"/>
          <w:szCs w:val="24"/>
        </w:rPr>
        <w:t>.</w:t>
      </w:r>
      <w:r w:rsidR="00E8707D" w:rsidRPr="00097492">
        <w:rPr>
          <w:rFonts w:ascii="Times New Roman" w:eastAsia="Times New Roman" w:hAnsi="Times New Roman"/>
          <w:sz w:val="24"/>
          <w:szCs w:val="24"/>
        </w:rPr>
        <w:t xml:space="preserve"> </w:t>
      </w:r>
      <w:r w:rsidR="0047599E" w:rsidRPr="00097492">
        <w:rPr>
          <w:rFonts w:ascii="Times New Roman" w:eastAsia="Times New Roman" w:hAnsi="Times New Roman"/>
          <w:sz w:val="24"/>
          <w:szCs w:val="24"/>
        </w:rPr>
        <w:t xml:space="preserve">Equal participant contribution from each </w:t>
      </w:r>
      <w:r w:rsidR="0047599E" w:rsidRPr="00097492">
        <w:rPr>
          <w:rFonts w:ascii="Times New Roman" w:eastAsia="Times New Roman" w:hAnsi="Times New Roman"/>
          <w:bCs/>
          <w:sz w:val="24"/>
          <w:szCs w:val="24"/>
        </w:rPr>
        <w:t>state</w:t>
      </w:r>
      <w:r w:rsidR="0047599E" w:rsidRPr="00097492">
        <w:rPr>
          <w:rFonts w:ascii="Times New Roman" w:eastAsia="Times New Roman" w:hAnsi="Times New Roman"/>
          <w:sz w:val="24"/>
          <w:szCs w:val="24"/>
        </w:rPr>
        <w:t xml:space="preserve"> (40 </w:t>
      </w:r>
      <w:r w:rsidR="0047599E" w:rsidRPr="00097492">
        <w:rPr>
          <w:rFonts w:ascii="Times New Roman" w:eastAsia="Times New Roman" w:hAnsi="Times New Roman"/>
          <w:sz w:val="24"/>
          <w:szCs w:val="24"/>
        </w:rPr>
        <w:lastRenderedPageBreak/>
        <w:t xml:space="preserve">respondents) and each </w:t>
      </w:r>
      <w:r w:rsidR="0047599E" w:rsidRPr="00097492">
        <w:rPr>
          <w:rFonts w:ascii="Times New Roman" w:eastAsia="Times New Roman" w:hAnsi="Times New Roman"/>
          <w:bCs/>
          <w:sz w:val="24"/>
          <w:szCs w:val="24"/>
        </w:rPr>
        <w:t>institution</w:t>
      </w:r>
      <w:r w:rsidR="00BD4421" w:rsidRPr="00097492">
        <w:rPr>
          <w:rFonts w:ascii="Times New Roman" w:eastAsia="Times New Roman" w:hAnsi="Times New Roman"/>
          <w:sz w:val="24"/>
          <w:szCs w:val="24"/>
        </w:rPr>
        <w:t xml:space="preserve"> (20 respondents) e</w:t>
      </w:r>
      <w:r w:rsidR="0047599E" w:rsidRPr="00097492">
        <w:rPr>
          <w:rFonts w:ascii="Times New Roman" w:eastAsia="Times New Roman" w:hAnsi="Times New Roman"/>
          <w:sz w:val="24"/>
          <w:szCs w:val="24"/>
        </w:rPr>
        <w:t xml:space="preserve">nsures regional representation and </w:t>
      </w:r>
      <w:r w:rsidR="0047599E" w:rsidRPr="00097492">
        <w:rPr>
          <w:rFonts w:ascii="Times New Roman" w:eastAsia="Times New Roman" w:hAnsi="Times New Roman"/>
          <w:bCs/>
          <w:sz w:val="24"/>
          <w:szCs w:val="24"/>
        </w:rPr>
        <w:t>institutional balance</w:t>
      </w:r>
      <w:r w:rsidR="0047599E" w:rsidRPr="00097492">
        <w:rPr>
          <w:rFonts w:ascii="Times New Roman" w:eastAsia="Times New Roman" w:hAnsi="Times New Roman"/>
          <w:sz w:val="24"/>
          <w:szCs w:val="24"/>
        </w:rPr>
        <w:t xml:space="preserve"> in analyzing the effect of inclusive infrastructure across Southeast Nigeria.</w:t>
      </w:r>
      <w:r w:rsidR="0047599E" w:rsidRPr="00097492">
        <w:rPr>
          <w:rStyle w:val="Strong"/>
          <w:rFonts w:ascii="Times New Roman" w:hAnsi="Times New Roman"/>
          <w:sz w:val="24"/>
          <w:szCs w:val="24"/>
        </w:rPr>
        <w:t xml:space="preserve"> </w:t>
      </w:r>
    </w:p>
    <w:p w:rsidR="0047599E" w:rsidRPr="00097492" w:rsidRDefault="0047599E" w:rsidP="00950369">
      <w:pPr>
        <w:spacing w:before="100" w:beforeAutospacing="1" w:after="100" w:afterAutospacing="1" w:line="240" w:lineRule="auto"/>
        <w:jc w:val="both"/>
        <w:rPr>
          <w:rFonts w:ascii="Times New Roman" w:eastAsia="Times New Roman" w:hAnsi="Times New Roman"/>
          <w:sz w:val="24"/>
          <w:szCs w:val="24"/>
        </w:rPr>
      </w:pPr>
      <w:r w:rsidRPr="00097492">
        <w:rPr>
          <w:rStyle w:val="Strong"/>
          <w:rFonts w:ascii="Times New Roman" w:hAnsi="Times New Roman"/>
          <w:sz w:val="24"/>
          <w:szCs w:val="24"/>
        </w:rPr>
        <w:t>Availability of Inclusive Infrastructure</w:t>
      </w:r>
    </w:p>
    <w:p w:rsidR="00CC33DA" w:rsidRPr="00097492" w:rsidRDefault="00A36AB9" w:rsidP="00950369">
      <w:pPr>
        <w:pStyle w:val="NormalWeb"/>
        <w:jc w:val="both"/>
      </w:pPr>
      <w:r w:rsidRPr="00097492">
        <w:rPr>
          <w:rStyle w:val="Strong"/>
        </w:rPr>
        <w:t>Table 3</w:t>
      </w:r>
      <w:r w:rsidR="0047599E" w:rsidRPr="00097492">
        <w:rPr>
          <w:rStyle w:val="Strong"/>
        </w:rPr>
        <w:t>: Mean Availability Scores</w:t>
      </w:r>
    </w:p>
    <w:tbl>
      <w:tblPr>
        <w:tblW w:w="0" w:type="auto"/>
        <w:tblBorders>
          <w:top w:val="single" w:sz="4" w:space="0" w:color="auto"/>
          <w:bottom w:val="single" w:sz="4" w:space="0" w:color="auto"/>
        </w:tblBorders>
        <w:tblLook w:val="04A0"/>
      </w:tblPr>
      <w:tblGrid>
        <w:gridCol w:w="3192"/>
        <w:gridCol w:w="1594"/>
        <w:gridCol w:w="1559"/>
      </w:tblGrid>
      <w:tr w:rsidR="00CC33DA" w:rsidRPr="00097492" w:rsidTr="00E72C1E">
        <w:tc>
          <w:tcPr>
            <w:tcW w:w="3192" w:type="dxa"/>
            <w:tcBorders>
              <w:top w:val="single" w:sz="4" w:space="0" w:color="auto"/>
              <w:bottom w:val="single" w:sz="4" w:space="0" w:color="auto"/>
            </w:tcBorders>
            <w:vAlign w:val="center"/>
          </w:tcPr>
          <w:p w:rsidR="00CC33DA" w:rsidRPr="00097492" w:rsidRDefault="00CC33DA" w:rsidP="00E72C1E">
            <w:pPr>
              <w:spacing w:after="0" w:line="240" w:lineRule="auto"/>
              <w:jc w:val="both"/>
              <w:rPr>
                <w:rFonts w:ascii="Times New Roman" w:hAnsi="Times New Roman"/>
                <w:b/>
                <w:bCs/>
                <w:sz w:val="24"/>
                <w:szCs w:val="24"/>
              </w:rPr>
            </w:pPr>
            <w:r w:rsidRPr="00097492">
              <w:rPr>
                <w:rFonts w:ascii="Times New Roman" w:hAnsi="Times New Roman"/>
                <w:b/>
                <w:bCs/>
                <w:sz w:val="24"/>
                <w:szCs w:val="24"/>
              </w:rPr>
              <w:t>Infrastructure Dimension</w:t>
            </w:r>
          </w:p>
        </w:tc>
        <w:tc>
          <w:tcPr>
            <w:tcW w:w="1594" w:type="dxa"/>
            <w:tcBorders>
              <w:top w:val="single" w:sz="4" w:space="0" w:color="auto"/>
              <w:bottom w:val="single" w:sz="4" w:space="0" w:color="auto"/>
            </w:tcBorders>
            <w:vAlign w:val="center"/>
          </w:tcPr>
          <w:p w:rsidR="00CC33DA" w:rsidRPr="00097492" w:rsidRDefault="00CC33DA" w:rsidP="00E72C1E">
            <w:pPr>
              <w:spacing w:after="0" w:line="240" w:lineRule="auto"/>
              <w:jc w:val="both"/>
              <w:rPr>
                <w:rFonts w:ascii="Times New Roman" w:hAnsi="Times New Roman"/>
                <w:b/>
                <w:bCs/>
                <w:sz w:val="24"/>
                <w:szCs w:val="24"/>
              </w:rPr>
            </w:pPr>
            <w:r w:rsidRPr="00097492">
              <w:rPr>
                <w:rFonts w:ascii="Times New Roman" w:hAnsi="Times New Roman"/>
                <w:b/>
                <w:bCs/>
                <w:sz w:val="24"/>
                <w:szCs w:val="24"/>
              </w:rPr>
              <w:t>Mean</w:t>
            </w:r>
          </w:p>
        </w:tc>
        <w:tc>
          <w:tcPr>
            <w:tcW w:w="1559" w:type="dxa"/>
            <w:tcBorders>
              <w:top w:val="single" w:sz="4" w:space="0" w:color="auto"/>
              <w:bottom w:val="single" w:sz="4" w:space="0" w:color="auto"/>
            </w:tcBorders>
            <w:vAlign w:val="center"/>
          </w:tcPr>
          <w:p w:rsidR="00CC33DA" w:rsidRPr="00097492" w:rsidRDefault="00CC33DA" w:rsidP="00E72C1E">
            <w:pPr>
              <w:spacing w:after="0" w:line="240" w:lineRule="auto"/>
              <w:jc w:val="both"/>
              <w:rPr>
                <w:rFonts w:ascii="Times New Roman" w:hAnsi="Times New Roman"/>
                <w:b/>
                <w:bCs/>
                <w:sz w:val="24"/>
                <w:szCs w:val="24"/>
              </w:rPr>
            </w:pPr>
            <w:r w:rsidRPr="00097492">
              <w:rPr>
                <w:rFonts w:ascii="Times New Roman" w:hAnsi="Times New Roman"/>
                <w:b/>
                <w:bCs/>
                <w:sz w:val="24"/>
                <w:szCs w:val="24"/>
              </w:rPr>
              <w:t>Remark</w:t>
            </w:r>
          </w:p>
        </w:tc>
      </w:tr>
      <w:tr w:rsidR="00CC33DA" w:rsidRPr="00097492" w:rsidTr="00E72C1E">
        <w:tc>
          <w:tcPr>
            <w:tcW w:w="3192" w:type="dxa"/>
            <w:tcBorders>
              <w:top w:val="single" w:sz="4" w:space="0" w:color="auto"/>
            </w:tcBorders>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Screen Readers</w:t>
            </w:r>
          </w:p>
        </w:tc>
        <w:tc>
          <w:tcPr>
            <w:tcW w:w="1594" w:type="dxa"/>
            <w:tcBorders>
              <w:top w:val="single" w:sz="4" w:space="0" w:color="auto"/>
            </w:tcBorders>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2.3</w:t>
            </w:r>
          </w:p>
        </w:tc>
        <w:tc>
          <w:tcPr>
            <w:tcW w:w="1559" w:type="dxa"/>
            <w:tcBorders>
              <w:top w:val="single" w:sz="4" w:space="0" w:color="auto"/>
            </w:tcBorders>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Low</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Audio Books</w:t>
            </w:r>
          </w:p>
        </w:tc>
        <w:tc>
          <w:tcPr>
            <w:tcW w:w="1594"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2.5</w:t>
            </w:r>
          </w:p>
        </w:tc>
        <w:tc>
          <w:tcPr>
            <w:tcW w:w="155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Low</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Digital Catalogs</w:t>
            </w:r>
          </w:p>
        </w:tc>
        <w:tc>
          <w:tcPr>
            <w:tcW w:w="1594"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3.7</w:t>
            </w:r>
          </w:p>
        </w:tc>
        <w:tc>
          <w:tcPr>
            <w:tcW w:w="155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Moderate</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ICT Labs (General Use)</w:t>
            </w:r>
          </w:p>
        </w:tc>
        <w:tc>
          <w:tcPr>
            <w:tcW w:w="1594"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4.0</w:t>
            </w:r>
          </w:p>
        </w:tc>
        <w:tc>
          <w:tcPr>
            <w:tcW w:w="155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High</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Braille Devices</w:t>
            </w:r>
          </w:p>
        </w:tc>
        <w:tc>
          <w:tcPr>
            <w:tcW w:w="1594"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2.1</w:t>
            </w:r>
          </w:p>
        </w:tc>
        <w:tc>
          <w:tcPr>
            <w:tcW w:w="155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Low</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Adjustable Desks</w:t>
            </w:r>
          </w:p>
        </w:tc>
        <w:tc>
          <w:tcPr>
            <w:tcW w:w="1594"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2.7</w:t>
            </w:r>
          </w:p>
        </w:tc>
        <w:tc>
          <w:tcPr>
            <w:tcW w:w="155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Moderate</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Staff Training (Inclusion)</w:t>
            </w:r>
          </w:p>
        </w:tc>
        <w:tc>
          <w:tcPr>
            <w:tcW w:w="1594"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2.4</w:t>
            </w:r>
          </w:p>
        </w:tc>
        <w:tc>
          <w:tcPr>
            <w:tcW w:w="155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Low</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Accessibility Policy</w:t>
            </w:r>
          </w:p>
        </w:tc>
        <w:tc>
          <w:tcPr>
            <w:tcW w:w="1594"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2.9</w:t>
            </w:r>
          </w:p>
        </w:tc>
        <w:tc>
          <w:tcPr>
            <w:tcW w:w="155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Moderate</w:t>
            </w:r>
          </w:p>
        </w:tc>
      </w:tr>
    </w:tbl>
    <w:p w:rsidR="00BB2A12" w:rsidRPr="00097492" w:rsidRDefault="008770A2" w:rsidP="00BB2A12">
      <w:pPr>
        <w:pStyle w:val="NormalWeb"/>
        <w:jc w:val="both"/>
      </w:pPr>
      <w:r w:rsidRPr="00097492">
        <w:rPr>
          <w:rStyle w:val="Strong"/>
          <w:b w:val="0"/>
        </w:rPr>
        <w:t>Availability of inclusive infrastructure is shown in table 3.</w:t>
      </w:r>
      <w:r w:rsidRPr="00097492">
        <w:t xml:space="preserve"> The result shows l</w:t>
      </w:r>
      <w:r w:rsidR="000D32E4" w:rsidRPr="00097492">
        <w:t>ow av</w:t>
      </w:r>
      <w:r w:rsidRPr="00097492">
        <w:t>ailability of assistive tools, lack of staff training, m</w:t>
      </w:r>
      <w:r w:rsidR="000D32E4" w:rsidRPr="00097492">
        <w:t>oderate policy presence, and partial ergonomic</w:t>
      </w:r>
      <w:r w:rsidR="002957FF" w:rsidRPr="00097492">
        <w:t xml:space="preserve"> (equipment to reduce fatigue)</w:t>
      </w:r>
      <w:r w:rsidR="000D32E4" w:rsidRPr="00097492">
        <w:t xml:space="preserve"> support</w:t>
      </w:r>
      <w:r w:rsidR="00473F06" w:rsidRPr="00097492">
        <w:t xml:space="preserve"> While mainstream infrastructure is robust, the </w:t>
      </w:r>
      <w:r w:rsidR="00473F06" w:rsidRPr="00097492">
        <w:rPr>
          <w:rStyle w:val="Strong"/>
          <w:b w:val="0"/>
        </w:rPr>
        <w:t>inclusive dimensions-especially for visually impaired and disabled users-remain grossly underdeveloped</w:t>
      </w:r>
      <w:r w:rsidR="00473F06" w:rsidRPr="00097492">
        <w:rPr>
          <w:b/>
        </w:rPr>
        <w:t>.</w:t>
      </w:r>
      <w:r w:rsidR="00473F06" w:rsidRPr="00097492">
        <w:t xml:space="preserve"> General ICT tools are well-provided, but inclusive tools and training remain insufficient.</w:t>
      </w:r>
    </w:p>
    <w:p w:rsidR="00097492" w:rsidRPr="00097492" w:rsidRDefault="0047599E" w:rsidP="00950369">
      <w:pPr>
        <w:pStyle w:val="NormalWeb"/>
        <w:jc w:val="both"/>
      </w:pPr>
      <w:r w:rsidRPr="00097492">
        <w:rPr>
          <w:rStyle w:val="Strong"/>
        </w:rPr>
        <w:t xml:space="preserve"> Library Patronage Patterns</w:t>
      </w:r>
    </w:p>
    <w:p w:rsidR="00CC33DA" w:rsidRPr="00097492" w:rsidRDefault="0047599E" w:rsidP="00950369">
      <w:pPr>
        <w:pStyle w:val="NormalWeb"/>
        <w:jc w:val="both"/>
      </w:pPr>
      <w:r w:rsidRPr="00097492">
        <w:rPr>
          <w:rStyle w:val="Strong"/>
        </w:rPr>
        <w:t>T</w:t>
      </w:r>
      <w:r w:rsidR="00A36AB9" w:rsidRPr="00097492">
        <w:rPr>
          <w:rStyle w:val="Strong"/>
        </w:rPr>
        <w:t>able 4</w:t>
      </w:r>
      <w:r w:rsidRPr="00097492">
        <w:rPr>
          <w:rStyle w:val="Strong"/>
        </w:rPr>
        <w:t>: Usage Metrics</w:t>
      </w:r>
    </w:p>
    <w:tbl>
      <w:tblPr>
        <w:tblW w:w="0" w:type="auto"/>
        <w:tblBorders>
          <w:top w:val="single" w:sz="4" w:space="0" w:color="auto"/>
          <w:bottom w:val="single" w:sz="4" w:space="0" w:color="auto"/>
        </w:tblBorders>
        <w:tblLook w:val="04A0"/>
      </w:tblPr>
      <w:tblGrid>
        <w:gridCol w:w="3192"/>
        <w:gridCol w:w="2019"/>
        <w:gridCol w:w="2410"/>
      </w:tblGrid>
      <w:tr w:rsidR="00CC33DA" w:rsidRPr="00097492" w:rsidTr="00E72C1E">
        <w:tc>
          <w:tcPr>
            <w:tcW w:w="3192" w:type="dxa"/>
            <w:tcBorders>
              <w:top w:val="single" w:sz="4" w:space="0" w:color="auto"/>
              <w:bottom w:val="single" w:sz="4" w:space="0" w:color="auto"/>
            </w:tcBorders>
            <w:vAlign w:val="center"/>
          </w:tcPr>
          <w:p w:rsidR="00CC33DA" w:rsidRPr="00097492" w:rsidRDefault="00CC33DA" w:rsidP="00E72C1E">
            <w:pPr>
              <w:spacing w:after="0" w:line="240" w:lineRule="auto"/>
              <w:jc w:val="both"/>
              <w:rPr>
                <w:rFonts w:ascii="Times New Roman" w:hAnsi="Times New Roman"/>
                <w:b/>
                <w:bCs/>
                <w:sz w:val="24"/>
                <w:szCs w:val="24"/>
              </w:rPr>
            </w:pPr>
            <w:r w:rsidRPr="00097492">
              <w:rPr>
                <w:rFonts w:ascii="Times New Roman" w:hAnsi="Times New Roman"/>
                <w:b/>
                <w:bCs/>
                <w:sz w:val="24"/>
                <w:szCs w:val="24"/>
              </w:rPr>
              <w:t>Metric</w:t>
            </w:r>
          </w:p>
        </w:tc>
        <w:tc>
          <w:tcPr>
            <w:tcW w:w="2019" w:type="dxa"/>
            <w:tcBorders>
              <w:top w:val="single" w:sz="4" w:space="0" w:color="auto"/>
              <w:bottom w:val="single" w:sz="4" w:space="0" w:color="auto"/>
            </w:tcBorders>
            <w:vAlign w:val="center"/>
          </w:tcPr>
          <w:p w:rsidR="00CC33DA" w:rsidRPr="00097492" w:rsidRDefault="00CC33DA" w:rsidP="00E72C1E">
            <w:pPr>
              <w:spacing w:after="0" w:line="240" w:lineRule="auto"/>
              <w:jc w:val="both"/>
              <w:rPr>
                <w:rFonts w:ascii="Times New Roman" w:hAnsi="Times New Roman"/>
                <w:b/>
                <w:bCs/>
                <w:sz w:val="24"/>
                <w:szCs w:val="24"/>
              </w:rPr>
            </w:pPr>
            <w:r w:rsidRPr="00097492">
              <w:rPr>
                <w:rFonts w:ascii="Times New Roman" w:hAnsi="Times New Roman"/>
                <w:b/>
                <w:bCs/>
                <w:sz w:val="24"/>
                <w:szCs w:val="24"/>
              </w:rPr>
              <w:t>Mean</w:t>
            </w:r>
          </w:p>
        </w:tc>
        <w:tc>
          <w:tcPr>
            <w:tcW w:w="2410" w:type="dxa"/>
            <w:tcBorders>
              <w:top w:val="single" w:sz="4" w:space="0" w:color="auto"/>
              <w:bottom w:val="single" w:sz="4" w:space="0" w:color="auto"/>
            </w:tcBorders>
            <w:vAlign w:val="center"/>
          </w:tcPr>
          <w:p w:rsidR="00CC33DA" w:rsidRPr="00097492" w:rsidRDefault="00E815DB" w:rsidP="00E72C1E">
            <w:pPr>
              <w:spacing w:after="0" w:line="240" w:lineRule="auto"/>
              <w:jc w:val="both"/>
              <w:rPr>
                <w:rFonts w:ascii="Times New Roman" w:hAnsi="Times New Roman"/>
                <w:b/>
                <w:bCs/>
                <w:sz w:val="24"/>
                <w:szCs w:val="24"/>
              </w:rPr>
            </w:pPr>
            <w:r w:rsidRPr="00097492">
              <w:rPr>
                <w:rFonts w:ascii="Times New Roman" w:hAnsi="Times New Roman"/>
                <w:b/>
                <w:bCs/>
                <w:sz w:val="24"/>
                <w:szCs w:val="24"/>
              </w:rPr>
              <w:t xml:space="preserve">  </w:t>
            </w:r>
            <w:r w:rsidR="00CC33DA" w:rsidRPr="00097492">
              <w:rPr>
                <w:rFonts w:ascii="Times New Roman" w:hAnsi="Times New Roman"/>
                <w:b/>
                <w:bCs/>
                <w:sz w:val="24"/>
                <w:szCs w:val="24"/>
              </w:rPr>
              <w:t>SD</w:t>
            </w:r>
          </w:p>
        </w:tc>
      </w:tr>
      <w:tr w:rsidR="00CC33DA" w:rsidRPr="00097492" w:rsidTr="00E72C1E">
        <w:tc>
          <w:tcPr>
            <w:tcW w:w="3192" w:type="dxa"/>
            <w:tcBorders>
              <w:top w:val="single" w:sz="4" w:space="0" w:color="auto"/>
            </w:tcBorders>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Visits per Week</w:t>
            </w:r>
          </w:p>
        </w:tc>
        <w:tc>
          <w:tcPr>
            <w:tcW w:w="2019" w:type="dxa"/>
            <w:tcBorders>
              <w:top w:val="single" w:sz="4" w:space="0" w:color="auto"/>
            </w:tcBorders>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3.4</w:t>
            </w:r>
          </w:p>
        </w:tc>
        <w:tc>
          <w:tcPr>
            <w:tcW w:w="2410" w:type="dxa"/>
            <w:tcBorders>
              <w:top w:val="single" w:sz="4" w:space="0" w:color="auto"/>
            </w:tcBorders>
            <w:vAlign w:val="center"/>
          </w:tcPr>
          <w:p w:rsidR="00CC33DA" w:rsidRPr="00097492" w:rsidRDefault="00E815DB" w:rsidP="00E72C1E">
            <w:pPr>
              <w:spacing w:after="0" w:line="240" w:lineRule="auto"/>
              <w:jc w:val="both"/>
              <w:rPr>
                <w:rFonts w:ascii="Times New Roman" w:hAnsi="Times New Roman"/>
                <w:sz w:val="24"/>
                <w:szCs w:val="24"/>
              </w:rPr>
            </w:pPr>
            <w:r w:rsidRPr="00097492">
              <w:rPr>
                <w:rFonts w:ascii="Times New Roman" w:hAnsi="Times New Roman"/>
                <w:sz w:val="24"/>
                <w:szCs w:val="24"/>
              </w:rPr>
              <w:t>±</w:t>
            </w:r>
            <w:r w:rsidR="00CC33DA" w:rsidRPr="00097492">
              <w:rPr>
                <w:rFonts w:ascii="Times New Roman" w:hAnsi="Times New Roman"/>
                <w:sz w:val="24"/>
                <w:szCs w:val="24"/>
              </w:rPr>
              <w:t>1.1</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Hours per Visit</w:t>
            </w:r>
          </w:p>
        </w:tc>
        <w:tc>
          <w:tcPr>
            <w:tcW w:w="201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1.7</w:t>
            </w:r>
          </w:p>
        </w:tc>
        <w:tc>
          <w:tcPr>
            <w:tcW w:w="2410" w:type="dxa"/>
            <w:vAlign w:val="center"/>
          </w:tcPr>
          <w:p w:rsidR="00CC33DA" w:rsidRPr="00097492" w:rsidRDefault="00E815DB" w:rsidP="00E72C1E">
            <w:pPr>
              <w:spacing w:after="0" w:line="240" w:lineRule="auto"/>
              <w:jc w:val="both"/>
              <w:rPr>
                <w:rFonts w:ascii="Times New Roman" w:hAnsi="Times New Roman"/>
                <w:sz w:val="24"/>
                <w:szCs w:val="24"/>
              </w:rPr>
            </w:pPr>
            <w:r w:rsidRPr="00097492">
              <w:rPr>
                <w:rFonts w:ascii="Times New Roman" w:hAnsi="Times New Roman"/>
                <w:sz w:val="24"/>
                <w:szCs w:val="24"/>
              </w:rPr>
              <w:t>±</w:t>
            </w:r>
            <w:r w:rsidR="00CC33DA" w:rsidRPr="00097492">
              <w:rPr>
                <w:rFonts w:ascii="Times New Roman" w:hAnsi="Times New Roman"/>
                <w:sz w:val="24"/>
                <w:szCs w:val="24"/>
              </w:rPr>
              <w:t>0.8</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Assistive Tools Usage</w:t>
            </w:r>
          </w:p>
        </w:tc>
        <w:tc>
          <w:tcPr>
            <w:tcW w:w="201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1.8</w:t>
            </w:r>
          </w:p>
        </w:tc>
        <w:tc>
          <w:tcPr>
            <w:tcW w:w="2410" w:type="dxa"/>
            <w:vAlign w:val="center"/>
          </w:tcPr>
          <w:p w:rsidR="00CC33DA" w:rsidRPr="00097492" w:rsidRDefault="00E815DB" w:rsidP="00E72C1E">
            <w:pPr>
              <w:spacing w:after="0" w:line="240" w:lineRule="auto"/>
              <w:jc w:val="both"/>
              <w:rPr>
                <w:rFonts w:ascii="Times New Roman" w:hAnsi="Times New Roman"/>
                <w:sz w:val="24"/>
                <w:szCs w:val="24"/>
              </w:rPr>
            </w:pPr>
            <w:r w:rsidRPr="00097492">
              <w:rPr>
                <w:rFonts w:ascii="Times New Roman" w:hAnsi="Times New Roman"/>
                <w:sz w:val="24"/>
                <w:szCs w:val="24"/>
              </w:rPr>
              <w:t>±</w:t>
            </w:r>
            <w:r w:rsidR="00CC33DA" w:rsidRPr="00097492">
              <w:rPr>
                <w:rFonts w:ascii="Times New Roman" w:hAnsi="Times New Roman"/>
                <w:sz w:val="24"/>
                <w:szCs w:val="24"/>
              </w:rPr>
              <w:t>1.0</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Perceived Ease of Use</w:t>
            </w:r>
          </w:p>
        </w:tc>
        <w:tc>
          <w:tcPr>
            <w:tcW w:w="201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3.2</w:t>
            </w:r>
          </w:p>
        </w:tc>
        <w:tc>
          <w:tcPr>
            <w:tcW w:w="2410" w:type="dxa"/>
            <w:vAlign w:val="center"/>
          </w:tcPr>
          <w:p w:rsidR="00CC33DA" w:rsidRPr="00097492" w:rsidRDefault="00E815DB" w:rsidP="00E72C1E">
            <w:pPr>
              <w:spacing w:after="0" w:line="240" w:lineRule="auto"/>
              <w:jc w:val="both"/>
              <w:rPr>
                <w:rFonts w:ascii="Times New Roman" w:hAnsi="Times New Roman"/>
                <w:sz w:val="24"/>
                <w:szCs w:val="24"/>
              </w:rPr>
            </w:pPr>
            <w:r w:rsidRPr="00097492">
              <w:rPr>
                <w:rFonts w:ascii="Times New Roman" w:hAnsi="Times New Roman"/>
                <w:sz w:val="24"/>
                <w:szCs w:val="24"/>
              </w:rPr>
              <w:t>±</w:t>
            </w:r>
            <w:r w:rsidR="00CC33DA" w:rsidRPr="00097492">
              <w:rPr>
                <w:rFonts w:ascii="Times New Roman" w:hAnsi="Times New Roman"/>
                <w:sz w:val="24"/>
                <w:szCs w:val="24"/>
              </w:rPr>
              <w:t>0.9</w:t>
            </w:r>
          </w:p>
        </w:tc>
      </w:tr>
      <w:tr w:rsidR="00CC33DA" w:rsidRPr="00097492" w:rsidTr="00E72C1E">
        <w:tc>
          <w:tcPr>
            <w:tcW w:w="3192"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Perceived Usefulness</w:t>
            </w:r>
          </w:p>
        </w:tc>
        <w:tc>
          <w:tcPr>
            <w:tcW w:w="2019" w:type="dxa"/>
            <w:vAlign w:val="center"/>
          </w:tcPr>
          <w:p w:rsidR="00CC33DA" w:rsidRPr="00097492" w:rsidRDefault="00CC33DA" w:rsidP="00E72C1E">
            <w:pPr>
              <w:spacing w:after="0" w:line="240" w:lineRule="auto"/>
              <w:jc w:val="both"/>
              <w:rPr>
                <w:rFonts w:ascii="Times New Roman" w:hAnsi="Times New Roman"/>
                <w:sz w:val="24"/>
                <w:szCs w:val="24"/>
              </w:rPr>
            </w:pPr>
            <w:r w:rsidRPr="00097492">
              <w:rPr>
                <w:rFonts w:ascii="Times New Roman" w:hAnsi="Times New Roman"/>
                <w:sz w:val="24"/>
                <w:szCs w:val="24"/>
              </w:rPr>
              <w:t>3.3</w:t>
            </w:r>
          </w:p>
        </w:tc>
        <w:tc>
          <w:tcPr>
            <w:tcW w:w="2410" w:type="dxa"/>
            <w:vAlign w:val="center"/>
          </w:tcPr>
          <w:p w:rsidR="00CC33DA" w:rsidRPr="00097492" w:rsidRDefault="00E815DB" w:rsidP="00E72C1E">
            <w:pPr>
              <w:spacing w:after="0" w:line="240" w:lineRule="auto"/>
              <w:jc w:val="both"/>
              <w:rPr>
                <w:rFonts w:ascii="Times New Roman" w:hAnsi="Times New Roman"/>
                <w:sz w:val="24"/>
                <w:szCs w:val="24"/>
              </w:rPr>
            </w:pPr>
            <w:r w:rsidRPr="00097492">
              <w:rPr>
                <w:rFonts w:ascii="Times New Roman" w:hAnsi="Times New Roman"/>
                <w:sz w:val="24"/>
                <w:szCs w:val="24"/>
              </w:rPr>
              <w:t>±</w:t>
            </w:r>
            <w:r w:rsidR="00CC33DA" w:rsidRPr="00097492">
              <w:rPr>
                <w:rFonts w:ascii="Times New Roman" w:hAnsi="Times New Roman"/>
                <w:sz w:val="24"/>
                <w:szCs w:val="24"/>
              </w:rPr>
              <w:t>1.0</w:t>
            </w:r>
          </w:p>
        </w:tc>
      </w:tr>
    </w:tbl>
    <w:p w:rsidR="00BB2A12" w:rsidRPr="00097492" w:rsidRDefault="00547D03" w:rsidP="00BB2A12">
      <w:pPr>
        <w:pStyle w:val="NormalWeb"/>
        <w:jc w:val="both"/>
      </w:pPr>
      <w:r w:rsidRPr="00097492">
        <w:t>T</w:t>
      </w:r>
      <w:r w:rsidR="008A4514" w:rsidRPr="00097492">
        <w:t>able</w:t>
      </w:r>
      <w:r w:rsidRPr="00097492">
        <w:t xml:space="preserve"> 4</w:t>
      </w:r>
      <w:r w:rsidR="008A4514" w:rsidRPr="00097492">
        <w:t xml:space="preserve"> presents the </w:t>
      </w:r>
      <w:r w:rsidR="008A4514" w:rsidRPr="00097492">
        <w:rPr>
          <w:rStyle w:val="Strong"/>
          <w:b w:val="0"/>
        </w:rPr>
        <w:t>usage metrics</w:t>
      </w:r>
      <w:r w:rsidR="008A4514" w:rsidRPr="00097492">
        <w:t xml:space="preserve"> collecte</w:t>
      </w:r>
      <w:r w:rsidRPr="00097492">
        <w:t>d from 200 participants across five</w:t>
      </w:r>
      <w:r w:rsidR="008A4514" w:rsidRPr="00097492">
        <w:t xml:space="preserve"> states in Southeast Nigeria, as part of an empirical study titled </w:t>
      </w:r>
      <w:r w:rsidR="008A4514" w:rsidRPr="00097492">
        <w:rPr>
          <w:rStyle w:val="Emphasis"/>
        </w:rPr>
        <w:t>“Effect of Inclusive Technological Infrastructure on Library Pa</w:t>
      </w:r>
      <w:r w:rsidR="00BA372F" w:rsidRPr="00097492">
        <w:rPr>
          <w:rStyle w:val="Emphasis"/>
        </w:rPr>
        <w:t>tronage in University Libraries</w:t>
      </w:r>
      <w:r w:rsidR="008A4514" w:rsidRPr="00097492">
        <w:rPr>
          <w:rStyle w:val="Emphasis"/>
        </w:rPr>
        <w:t>”</w:t>
      </w:r>
      <w:r w:rsidR="00BA372F" w:rsidRPr="00097492">
        <w:rPr>
          <w:rStyle w:val="Emphasis"/>
          <w:i w:val="0"/>
        </w:rPr>
        <w:t xml:space="preserve"> and the standard deviations of the metrics about their means. </w:t>
      </w:r>
      <w:r w:rsidR="008A4514" w:rsidRPr="00097492">
        <w:t xml:space="preserve">These metrics provide insight into how frequently users interact with library services, their experience with inclusive technologies, and their perceptions regarding usefulness and ease of use. </w:t>
      </w:r>
      <w:r w:rsidR="00E0551B" w:rsidRPr="00097492">
        <w:t xml:space="preserve">The metrics also show the standard deviation of each variable calculated as the square root of the variance. </w:t>
      </w:r>
      <w:r w:rsidR="00E0551B" w:rsidRPr="00097492">
        <w:rPr>
          <w:rStyle w:val="Emphasis"/>
          <w:i w:val="0"/>
        </w:rPr>
        <w:t>A low standard deviation (SD) indicates that the values tend to be close the mean of the set, while a high standard deviation indicates that the values are spread out over a wider range.</w:t>
      </w:r>
      <w:r w:rsidR="00E0551B" w:rsidRPr="00097492">
        <w:t xml:space="preserve"> </w:t>
      </w:r>
      <w:r w:rsidR="008A4514" w:rsidRPr="00097492">
        <w:t xml:space="preserve">This metric shows that participants visit the library </w:t>
      </w:r>
      <w:r w:rsidR="008A4514" w:rsidRPr="00097492">
        <w:rPr>
          <w:rStyle w:val="Strong"/>
          <w:b w:val="0"/>
        </w:rPr>
        <w:t>on average 3 to 4 times per week</w:t>
      </w:r>
      <w:r w:rsidR="008A4514" w:rsidRPr="00097492">
        <w:t>, indicating moderate to high library engagement. The standard deviation of 1.1 suggests that usage is fairly consistent across respondents.</w:t>
      </w:r>
      <w:r w:rsidR="002A190A" w:rsidRPr="00097492">
        <w:t xml:space="preserve"> On average, users spend </w:t>
      </w:r>
      <w:r w:rsidR="002A190A" w:rsidRPr="00097492">
        <w:rPr>
          <w:rStyle w:val="Strong"/>
          <w:b w:val="0"/>
        </w:rPr>
        <w:t>1.7 hours per library visit</w:t>
      </w:r>
      <w:r w:rsidR="002A190A" w:rsidRPr="00097492">
        <w:t xml:space="preserve">, which suggests relatively brief but focused usage sessions. A standard deviation of 0.8 </w:t>
      </w:r>
      <w:r w:rsidR="002A190A" w:rsidRPr="00097492">
        <w:lastRenderedPageBreak/>
        <w:t xml:space="preserve">indicates some </w:t>
      </w:r>
      <w:r w:rsidR="007C4249" w:rsidRPr="00097492">
        <w:t xml:space="preserve">little </w:t>
      </w:r>
      <w:r w:rsidR="002A190A" w:rsidRPr="00097492">
        <w:t>variation, possibly based on users’ goals (e.g., quick borrowing vs. prolonged r</w:t>
      </w:r>
      <w:r w:rsidRPr="00097492">
        <w:t>eading or research). This score of 1.8-</w:t>
      </w:r>
      <w:r w:rsidR="002A190A" w:rsidRPr="00097492">
        <w:t>on a 5-poin</w:t>
      </w:r>
      <w:r w:rsidRPr="00097492">
        <w:t>t scale (1 = never, 5 = always)-</w:t>
      </w:r>
      <w:r w:rsidR="002A190A" w:rsidRPr="00097492">
        <w:t xml:space="preserve">is </w:t>
      </w:r>
      <w:r w:rsidR="002A190A" w:rsidRPr="00097492">
        <w:rPr>
          <w:rStyle w:val="Strong"/>
          <w:b w:val="0"/>
        </w:rPr>
        <w:t>very low</w:t>
      </w:r>
      <w:r w:rsidR="002A190A" w:rsidRPr="00097492">
        <w:t xml:space="preserve">, indicating that </w:t>
      </w:r>
      <w:r w:rsidR="002A190A" w:rsidRPr="00097492">
        <w:rPr>
          <w:rStyle w:val="Strong"/>
          <w:b w:val="0"/>
        </w:rPr>
        <w:t>most users rarely use assistive</w:t>
      </w:r>
      <w:r w:rsidR="002A190A" w:rsidRPr="00097492">
        <w:rPr>
          <w:rStyle w:val="Strong"/>
        </w:rPr>
        <w:t xml:space="preserve"> </w:t>
      </w:r>
      <w:r w:rsidR="002A190A" w:rsidRPr="00097492">
        <w:rPr>
          <w:rStyle w:val="Strong"/>
          <w:b w:val="0"/>
        </w:rPr>
        <w:t>tools</w:t>
      </w:r>
      <w:r w:rsidR="002A190A" w:rsidRPr="00097492">
        <w:t xml:space="preserve">, such as screen readers, braille displays, or magnification software. The SD of 1.0 shows </w:t>
      </w:r>
      <w:r w:rsidR="007C4249" w:rsidRPr="00097492">
        <w:t xml:space="preserve">little </w:t>
      </w:r>
      <w:r w:rsidR="002A190A" w:rsidRPr="00097492">
        <w:t xml:space="preserve">variability, likely reflecting that a minority of users (primarily persons with disabilities) make regular use of these tools. A score of </w:t>
      </w:r>
      <w:r w:rsidR="002A190A" w:rsidRPr="00097492">
        <w:rPr>
          <w:rStyle w:val="Strong"/>
          <w:b w:val="0"/>
        </w:rPr>
        <w:t>3.2 out of 5</w:t>
      </w:r>
      <w:r w:rsidR="002A190A" w:rsidRPr="00097492">
        <w:t xml:space="preserve"> suggests </w:t>
      </w:r>
      <w:r w:rsidR="002A190A" w:rsidRPr="00097492">
        <w:rPr>
          <w:rStyle w:val="Strong"/>
          <w:b w:val="0"/>
        </w:rPr>
        <w:t>a slightly positive perception</w:t>
      </w:r>
      <w:r w:rsidR="002A190A" w:rsidRPr="00097492">
        <w:t xml:space="preserve"> of how easy it is to navigate and use library systems and infrastructure. A relatively small SD (0.9) implies a fairly consistent perception among users. Participants rated the </w:t>
      </w:r>
      <w:r w:rsidR="002A190A" w:rsidRPr="00097492">
        <w:rPr>
          <w:rStyle w:val="Strong"/>
          <w:b w:val="0"/>
        </w:rPr>
        <w:t>usefulness of inclusive and ICT infrastructure at 3.3</w:t>
      </w:r>
      <w:r w:rsidR="002A190A" w:rsidRPr="00097492">
        <w:rPr>
          <w:b/>
        </w:rPr>
        <w:t xml:space="preserve">, </w:t>
      </w:r>
      <w:r w:rsidR="002A190A" w:rsidRPr="00097492">
        <w:t xml:space="preserve">again suggesting </w:t>
      </w:r>
      <w:r w:rsidR="002A190A" w:rsidRPr="00097492">
        <w:rPr>
          <w:rStyle w:val="Strong"/>
          <w:b w:val="0"/>
        </w:rPr>
        <w:t>moderate satisfaction</w:t>
      </w:r>
      <w:r w:rsidR="002A190A" w:rsidRPr="00097492">
        <w:t>. The standard deviation of 1.0 shows slight variability, with some users finding the tools more beneficial than others.</w:t>
      </w:r>
      <w:r w:rsidRPr="00097492">
        <w:t xml:space="preserve"> </w:t>
      </w:r>
      <w:r w:rsidR="0047599E" w:rsidRPr="00097492">
        <w:t>Patronage is moderate, though accessible infrastructure is lacking.</w:t>
      </w:r>
    </w:p>
    <w:p w:rsidR="00035B8B" w:rsidRPr="00097492" w:rsidRDefault="00035B8B" w:rsidP="00035B8B">
      <w:pPr>
        <w:spacing w:before="100" w:beforeAutospacing="1" w:after="100" w:afterAutospacing="1" w:line="240" w:lineRule="auto"/>
        <w:rPr>
          <w:rFonts w:ascii="Times New Roman" w:eastAsia="Times New Roman" w:hAnsi="Times New Roman"/>
          <w:b/>
          <w:sz w:val="24"/>
          <w:szCs w:val="24"/>
        </w:rPr>
      </w:pPr>
      <w:r w:rsidRPr="00097492">
        <w:rPr>
          <w:rFonts w:ascii="Times New Roman" w:eastAsia="Times New Roman" w:hAnsi="Times New Roman"/>
          <w:b/>
          <w:sz w:val="24"/>
          <w:szCs w:val="24"/>
        </w:rPr>
        <w:t>Strategies for improving accessibility and patronage through inclusive technology</w:t>
      </w:r>
    </w:p>
    <w:p w:rsidR="008748A3" w:rsidRPr="00097492" w:rsidRDefault="00A36AB9" w:rsidP="00950369">
      <w:pPr>
        <w:pStyle w:val="NormalWeb"/>
        <w:jc w:val="both"/>
        <w:rPr>
          <w:rStyle w:val="Emphasis"/>
          <w:i w:val="0"/>
          <w:iCs w:val="0"/>
        </w:rPr>
      </w:pPr>
      <w:r w:rsidRPr="00097492">
        <w:rPr>
          <w:rStyle w:val="Strong"/>
        </w:rPr>
        <w:t>Table 5</w:t>
      </w:r>
      <w:r w:rsidR="0047599E" w:rsidRPr="00097492">
        <w:rPr>
          <w:rStyle w:val="Strong"/>
        </w:rPr>
        <w:t>: Pearson Correlations (r)</w:t>
      </w:r>
    </w:p>
    <w:tbl>
      <w:tblPr>
        <w:tblW w:w="0" w:type="auto"/>
        <w:tblBorders>
          <w:top w:val="single" w:sz="4" w:space="0" w:color="auto"/>
          <w:bottom w:val="single" w:sz="4" w:space="0" w:color="auto"/>
        </w:tblBorders>
        <w:tblLook w:val="04A0"/>
      </w:tblPr>
      <w:tblGrid>
        <w:gridCol w:w="3192"/>
        <w:gridCol w:w="3192"/>
        <w:gridCol w:w="3192"/>
      </w:tblGrid>
      <w:tr w:rsidR="008748A3" w:rsidRPr="00097492" w:rsidTr="00E72C1E">
        <w:tc>
          <w:tcPr>
            <w:tcW w:w="3192" w:type="dxa"/>
            <w:tcBorders>
              <w:top w:val="single" w:sz="4" w:space="0" w:color="auto"/>
              <w:bottom w:val="single" w:sz="4" w:space="0" w:color="auto"/>
            </w:tcBorders>
            <w:vAlign w:val="center"/>
          </w:tcPr>
          <w:p w:rsidR="008748A3" w:rsidRPr="00097492" w:rsidRDefault="00202394" w:rsidP="00E72C1E">
            <w:pPr>
              <w:spacing w:after="0" w:line="240" w:lineRule="auto"/>
              <w:jc w:val="both"/>
              <w:rPr>
                <w:rFonts w:ascii="Times New Roman" w:hAnsi="Times New Roman"/>
                <w:b/>
                <w:bCs/>
                <w:sz w:val="24"/>
                <w:szCs w:val="24"/>
              </w:rPr>
            </w:pPr>
            <w:r w:rsidRPr="00097492">
              <w:rPr>
                <w:rFonts w:ascii="Times New Roman" w:hAnsi="Times New Roman"/>
                <w:b/>
                <w:bCs/>
                <w:sz w:val="24"/>
                <w:szCs w:val="24"/>
              </w:rPr>
              <w:t xml:space="preserve">Infrastructure </w:t>
            </w:r>
            <w:r w:rsidR="008748A3" w:rsidRPr="00097492">
              <w:rPr>
                <w:rFonts w:ascii="Times New Roman" w:hAnsi="Times New Roman"/>
                <w:b/>
                <w:bCs/>
                <w:sz w:val="24"/>
                <w:szCs w:val="24"/>
              </w:rPr>
              <w:t>Dimension</w:t>
            </w:r>
          </w:p>
        </w:tc>
        <w:tc>
          <w:tcPr>
            <w:tcW w:w="3192" w:type="dxa"/>
            <w:tcBorders>
              <w:top w:val="single" w:sz="4" w:space="0" w:color="auto"/>
              <w:bottom w:val="single" w:sz="4" w:space="0" w:color="auto"/>
            </w:tcBorders>
            <w:vAlign w:val="center"/>
          </w:tcPr>
          <w:p w:rsidR="008748A3" w:rsidRPr="00097492" w:rsidRDefault="008748A3" w:rsidP="00E72C1E">
            <w:pPr>
              <w:spacing w:after="0" w:line="240" w:lineRule="auto"/>
              <w:jc w:val="both"/>
              <w:rPr>
                <w:rFonts w:ascii="Times New Roman" w:hAnsi="Times New Roman"/>
                <w:b/>
                <w:bCs/>
                <w:sz w:val="24"/>
                <w:szCs w:val="24"/>
              </w:rPr>
            </w:pPr>
            <w:r w:rsidRPr="00097492">
              <w:rPr>
                <w:rFonts w:ascii="Times New Roman" w:hAnsi="Times New Roman"/>
                <w:b/>
                <w:bCs/>
                <w:sz w:val="24"/>
                <w:szCs w:val="24"/>
              </w:rPr>
              <w:t>Visits/week</w:t>
            </w:r>
          </w:p>
        </w:tc>
        <w:tc>
          <w:tcPr>
            <w:tcW w:w="3192" w:type="dxa"/>
            <w:tcBorders>
              <w:top w:val="single" w:sz="4" w:space="0" w:color="auto"/>
              <w:bottom w:val="single" w:sz="4" w:space="0" w:color="auto"/>
            </w:tcBorders>
            <w:vAlign w:val="center"/>
          </w:tcPr>
          <w:p w:rsidR="008748A3" w:rsidRPr="00097492" w:rsidRDefault="008748A3" w:rsidP="00E72C1E">
            <w:pPr>
              <w:spacing w:after="0" w:line="240" w:lineRule="auto"/>
              <w:jc w:val="both"/>
              <w:rPr>
                <w:rFonts w:ascii="Times New Roman" w:hAnsi="Times New Roman"/>
                <w:b/>
                <w:bCs/>
                <w:sz w:val="24"/>
                <w:szCs w:val="24"/>
              </w:rPr>
            </w:pPr>
            <w:r w:rsidRPr="00097492">
              <w:rPr>
                <w:rFonts w:ascii="Times New Roman" w:hAnsi="Times New Roman"/>
                <w:b/>
                <w:bCs/>
                <w:sz w:val="24"/>
                <w:szCs w:val="24"/>
              </w:rPr>
              <w:t>Hours/visit</w:t>
            </w:r>
          </w:p>
        </w:tc>
      </w:tr>
      <w:tr w:rsidR="008748A3" w:rsidRPr="00097492" w:rsidTr="00E72C1E">
        <w:tc>
          <w:tcPr>
            <w:tcW w:w="3192" w:type="dxa"/>
            <w:tcBorders>
              <w:top w:val="single" w:sz="4" w:space="0" w:color="auto"/>
            </w:tcBorders>
            <w:vAlign w:val="center"/>
          </w:tcPr>
          <w:p w:rsidR="008748A3" w:rsidRPr="00097492" w:rsidRDefault="008748A3" w:rsidP="00E72C1E">
            <w:pPr>
              <w:spacing w:after="0" w:line="240" w:lineRule="auto"/>
              <w:jc w:val="both"/>
              <w:rPr>
                <w:rFonts w:ascii="Times New Roman" w:hAnsi="Times New Roman"/>
                <w:sz w:val="24"/>
                <w:szCs w:val="24"/>
              </w:rPr>
            </w:pPr>
            <w:r w:rsidRPr="00097492">
              <w:rPr>
                <w:rFonts w:ascii="Times New Roman" w:hAnsi="Times New Roman"/>
                <w:sz w:val="24"/>
                <w:szCs w:val="24"/>
              </w:rPr>
              <w:t>Screen Readers</w:t>
            </w:r>
          </w:p>
        </w:tc>
        <w:tc>
          <w:tcPr>
            <w:tcW w:w="3192" w:type="dxa"/>
            <w:tcBorders>
              <w:top w:val="single" w:sz="4" w:space="0" w:color="auto"/>
            </w:tcBorders>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.50**</w:t>
            </w:r>
          </w:p>
        </w:tc>
        <w:tc>
          <w:tcPr>
            <w:tcW w:w="3192" w:type="dxa"/>
            <w:tcBorders>
              <w:top w:val="single" w:sz="4" w:space="0" w:color="auto"/>
            </w:tcBorders>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.48**</w:t>
            </w:r>
          </w:p>
        </w:tc>
      </w:tr>
      <w:tr w:rsidR="008748A3" w:rsidRPr="00097492" w:rsidTr="00E72C1E">
        <w:tc>
          <w:tcPr>
            <w:tcW w:w="3192" w:type="dxa"/>
            <w:vAlign w:val="center"/>
          </w:tcPr>
          <w:p w:rsidR="008748A3" w:rsidRPr="00097492" w:rsidRDefault="008748A3" w:rsidP="00E72C1E">
            <w:pPr>
              <w:spacing w:after="0" w:line="240" w:lineRule="auto"/>
              <w:jc w:val="both"/>
              <w:rPr>
                <w:rFonts w:ascii="Times New Roman" w:hAnsi="Times New Roman"/>
                <w:sz w:val="24"/>
                <w:szCs w:val="24"/>
              </w:rPr>
            </w:pPr>
            <w:r w:rsidRPr="00097492">
              <w:rPr>
                <w:rFonts w:ascii="Times New Roman" w:hAnsi="Times New Roman"/>
                <w:sz w:val="24"/>
                <w:szCs w:val="24"/>
              </w:rPr>
              <w:t>Audio Books</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.47**</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.45**</w:t>
            </w:r>
          </w:p>
        </w:tc>
      </w:tr>
      <w:tr w:rsidR="008748A3" w:rsidRPr="00097492" w:rsidTr="00E72C1E">
        <w:tc>
          <w:tcPr>
            <w:tcW w:w="3192" w:type="dxa"/>
            <w:vAlign w:val="center"/>
          </w:tcPr>
          <w:p w:rsidR="008748A3" w:rsidRPr="00097492" w:rsidRDefault="008748A3" w:rsidP="00E72C1E">
            <w:pPr>
              <w:spacing w:after="0" w:line="240" w:lineRule="auto"/>
              <w:jc w:val="both"/>
              <w:rPr>
                <w:rFonts w:ascii="Times New Roman" w:hAnsi="Times New Roman"/>
                <w:sz w:val="24"/>
                <w:szCs w:val="24"/>
              </w:rPr>
            </w:pPr>
            <w:r w:rsidRPr="00097492">
              <w:rPr>
                <w:rFonts w:ascii="Times New Roman" w:hAnsi="Times New Roman"/>
                <w:sz w:val="24"/>
                <w:szCs w:val="24"/>
              </w:rPr>
              <w:t>General ICT Access</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.58**</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.54**</w:t>
            </w:r>
          </w:p>
        </w:tc>
      </w:tr>
      <w:tr w:rsidR="008748A3" w:rsidRPr="00097492" w:rsidTr="00E72C1E">
        <w:tc>
          <w:tcPr>
            <w:tcW w:w="3192" w:type="dxa"/>
            <w:vAlign w:val="center"/>
          </w:tcPr>
          <w:p w:rsidR="008748A3" w:rsidRPr="00097492" w:rsidRDefault="008748A3" w:rsidP="00E72C1E">
            <w:pPr>
              <w:spacing w:after="0" w:line="240" w:lineRule="auto"/>
              <w:jc w:val="both"/>
              <w:rPr>
                <w:rFonts w:ascii="Times New Roman" w:hAnsi="Times New Roman"/>
                <w:sz w:val="24"/>
                <w:szCs w:val="24"/>
              </w:rPr>
            </w:pPr>
            <w:r w:rsidRPr="00097492">
              <w:rPr>
                <w:rFonts w:ascii="Times New Roman" w:hAnsi="Times New Roman"/>
                <w:sz w:val="24"/>
                <w:szCs w:val="24"/>
              </w:rPr>
              <w:t>Adjustable Desks</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.35*</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.30*</w:t>
            </w:r>
          </w:p>
        </w:tc>
      </w:tr>
      <w:tr w:rsidR="008748A3" w:rsidRPr="00097492" w:rsidTr="00E72C1E">
        <w:tc>
          <w:tcPr>
            <w:tcW w:w="3192" w:type="dxa"/>
            <w:vAlign w:val="center"/>
          </w:tcPr>
          <w:p w:rsidR="008748A3" w:rsidRPr="00097492" w:rsidRDefault="008748A3" w:rsidP="00E72C1E">
            <w:pPr>
              <w:spacing w:after="0" w:line="240" w:lineRule="auto"/>
              <w:jc w:val="both"/>
              <w:rPr>
                <w:rFonts w:ascii="Times New Roman" w:hAnsi="Times New Roman"/>
                <w:sz w:val="24"/>
                <w:szCs w:val="24"/>
              </w:rPr>
            </w:pPr>
            <w:r w:rsidRPr="00097492">
              <w:rPr>
                <w:rFonts w:ascii="Times New Roman" w:hAnsi="Times New Roman"/>
                <w:sz w:val="24"/>
                <w:szCs w:val="24"/>
              </w:rPr>
              <w:t>Staff Training</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.42**</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.40**</w:t>
            </w:r>
          </w:p>
        </w:tc>
      </w:tr>
      <w:tr w:rsidR="008748A3" w:rsidRPr="00097492" w:rsidTr="00E72C1E">
        <w:tc>
          <w:tcPr>
            <w:tcW w:w="3192" w:type="dxa"/>
            <w:vAlign w:val="center"/>
          </w:tcPr>
          <w:p w:rsidR="008748A3" w:rsidRPr="00097492" w:rsidRDefault="008748A3" w:rsidP="00E72C1E">
            <w:pPr>
              <w:spacing w:after="0" w:line="240" w:lineRule="auto"/>
              <w:jc w:val="both"/>
              <w:rPr>
                <w:rFonts w:ascii="Times New Roman" w:hAnsi="Times New Roman"/>
                <w:sz w:val="24"/>
                <w:szCs w:val="24"/>
              </w:rPr>
            </w:pPr>
            <w:r w:rsidRPr="00097492">
              <w:rPr>
                <w:rFonts w:ascii="Times New Roman" w:hAnsi="Times New Roman"/>
                <w:sz w:val="24"/>
                <w:szCs w:val="24"/>
              </w:rPr>
              <w:t>Accessibility Policy</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.38**</w:t>
            </w:r>
          </w:p>
        </w:tc>
        <w:tc>
          <w:tcPr>
            <w:tcW w:w="3192" w:type="dxa"/>
            <w:vAlign w:val="center"/>
          </w:tcPr>
          <w:p w:rsidR="008748A3" w:rsidRPr="00097492" w:rsidRDefault="00765B66" w:rsidP="00E72C1E">
            <w:pPr>
              <w:spacing w:after="0" w:line="240" w:lineRule="auto"/>
              <w:jc w:val="both"/>
              <w:rPr>
                <w:rFonts w:ascii="Times New Roman" w:hAnsi="Times New Roman"/>
                <w:sz w:val="24"/>
                <w:szCs w:val="24"/>
              </w:rPr>
            </w:pPr>
            <w:r w:rsidRPr="00097492">
              <w:rPr>
                <w:rFonts w:ascii="Times New Roman" w:hAnsi="Times New Roman"/>
                <w:sz w:val="24"/>
                <w:szCs w:val="24"/>
              </w:rPr>
              <w:t>0</w:t>
            </w:r>
            <w:r w:rsidR="008748A3" w:rsidRPr="00097492">
              <w:rPr>
                <w:rFonts w:ascii="Times New Roman" w:hAnsi="Times New Roman"/>
                <w:sz w:val="24"/>
                <w:szCs w:val="24"/>
              </w:rPr>
              <w:t>.36**</w:t>
            </w:r>
          </w:p>
        </w:tc>
      </w:tr>
    </w:tbl>
    <w:p w:rsidR="0047599E" w:rsidRPr="00097492" w:rsidRDefault="0047599E" w:rsidP="00950369">
      <w:pPr>
        <w:pStyle w:val="NormalWeb"/>
        <w:jc w:val="both"/>
        <w:rPr>
          <w:i/>
        </w:rPr>
      </w:pPr>
      <w:r w:rsidRPr="00097492">
        <w:rPr>
          <w:rStyle w:val="Emphasis"/>
          <w:i w:val="0"/>
        </w:rPr>
        <w:t>p &lt; .05</w:t>
      </w:r>
      <w:r w:rsidR="008748A3" w:rsidRPr="00097492">
        <w:rPr>
          <w:i/>
        </w:rPr>
        <w:t>*</w:t>
      </w:r>
      <w:r w:rsidRPr="00097492">
        <w:rPr>
          <w:rStyle w:val="Emphasis"/>
          <w:i w:val="0"/>
        </w:rPr>
        <w:t>; p &lt; .01</w:t>
      </w:r>
      <w:r w:rsidRPr="00097492">
        <w:rPr>
          <w:i/>
        </w:rPr>
        <w:t>*</w:t>
      </w:r>
      <w:r w:rsidR="008748A3" w:rsidRPr="00097492">
        <w:rPr>
          <w:i/>
        </w:rPr>
        <w:t>*</w:t>
      </w:r>
    </w:p>
    <w:p w:rsidR="005D2497" w:rsidRPr="00097492" w:rsidRDefault="0047599E" w:rsidP="00097492">
      <w:pPr>
        <w:pStyle w:val="Heading4"/>
        <w:jc w:val="both"/>
        <w:rPr>
          <w:rStyle w:val="Strong"/>
          <w:rFonts w:ascii="Times New Roman" w:hAnsi="Times New Roman"/>
          <w:bCs/>
          <w:i w:val="0"/>
          <w:color w:val="auto"/>
          <w:sz w:val="24"/>
          <w:szCs w:val="24"/>
        </w:rPr>
      </w:pPr>
      <w:r w:rsidRPr="00097492">
        <w:rPr>
          <w:rFonts w:ascii="Times New Roman" w:hAnsi="Times New Roman"/>
          <w:b w:val="0"/>
          <w:i w:val="0"/>
          <w:color w:val="auto"/>
          <w:sz w:val="24"/>
          <w:szCs w:val="24"/>
        </w:rPr>
        <w:t>All dimensions correlate</w:t>
      </w:r>
      <w:r w:rsidR="001D45C8" w:rsidRPr="00097492">
        <w:rPr>
          <w:rFonts w:ascii="Times New Roman" w:hAnsi="Times New Roman"/>
          <w:b w:val="0"/>
          <w:i w:val="0"/>
          <w:color w:val="auto"/>
          <w:sz w:val="24"/>
          <w:szCs w:val="24"/>
        </w:rPr>
        <w:t xml:space="preserve"> positively and</w:t>
      </w:r>
      <w:r w:rsidRPr="00097492">
        <w:rPr>
          <w:rFonts w:ascii="Times New Roman" w:hAnsi="Times New Roman"/>
          <w:b w:val="0"/>
          <w:i w:val="0"/>
          <w:color w:val="auto"/>
          <w:sz w:val="24"/>
          <w:szCs w:val="24"/>
        </w:rPr>
        <w:t xml:space="preserve"> significantly with usage</w:t>
      </w:r>
      <w:r w:rsidR="00234B56" w:rsidRPr="00097492">
        <w:rPr>
          <w:rFonts w:ascii="Times New Roman" w:hAnsi="Times New Roman"/>
          <w:b w:val="0"/>
          <w:i w:val="0"/>
          <w:color w:val="auto"/>
          <w:sz w:val="24"/>
          <w:szCs w:val="24"/>
        </w:rPr>
        <w:t xml:space="preserve"> (Table 5)</w:t>
      </w:r>
      <w:r w:rsidRPr="00097492">
        <w:rPr>
          <w:rFonts w:ascii="Times New Roman" w:hAnsi="Times New Roman"/>
          <w:b w:val="0"/>
          <w:i w:val="0"/>
          <w:color w:val="auto"/>
          <w:sz w:val="24"/>
          <w:szCs w:val="24"/>
        </w:rPr>
        <w:t>.</w:t>
      </w:r>
      <w:r w:rsidR="009D124E" w:rsidRPr="00097492">
        <w:rPr>
          <w:rFonts w:ascii="Times New Roman" w:hAnsi="Times New Roman"/>
          <w:b w:val="0"/>
          <w:i w:val="0"/>
          <w:color w:val="auto"/>
          <w:sz w:val="24"/>
          <w:szCs w:val="24"/>
        </w:rPr>
        <w:t xml:space="preserve"> The data reflect a </w:t>
      </w:r>
      <w:r w:rsidR="009D124E" w:rsidRPr="00097492">
        <w:rPr>
          <w:rStyle w:val="Strong"/>
          <w:rFonts w:ascii="Times New Roman" w:hAnsi="Times New Roman"/>
          <w:i w:val="0"/>
          <w:color w:val="auto"/>
          <w:sz w:val="24"/>
          <w:szCs w:val="24"/>
        </w:rPr>
        <w:t>disproportionate</w:t>
      </w:r>
      <w:r w:rsidR="009D124E" w:rsidRPr="00097492">
        <w:rPr>
          <w:rStyle w:val="Strong"/>
          <w:rFonts w:ascii="Times New Roman" w:hAnsi="Times New Roman"/>
          <w:b/>
          <w:i w:val="0"/>
          <w:color w:val="auto"/>
          <w:sz w:val="24"/>
          <w:szCs w:val="24"/>
        </w:rPr>
        <w:t xml:space="preserve"> </w:t>
      </w:r>
      <w:r w:rsidR="009D124E" w:rsidRPr="00097492">
        <w:rPr>
          <w:rStyle w:val="Strong"/>
          <w:rFonts w:ascii="Times New Roman" w:hAnsi="Times New Roman"/>
          <w:i w:val="0"/>
          <w:color w:val="auto"/>
          <w:sz w:val="24"/>
          <w:szCs w:val="24"/>
        </w:rPr>
        <w:t>development</w:t>
      </w:r>
      <w:r w:rsidR="009D124E" w:rsidRPr="00097492">
        <w:rPr>
          <w:rStyle w:val="Strong"/>
          <w:rFonts w:ascii="Times New Roman" w:hAnsi="Times New Roman"/>
          <w:b/>
          <w:i w:val="0"/>
          <w:color w:val="auto"/>
          <w:sz w:val="24"/>
          <w:szCs w:val="24"/>
        </w:rPr>
        <w:t xml:space="preserve"> </w:t>
      </w:r>
      <w:r w:rsidR="009D124E" w:rsidRPr="00097492">
        <w:rPr>
          <w:rStyle w:val="Strong"/>
          <w:rFonts w:ascii="Times New Roman" w:hAnsi="Times New Roman"/>
          <w:i w:val="0"/>
          <w:color w:val="auto"/>
          <w:sz w:val="24"/>
          <w:szCs w:val="24"/>
        </w:rPr>
        <w:t>of general versus inclusive technologies</w:t>
      </w:r>
      <w:r w:rsidR="009D124E" w:rsidRPr="00097492">
        <w:rPr>
          <w:rFonts w:ascii="Times New Roman" w:hAnsi="Times New Roman"/>
          <w:b w:val="0"/>
          <w:i w:val="0"/>
          <w:color w:val="auto"/>
          <w:sz w:val="24"/>
          <w:szCs w:val="24"/>
        </w:rPr>
        <w:t xml:space="preserve"> in university libraries in Southeast Nigeria. </w:t>
      </w:r>
      <w:r w:rsidR="009D124E" w:rsidRPr="00097492">
        <w:rPr>
          <w:rStyle w:val="Strong"/>
          <w:rFonts w:ascii="Times New Roman" w:hAnsi="Times New Roman"/>
          <w:bCs/>
          <w:i w:val="0"/>
          <w:color w:val="auto"/>
          <w:sz w:val="24"/>
          <w:szCs w:val="24"/>
        </w:rPr>
        <w:t xml:space="preserve">General ICT Access (r = </w:t>
      </w:r>
      <w:r w:rsidR="006B29D4" w:rsidRPr="00097492">
        <w:rPr>
          <w:rStyle w:val="Strong"/>
          <w:rFonts w:ascii="Times New Roman" w:hAnsi="Times New Roman"/>
          <w:bCs/>
          <w:i w:val="0"/>
          <w:color w:val="auto"/>
          <w:sz w:val="24"/>
          <w:szCs w:val="24"/>
        </w:rPr>
        <w:t>0</w:t>
      </w:r>
      <w:r w:rsidR="009D124E" w:rsidRPr="00097492">
        <w:rPr>
          <w:rStyle w:val="Strong"/>
          <w:rFonts w:ascii="Times New Roman" w:hAnsi="Times New Roman"/>
          <w:bCs/>
          <w:i w:val="0"/>
          <w:color w:val="auto"/>
          <w:sz w:val="24"/>
          <w:szCs w:val="24"/>
        </w:rPr>
        <w:t>.58</w:t>
      </w:r>
      <w:r w:rsidR="009D124E" w:rsidRPr="00097492">
        <w:rPr>
          <w:rFonts w:ascii="Times New Roman" w:hAnsi="Times New Roman"/>
          <w:i w:val="0"/>
          <w:color w:val="auto"/>
          <w:sz w:val="24"/>
          <w:szCs w:val="24"/>
        </w:rPr>
        <w:t xml:space="preserve">, </w:t>
      </w:r>
      <w:r w:rsidR="009D124E" w:rsidRPr="00097492">
        <w:rPr>
          <w:rStyle w:val="Strong"/>
          <w:rFonts w:ascii="Times New Roman" w:hAnsi="Times New Roman"/>
          <w:bCs/>
          <w:i w:val="0"/>
          <w:color w:val="auto"/>
          <w:sz w:val="24"/>
          <w:szCs w:val="24"/>
        </w:rPr>
        <w:t xml:space="preserve">.54) showed </w:t>
      </w:r>
      <w:r w:rsidR="009D124E" w:rsidRPr="00097492">
        <w:rPr>
          <w:rStyle w:val="Strong"/>
          <w:rFonts w:ascii="Times New Roman" w:hAnsi="Times New Roman"/>
          <w:i w:val="0"/>
          <w:color w:val="auto"/>
          <w:sz w:val="24"/>
          <w:szCs w:val="24"/>
        </w:rPr>
        <w:t>strongest</w:t>
      </w:r>
      <w:r w:rsidR="009D124E" w:rsidRPr="00097492">
        <w:rPr>
          <w:rStyle w:val="Strong"/>
          <w:rFonts w:ascii="Times New Roman" w:hAnsi="Times New Roman"/>
          <w:b/>
          <w:i w:val="0"/>
          <w:color w:val="auto"/>
          <w:sz w:val="24"/>
          <w:szCs w:val="24"/>
        </w:rPr>
        <w:t xml:space="preserve"> </w:t>
      </w:r>
      <w:r w:rsidR="009D124E" w:rsidRPr="00097492">
        <w:rPr>
          <w:rStyle w:val="Strong"/>
          <w:rFonts w:ascii="Times New Roman" w:hAnsi="Times New Roman"/>
          <w:i w:val="0"/>
          <w:color w:val="auto"/>
          <w:sz w:val="24"/>
          <w:szCs w:val="24"/>
        </w:rPr>
        <w:t>correlations</w:t>
      </w:r>
      <w:r w:rsidR="009D124E" w:rsidRPr="00097492">
        <w:rPr>
          <w:rFonts w:ascii="Times New Roman" w:hAnsi="Times New Roman"/>
          <w:b w:val="0"/>
          <w:i w:val="0"/>
          <w:color w:val="auto"/>
          <w:sz w:val="24"/>
          <w:szCs w:val="24"/>
        </w:rPr>
        <w:t xml:space="preserve"> among all variables.</w:t>
      </w:r>
      <w:r w:rsidR="009D124E" w:rsidRPr="00097492">
        <w:rPr>
          <w:rStyle w:val="Strong"/>
          <w:rFonts w:ascii="Times New Roman" w:hAnsi="Times New Roman"/>
          <w:b/>
          <w:bCs/>
          <w:i w:val="0"/>
          <w:color w:val="auto"/>
          <w:sz w:val="24"/>
          <w:szCs w:val="24"/>
        </w:rPr>
        <w:t xml:space="preserve"> </w:t>
      </w:r>
      <w:r w:rsidR="009D124E" w:rsidRPr="00097492">
        <w:rPr>
          <w:rStyle w:val="Strong"/>
          <w:rFonts w:ascii="Times New Roman" w:hAnsi="Times New Roman"/>
          <w:bCs/>
          <w:i w:val="0"/>
          <w:color w:val="auto"/>
          <w:sz w:val="24"/>
          <w:szCs w:val="24"/>
        </w:rPr>
        <w:t>Screen Readers (r =</w:t>
      </w:r>
      <w:r w:rsidR="006B29D4" w:rsidRPr="00097492">
        <w:rPr>
          <w:rStyle w:val="Strong"/>
          <w:rFonts w:ascii="Times New Roman" w:hAnsi="Times New Roman"/>
          <w:bCs/>
          <w:i w:val="0"/>
          <w:color w:val="auto"/>
          <w:sz w:val="24"/>
          <w:szCs w:val="24"/>
        </w:rPr>
        <w:t>0</w:t>
      </w:r>
      <w:r w:rsidR="009D124E" w:rsidRPr="00097492">
        <w:rPr>
          <w:rStyle w:val="Strong"/>
          <w:rFonts w:ascii="Times New Roman" w:hAnsi="Times New Roman"/>
          <w:bCs/>
          <w:i w:val="0"/>
          <w:color w:val="auto"/>
          <w:sz w:val="24"/>
          <w:szCs w:val="24"/>
        </w:rPr>
        <w:t xml:space="preserve"> .50</w:t>
      </w:r>
      <w:r w:rsidR="009D124E" w:rsidRPr="00097492">
        <w:rPr>
          <w:rFonts w:ascii="Times New Roman" w:hAnsi="Times New Roman"/>
          <w:i w:val="0"/>
          <w:color w:val="auto"/>
          <w:sz w:val="24"/>
          <w:szCs w:val="24"/>
        </w:rPr>
        <w:t xml:space="preserve">, </w:t>
      </w:r>
      <w:r w:rsidR="009D124E" w:rsidRPr="00097492">
        <w:rPr>
          <w:rStyle w:val="Strong"/>
          <w:rFonts w:ascii="Times New Roman" w:hAnsi="Times New Roman"/>
          <w:bCs/>
          <w:i w:val="0"/>
          <w:color w:val="auto"/>
          <w:sz w:val="24"/>
          <w:szCs w:val="24"/>
        </w:rPr>
        <w:t>.48)</w:t>
      </w:r>
      <w:r w:rsidR="009D124E" w:rsidRPr="00097492">
        <w:rPr>
          <w:rStyle w:val="Strong"/>
          <w:rFonts w:ascii="Times New Roman" w:hAnsi="Times New Roman"/>
          <w:b/>
          <w:bCs/>
          <w:i w:val="0"/>
          <w:color w:val="auto"/>
          <w:sz w:val="24"/>
          <w:szCs w:val="24"/>
        </w:rPr>
        <w:t xml:space="preserve"> </w:t>
      </w:r>
      <w:r w:rsidR="009D124E" w:rsidRPr="00097492">
        <w:rPr>
          <w:rStyle w:val="Strong"/>
          <w:rFonts w:ascii="Times New Roman" w:hAnsi="Times New Roman"/>
          <w:bCs/>
          <w:i w:val="0"/>
          <w:color w:val="auto"/>
          <w:sz w:val="24"/>
          <w:szCs w:val="24"/>
        </w:rPr>
        <w:t>was</w:t>
      </w:r>
      <w:r w:rsidR="009D124E" w:rsidRPr="00097492">
        <w:rPr>
          <w:rStyle w:val="Strong"/>
          <w:rFonts w:ascii="Times New Roman" w:hAnsi="Times New Roman"/>
          <w:b/>
          <w:bCs/>
          <w:i w:val="0"/>
          <w:color w:val="auto"/>
          <w:sz w:val="24"/>
          <w:szCs w:val="24"/>
        </w:rPr>
        <w:t xml:space="preserve"> </w:t>
      </w:r>
      <w:r w:rsidR="009D124E" w:rsidRPr="00097492">
        <w:rPr>
          <w:rFonts w:ascii="Times New Roman" w:hAnsi="Times New Roman"/>
          <w:b w:val="0"/>
          <w:i w:val="0"/>
          <w:color w:val="auto"/>
          <w:sz w:val="24"/>
          <w:szCs w:val="24"/>
        </w:rPr>
        <w:t xml:space="preserve">strong and significant relationship among all variables </w:t>
      </w:r>
      <w:r w:rsidR="009D124E" w:rsidRPr="00097492">
        <w:rPr>
          <w:rStyle w:val="Strong"/>
          <w:rFonts w:ascii="Times New Roman" w:hAnsi="Times New Roman"/>
          <w:bCs/>
          <w:i w:val="0"/>
          <w:color w:val="auto"/>
          <w:sz w:val="24"/>
          <w:szCs w:val="24"/>
        </w:rPr>
        <w:t>Audio Books (r =</w:t>
      </w:r>
      <w:r w:rsidR="006B29D4" w:rsidRPr="00097492">
        <w:rPr>
          <w:rStyle w:val="Strong"/>
          <w:rFonts w:ascii="Times New Roman" w:hAnsi="Times New Roman"/>
          <w:bCs/>
          <w:i w:val="0"/>
          <w:color w:val="auto"/>
          <w:sz w:val="24"/>
          <w:szCs w:val="24"/>
        </w:rPr>
        <w:t xml:space="preserve">  0</w:t>
      </w:r>
      <w:r w:rsidR="009D124E" w:rsidRPr="00097492">
        <w:rPr>
          <w:rStyle w:val="Strong"/>
          <w:rFonts w:ascii="Times New Roman" w:hAnsi="Times New Roman"/>
          <w:bCs/>
          <w:i w:val="0"/>
          <w:color w:val="auto"/>
          <w:sz w:val="24"/>
          <w:szCs w:val="24"/>
        </w:rPr>
        <w:t xml:space="preserve"> .47</w:t>
      </w:r>
      <w:r w:rsidR="009D124E" w:rsidRPr="00097492">
        <w:rPr>
          <w:rFonts w:ascii="Times New Roman" w:hAnsi="Times New Roman"/>
          <w:i w:val="0"/>
          <w:color w:val="auto"/>
          <w:sz w:val="24"/>
          <w:szCs w:val="24"/>
        </w:rPr>
        <w:t xml:space="preserve">, </w:t>
      </w:r>
      <w:r w:rsidR="009D124E" w:rsidRPr="00097492">
        <w:rPr>
          <w:rStyle w:val="Strong"/>
          <w:rFonts w:ascii="Times New Roman" w:hAnsi="Times New Roman"/>
          <w:bCs/>
          <w:i w:val="0"/>
          <w:color w:val="auto"/>
          <w:sz w:val="24"/>
          <w:szCs w:val="24"/>
        </w:rPr>
        <w:t>.45)</w:t>
      </w:r>
      <w:r w:rsidR="009D124E" w:rsidRPr="00097492">
        <w:rPr>
          <w:rFonts w:ascii="Times New Roman" w:hAnsi="Times New Roman"/>
          <w:i w:val="0"/>
          <w:color w:val="auto"/>
          <w:sz w:val="24"/>
          <w:szCs w:val="24"/>
        </w:rPr>
        <w:t xml:space="preserve"> </w:t>
      </w:r>
      <w:r w:rsidR="009D124E" w:rsidRPr="00097492">
        <w:rPr>
          <w:rFonts w:ascii="Times New Roman" w:hAnsi="Times New Roman"/>
          <w:b w:val="0"/>
          <w:i w:val="0"/>
          <w:color w:val="auto"/>
          <w:sz w:val="24"/>
          <w:szCs w:val="24"/>
        </w:rPr>
        <w:t>was strong with positive correlation.</w:t>
      </w:r>
      <w:r w:rsidR="009D124E" w:rsidRPr="00097492">
        <w:rPr>
          <w:rStyle w:val="Strong"/>
          <w:rFonts w:ascii="Times New Roman" w:hAnsi="Times New Roman"/>
          <w:b/>
          <w:bCs/>
          <w:i w:val="0"/>
          <w:color w:val="auto"/>
          <w:sz w:val="24"/>
          <w:szCs w:val="24"/>
        </w:rPr>
        <w:t xml:space="preserve"> </w:t>
      </w:r>
      <w:r w:rsidR="009D124E" w:rsidRPr="00097492">
        <w:rPr>
          <w:rStyle w:val="Strong"/>
          <w:rFonts w:ascii="Times New Roman" w:hAnsi="Times New Roman"/>
          <w:bCs/>
          <w:i w:val="0"/>
          <w:color w:val="auto"/>
          <w:sz w:val="24"/>
          <w:szCs w:val="24"/>
        </w:rPr>
        <w:t xml:space="preserve">Staff Training (r = </w:t>
      </w:r>
      <w:r w:rsidR="006B29D4" w:rsidRPr="00097492">
        <w:rPr>
          <w:rStyle w:val="Strong"/>
          <w:rFonts w:ascii="Times New Roman" w:hAnsi="Times New Roman"/>
          <w:bCs/>
          <w:i w:val="0"/>
          <w:color w:val="auto"/>
          <w:sz w:val="24"/>
          <w:szCs w:val="24"/>
        </w:rPr>
        <w:t>0</w:t>
      </w:r>
      <w:r w:rsidR="009D124E" w:rsidRPr="00097492">
        <w:rPr>
          <w:rStyle w:val="Strong"/>
          <w:rFonts w:ascii="Times New Roman" w:hAnsi="Times New Roman"/>
          <w:bCs/>
          <w:i w:val="0"/>
          <w:color w:val="auto"/>
          <w:sz w:val="24"/>
          <w:szCs w:val="24"/>
        </w:rPr>
        <w:t>.42</w:t>
      </w:r>
      <w:r w:rsidR="009D124E" w:rsidRPr="00097492">
        <w:rPr>
          <w:rFonts w:ascii="Times New Roman" w:hAnsi="Times New Roman"/>
          <w:i w:val="0"/>
          <w:color w:val="auto"/>
          <w:sz w:val="24"/>
          <w:szCs w:val="24"/>
        </w:rPr>
        <w:t xml:space="preserve">, </w:t>
      </w:r>
      <w:r w:rsidR="009D124E" w:rsidRPr="00097492">
        <w:rPr>
          <w:rStyle w:val="Strong"/>
          <w:rFonts w:ascii="Times New Roman" w:hAnsi="Times New Roman"/>
          <w:bCs/>
          <w:i w:val="0"/>
          <w:color w:val="auto"/>
          <w:sz w:val="24"/>
          <w:szCs w:val="24"/>
        </w:rPr>
        <w:t>.40)</w:t>
      </w:r>
      <w:r w:rsidR="00551AF6" w:rsidRPr="00097492">
        <w:rPr>
          <w:rStyle w:val="Strong"/>
          <w:rFonts w:ascii="Times New Roman" w:hAnsi="Times New Roman"/>
          <w:bCs/>
          <w:i w:val="0"/>
          <w:color w:val="auto"/>
          <w:sz w:val="24"/>
          <w:szCs w:val="24"/>
        </w:rPr>
        <w:t xml:space="preserve"> </w:t>
      </w:r>
      <w:r w:rsidR="009D124E" w:rsidRPr="00097492">
        <w:rPr>
          <w:rStyle w:val="Strong"/>
          <w:rFonts w:ascii="Times New Roman" w:hAnsi="Times New Roman"/>
          <w:bCs/>
          <w:i w:val="0"/>
          <w:color w:val="auto"/>
          <w:sz w:val="24"/>
          <w:szCs w:val="24"/>
        </w:rPr>
        <w:t>was</w:t>
      </w:r>
      <w:r w:rsidR="009D124E" w:rsidRPr="00097492">
        <w:rPr>
          <w:rFonts w:ascii="Times New Roman" w:hAnsi="Times New Roman"/>
          <w:b w:val="0"/>
          <w:i w:val="0"/>
          <w:color w:val="auto"/>
          <w:sz w:val="24"/>
          <w:szCs w:val="24"/>
        </w:rPr>
        <w:t xml:space="preserve"> moderate to strong relationship. </w:t>
      </w:r>
      <w:r w:rsidR="009D124E" w:rsidRPr="00097492">
        <w:rPr>
          <w:rStyle w:val="Strong"/>
          <w:rFonts w:ascii="Times New Roman" w:hAnsi="Times New Roman"/>
          <w:bCs/>
          <w:i w:val="0"/>
          <w:color w:val="auto"/>
          <w:sz w:val="24"/>
          <w:szCs w:val="24"/>
        </w:rPr>
        <w:t xml:space="preserve">Accessibility Policy (r = </w:t>
      </w:r>
      <w:r w:rsidR="006B29D4" w:rsidRPr="00097492">
        <w:rPr>
          <w:rStyle w:val="Strong"/>
          <w:rFonts w:ascii="Times New Roman" w:hAnsi="Times New Roman"/>
          <w:bCs/>
          <w:i w:val="0"/>
          <w:color w:val="auto"/>
          <w:sz w:val="24"/>
          <w:szCs w:val="24"/>
        </w:rPr>
        <w:t>0</w:t>
      </w:r>
      <w:r w:rsidR="009D124E" w:rsidRPr="00097492">
        <w:rPr>
          <w:rStyle w:val="Strong"/>
          <w:rFonts w:ascii="Times New Roman" w:hAnsi="Times New Roman"/>
          <w:bCs/>
          <w:i w:val="0"/>
          <w:color w:val="auto"/>
          <w:sz w:val="24"/>
          <w:szCs w:val="24"/>
        </w:rPr>
        <w:t>.38</w:t>
      </w:r>
      <w:r w:rsidR="009D124E" w:rsidRPr="00097492">
        <w:rPr>
          <w:rFonts w:ascii="Times New Roman" w:hAnsi="Times New Roman"/>
          <w:i w:val="0"/>
          <w:color w:val="auto"/>
          <w:sz w:val="24"/>
          <w:szCs w:val="24"/>
        </w:rPr>
        <w:t xml:space="preserve">, </w:t>
      </w:r>
      <w:r w:rsidR="009D124E" w:rsidRPr="00097492">
        <w:rPr>
          <w:rStyle w:val="Strong"/>
          <w:rFonts w:ascii="Times New Roman" w:hAnsi="Times New Roman"/>
          <w:bCs/>
          <w:i w:val="0"/>
          <w:color w:val="auto"/>
          <w:sz w:val="24"/>
          <w:szCs w:val="24"/>
        </w:rPr>
        <w:t>.36)</w:t>
      </w:r>
      <w:r w:rsidR="009D124E" w:rsidRPr="00097492">
        <w:rPr>
          <w:rFonts w:ascii="Times New Roman" w:hAnsi="Times New Roman"/>
          <w:i w:val="0"/>
          <w:color w:val="auto"/>
          <w:sz w:val="24"/>
          <w:szCs w:val="24"/>
        </w:rPr>
        <w:t xml:space="preserve"> </w:t>
      </w:r>
      <w:r w:rsidR="009D124E" w:rsidRPr="00097492">
        <w:rPr>
          <w:rFonts w:ascii="Times New Roman" w:hAnsi="Times New Roman"/>
          <w:b w:val="0"/>
          <w:i w:val="0"/>
          <w:color w:val="auto"/>
          <w:sz w:val="24"/>
          <w:szCs w:val="24"/>
        </w:rPr>
        <w:t>showed moderate correlation.</w:t>
      </w:r>
      <w:r w:rsidR="009D124E" w:rsidRPr="00097492">
        <w:rPr>
          <w:rStyle w:val="Emphasis"/>
          <w:rFonts w:ascii="Times New Roman" w:hAnsi="Times New Roman"/>
          <w:b w:val="0"/>
          <w:i/>
          <w:color w:val="auto"/>
          <w:sz w:val="24"/>
          <w:szCs w:val="24"/>
        </w:rPr>
        <w:t xml:space="preserve"> </w:t>
      </w:r>
      <w:r w:rsidR="009D124E" w:rsidRPr="00097492">
        <w:rPr>
          <w:rStyle w:val="Emphasis"/>
          <w:rFonts w:ascii="Times New Roman" w:hAnsi="Times New Roman"/>
          <w:b w:val="0"/>
          <w:color w:val="auto"/>
          <w:sz w:val="24"/>
          <w:szCs w:val="24"/>
        </w:rPr>
        <w:t>Adjustable Desks</w:t>
      </w:r>
      <w:r w:rsidR="009D124E" w:rsidRPr="00097492">
        <w:rPr>
          <w:rStyle w:val="Emphasis"/>
          <w:rFonts w:ascii="Times New Roman" w:hAnsi="Times New Roman"/>
          <w:b w:val="0"/>
          <w:i/>
          <w:color w:val="auto"/>
          <w:sz w:val="24"/>
          <w:szCs w:val="24"/>
        </w:rPr>
        <w:t xml:space="preserve"> </w:t>
      </w:r>
      <w:r w:rsidR="009D124E" w:rsidRPr="00097492">
        <w:rPr>
          <w:rStyle w:val="Emphasis"/>
          <w:rFonts w:ascii="Times New Roman" w:hAnsi="Times New Roman"/>
          <w:b w:val="0"/>
          <w:color w:val="auto"/>
          <w:sz w:val="24"/>
          <w:szCs w:val="24"/>
        </w:rPr>
        <w:t>(r =</w:t>
      </w:r>
      <w:r w:rsidR="006B29D4" w:rsidRPr="00097492">
        <w:rPr>
          <w:rStyle w:val="Emphasis"/>
          <w:rFonts w:ascii="Times New Roman" w:hAnsi="Times New Roman"/>
          <w:b w:val="0"/>
          <w:color w:val="auto"/>
          <w:sz w:val="24"/>
          <w:szCs w:val="24"/>
        </w:rPr>
        <w:t>0</w:t>
      </w:r>
      <w:r w:rsidR="009D124E" w:rsidRPr="00097492">
        <w:rPr>
          <w:rStyle w:val="Emphasis"/>
          <w:rFonts w:ascii="Times New Roman" w:hAnsi="Times New Roman"/>
          <w:b w:val="0"/>
          <w:color w:val="auto"/>
          <w:sz w:val="24"/>
          <w:szCs w:val="24"/>
        </w:rPr>
        <w:t xml:space="preserve"> .35, .30</w:t>
      </w:r>
      <w:r w:rsidR="009D124E" w:rsidRPr="00097492">
        <w:rPr>
          <w:rFonts w:ascii="Times New Roman" w:hAnsi="Times New Roman"/>
          <w:b w:val="0"/>
          <w:color w:val="auto"/>
          <w:sz w:val="24"/>
          <w:szCs w:val="24"/>
        </w:rPr>
        <w:t xml:space="preserve">) </w:t>
      </w:r>
      <w:r w:rsidR="009D124E" w:rsidRPr="00097492">
        <w:rPr>
          <w:rFonts w:ascii="Times New Roman" w:hAnsi="Times New Roman"/>
          <w:b w:val="0"/>
          <w:i w:val="0"/>
          <w:color w:val="auto"/>
          <w:sz w:val="24"/>
          <w:szCs w:val="24"/>
        </w:rPr>
        <w:t>was lowest but still significant correlation.</w:t>
      </w:r>
    </w:p>
    <w:p w:rsidR="00097492" w:rsidRPr="00097492" w:rsidRDefault="006C59C7" w:rsidP="00097492">
      <w:pPr>
        <w:jc w:val="both"/>
        <w:rPr>
          <w:rStyle w:val="Strong"/>
          <w:rFonts w:ascii="Times New Roman" w:hAnsi="Times New Roman"/>
          <w:bCs w:val="0"/>
          <w:sz w:val="24"/>
          <w:szCs w:val="24"/>
        </w:rPr>
      </w:pPr>
      <w:r w:rsidRPr="00097492">
        <w:rPr>
          <w:rStyle w:val="Strong"/>
          <w:rFonts w:ascii="Times New Roman" w:hAnsi="Times New Roman"/>
          <w:bCs w:val="0"/>
          <w:sz w:val="24"/>
          <w:szCs w:val="24"/>
        </w:rPr>
        <w:t>Discussion</w:t>
      </w:r>
    </w:p>
    <w:p w:rsidR="001124F2" w:rsidRPr="00097492" w:rsidRDefault="001124F2" w:rsidP="00097492">
      <w:pPr>
        <w:jc w:val="both"/>
        <w:rPr>
          <w:rFonts w:ascii="Times New Roman" w:hAnsi="Times New Roman"/>
          <w:b/>
          <w:sz w:val="24"/>
          <w:szCs w:val="24"/>
        </w:rPr>
      </w:pPr>
      <w:r w:rsidRPr="00097492">
        <w:rPr>
          <w:rFonts w:ascii="Times New Roman" w:hAnsi="Times New Roman"/>
        </w:rPr>
        <w:t>This near parity in gender distribution suggests that the study sample reflects a relatively balanced male-to-female ratio common in Nigerian public universities. Although slightly more males participated, the gap is not significant enough to skew interpretations based on gender.</w:t>
      </w:r>
      <w:r w:rsidRPr="00097492">
        <w:rPr>
          <w:rFonts w:ascii="Times New Roman" w:hAnsi="Times New Roman"/>
        </w:rPr>
        <w:br/>
        <w:t xml:space="preserve">However, </w:t>
      </w:r>
      <w:r w:rsidR="005D2497" w:rsidRPr="00097492">
        <w:rPr>
          <w:rFonts w:ascii="Times New Roman" w:hAnsi="Times New Roman"/>
        </w:rPr>
        <w:t>r</w:t>
      </w:r>
      <w:r w:rsidR="007D1EF7" w:rsidRPr="00097492">
        <w:rPr>
          <w:rFonts w:ascii="Times New Roman" w:hAnsi="Times New Roman"/>
        </w:rPr>
        <w:t xml:space="preserve">esearch by </w:t>
      </w:r>
      <w:r w:rsidR="007D1EF7" w:rsidRPr="00097492">
        <w:rPr>
          <w:rStyle w:val="Strong"/>
          <w:rFonts w:ascii="Times New Roman" w:hAnsi="Times New Roman"/>
          <w:b w:val="0"/>
        </w:rPr>
        <w:t>Adebayo (2021)</w:t>
      </w:r>
      <w:r w:rsidR="007D1EF7" w:rsidRPr="00097492">
        <w:rPr>
          <w:rFonts w:ascii="Times New Roman" w:hAnsi="Times New Roman"/>
          <w:b/>
        </w:rPr>
        <w:t xml:space="preserve"> </w:t>
      </w:r>
      <w:r w:rsidR="007D1EF7" w:rsidRPr="00097492">
        <w:rPr>
          <w:rFonts w:ascii="Times New Roman" w:hAnsi="Times New Roman"/>
        </w:rPr>
        <w:t>and</w:t>
      </w:r>
      <w:r w:rsidR="007D1EF7" w:rsidRPr="00097492">
        <w:rPr>
          <w:rFonts w:ascii="Times New Roman" w:hAnsi="Times New Roman"/>
          <w:b/>
        </w:rPr>
        <w:t xml:space="preserve"> </w:t>
      </w:r>
      <w:r w:rsidR="007D1EF7" w:rsidRPr="00097492">
        <w:rPr>
          <w:rStyle w:val="Strong"/>
          <w:rFonts w:ascii="Times New Roman" w:hAnsi="Times New Roman"/>
          <w:b w:val="0"/>
        </w:rPr>
        <w:t>Alabi &amp; Bakare (2020)</w:t>
      </w:r>
      <w:r w:rsidR="007D1EF7" w:rsidRPr="00097492">
        <w:rPr>
          <w:rFonts w:ascii="Times New Roman" w:hAnsi="Times New Roman"/>
        </w:rPr>
        <w:t xml:space="preserve"> found that male students often dominate library and ICT usage spaces due to higher</w:t>
      </w:r>
      <w:r w:rsidR="00012AF7" w:rsidRPr="00097492">
        <w:rPr>
          <w:rFonts w:ascii="Times New Roman" w:hAnsi="Times New Roman"/>
        </w:rPr>
        <w:t xml:space="preserve"> enrol</w:t>
      </w:r>
      <w:r w:rsidR="005D2497" w:rsidRPr="00097492">
        <w:rPr>
          <w:rFonts w:ascii="Times New Roman" w:hAnsi="Times New Roman"/>
        </w:rPr>
        <w:t>lment rates in technology because of</w:t>
      </w:r>
      <w:r w:rsidR="00012AF7" w:rsidRPr="00097492">
        <w:rPr>
          <w:rFonts w:ascii="Times New Roman" w:hAnsi="Times New Roman"/>
        </w:rPr>
        <w:t xml:space="preserve"> expected higher future financial reward, </w:t>
      </w:r>
      <w:r w:rsidR="007D1EF7" w:rsidRPr="00097492">
        <w:rPr>
          <w:rFonts w:ascii="Times New Roman" w:hAnsi="Times New Roman"/>
        </w:rPr>
        <w:t xml:space="preserve">oriented programs and greater social mobility. </w:t>
      </w:r>
      <w:r w:rsidRPr="00097492">
        <w:rPr>
          <w:rFonts w:ascii="Times New Roman" w:hAnsi="Times New Roman"/>
        </w:rPr>
        <w:t>It is essential to ensure that infrastructure planning considers gender equity to prevent exclusion in access to inclusive resources.</w:t>
      </w:r>
    </w:p>
    <w:p w:rsidR="001124F2" w:rsidRPr="00097492" w:rsidRDefault="001124F2" w:rsidP="00950369">
      <w:pPr>
        <w:pStyle w:val="NormalWeb"/>
        <w:jc w:val="both"/>
      </w:pPr>
      <w:r w:rsidRPr="00097492">
        <w:t xml:space="preserve">The overwhelming majority of participants are students, which is appropriate for a study focused on </w:t>
      </w:r>
      <w:r w:rsidRPr="00097492">
        <w:rPr>
          <w:rStyle w:val="Strong"/>
          <w:b w:val="0"/>
        </w:rPr>
        <w:t>library patronage</w:t>
      </w:r>
      <w:r w:rsidRPr="00097492">
        <w:t>, as students are the primary users of academic library services.</w:t>
      </w:r>
      <w:r w:rsidRPr="00097492">
        <w:br/>
      </w:r>
      <w:r w:rsidRPr="00097492">
        <w:lastRenderedPageBreak/>
        <w:t xml:space="preserve">The 20% staff representation includes librarians, ICT personnel, and academic staff, who are key in policy implementation and service delivery. Their perspectives are critical to understanding both the </w:t>
      </w:r>
      <w:r w:rsidRPr="00097492">
        <w:rPr>
          <w:rStyle w:val="Strong"/>
          <w:b w:val="0"/>
        </w:rPr>
        <w:t>user experience (students)</w:t>
      </w:r>
      <w:r w:rsidRPr="00097492">
        <w:t xml:space="preserve"> and the </w:t>
      </w:r>
      <w:r w:rsidRPr="00097492">
        <w:rPr>
          <w:rStyle w:val="Strong"/>
          <w:b w:val="0"/>
        </w:rPr>
        <w:t>provider capacity (staff)</w:t>
      </w:r>
      <w:r w:rsidRPr="00097492">
        <w:t xml:space="preserve"> for inclusive technological services. This distribution aligns with similar research by Omeluzor &amp; Anyaegbu (2019), who emphasized the importance of staff-student interaction in creating inclusive library environments. It also ensures a holistic understanding of both demand (students) and supply (staff) dynamics in university libraries.</w:t>
      </w:r>
    </w:p>
    <w:p w:rsidR="001124F2" w:rsidRPr="00097492" w:rsidRDefault="001124F2" w:rsidP="00950369">
      <w:pPr>
        <w:pStyle w:val="NormalWeb"/>
        <w:jc w:val="both"/>
      </w:pPr>
      <w:r w:rsidRPr="00097492">
        <w:t xml:space="preserve">This demographic is particularly important given the study's focus on </w:t>
      </w:r>
      <w:r w:rsidRPr="00097492">
        <w:rPr>
          <w:rStyle w:val="Emphasis"/>
          <w:i w:val="0"/>
        </w:rPr>
        <w:t>inclusive infrastructure</w:t>
      </w:r>
      <w:r w:rsidRPr="00097492">
        <w:t xml:space="preserve">. The 16% representation of individuals with disabilities exceeds the national average of around 10% (WHO &amp; World Bank, 2011) and enhances the </w:t>
      </w:r>
      <w:r w:rsidRPr="00097492">
        <w:rPr>
          <w:rStyle w:val="Strong"/>
          <w:b w:val="0"/>
        </w:rPr>
        <w:t>validity of inclusion-focused analysis</w:t>
      </w:r>
      <w:r w:rsidR="00CB52DE" w:rsidRPr="00097492">
        <w:t xml:space="preserve">. </w:t>
      </w:r>
      <w:r w:rsidRPr="00097492">
        <w:t xml:space="preserve">Most participants with disabilities identified as </w:t>
      </w:r>
      <w:r w:rsidRPr="00097492">
        <w:rPr>
          <w:rStyle w:val="Strong"/>
          <w:b w:val="0"/>
        </w:rPr>
        <w:t>visually impaired</w:t>
      </w:r>
      <w:r w:rsidRPr="00097492">
        <w:rPr>
          <w:b/>
        </w:rPr>
        <w:t xml:space="preserve"> </w:t>
      </w:r>
      <w:r w:rsidRPr="00097492">
        <w:t>or having</w:t>
      </w:r>
      <w:r w:rsidRPr="00097492">
        <w:rPr>
          <w:b/>
        </w:rPr>
        <w:t xml:space="preserve"> </w:t>
      </w:r>
      <w:r w:rsidRPr="00097492">
        <w:rPr>
          <w:rStyle w:val="Strong"/>
          <w:b w:val="0"/>
        </w:rPr>
        <w:t>mobility-related</w:t>
      </w:r>
      <w:r w:rsidRPr="00097492">
        <w:rPr>
          <w:rStyle w:val="Strong"/>
        </w:rPr>
        <w:t xml:space="preserve"> </w:t>
      </w:r>
      <w:r w:rsidRPr="00097492">
        <w:rPr>
          <w:rStyle w:val="Strong"/>
          <w:b w:val="0"/>
        </w:rPr>
        <w:t>challenges</w:t>
      </w:r>
      <w:r w:rsidR="00482A02" w:rsidRPr="00097492">
        <w:t>-</w:t>
      </w:r>
      <w:r w:rsidRPr="00097492">
        <w:t>two groups for whom inclusive technology (e.g., screen readers, adj</w:t>
      </w:r>
      <w:r w:rsidR="00CB52DE" w:rsidRPr="00097492">
        <w:t>ustable furniture) is critical. The inclusion of staff highlights the need to build internal capacity for supporting inclusive policies. Staff must be equipped, trained, and motivated to help bridge technological and accessibility gaps.</w:t>
      </w:r>
    </w:p>
    <w:p w:rsidR="00B451B5" w:rsidRPr="00097492" w:rsidRDefault="00B451B5"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Equal participant contribution from each </w:t>
      </w:r>
      <w:r w:rsidRPr="00097492">
        <w:rPr>
          <w:rFonts w:ascii="Times New Roman" w:eastAsia="Times New Roman" w:hAnsi="Times New Roman"/>
          <w:bCs/>
          <w:sz w:val="24"/>
          <w:szCs w:val="24"/>
        </w:rPr>
        <w:t>state</w:t>
      </w:r>
      <w:r w:rsidRPr="00097492">
        <w:rPr>
          <w:rFonts w:ascii="Times New Roman" w:eastAsia="Times New Roman" w:hAnsi="Times New Roman"/>
          <w:sz w:val="24"/>
          <w:szCs w:val="24"/>
        </w:rPr>
        <w:t xml:space="preserve"> (40 respondents) and each </w:t>
      </w:r>
      <w:r w:rsidRPr="00097492">
        <w:rPr>
          <w:rFonts w:ascii="Times New Roman" w:eastAsia="Times New Roman" w:hAnsi="Times New Roman"/>
          <w:bCs/>
          <w:sz w:val="24"/>
          <w:szCs w:val="24"/>
        </w:rPr>
        <w:t>institution</w:t>
      </w:r>
      <w:r w:rsidRPr="00097492">
        <w:rPr>
          <w:rFonts w:ascii="Times New Roman" w:eastAsia="Times New Roman" w:hAnsi="Times New Roman"/>
          <w:sz w:val="24"/>
          <w:szCs w:val="24"/>
        </w:rPr>
        <w:t xml:space="preserve"> (20 respondents) ensures regional representation and </w:t>
      </w:r>
      <w:r w:rsidRPr="00097492">
        <w:rPr>
          <w:rFonts w:ascii="Times New Roman" w:eastAsia="Times New Roman" w:hAnsi="Times New Roman"/>
          <w:bCs/>
          <w:sz w:val="24"/>
          <w:szCs w:val="24"/>
        </w:rPr>
        <w:t>institutional balance</w:t>
      </w:r>
      <w:r w:rsidRPr="00097492">
        <w:rPr>
          <w:rFonts w:ascii="Times New Roman" w:eastAsia="Times New Roman" w:hAnsi="Times New Roman"/>
          <w:sz w:val="24"/>
          <w:szCs w:val="24"/>
        </w:rPr>
        <w:t xml:space="preserve"> in analyzing the effect of inclusive infrastructure across Southeast Nigeria.</w:t>
      </w:r>
    </w:p>
    <w:p w:rsidR="00836792" w:rsidRPr="00097492" w:rsidRDefault="00DD06FD" w:rsidP="00126586">
      <w:pPr>
        <w:pStyle w:val="NormalWeb"/>
        <w:jc w:val="both"/>
      </w:pPr>
      <w:r w:rsidRPr="00097492">
        <w:t xml:space="preserve">ICT is the most available infrastructure component. </w:t>
      </w:r>
      <w:r w:rsidR="00F767BB" w:rsidRPr="00097492">
        <w:t>General ICT laboratories</w:t>
      </w:r>
      <w:r w:rsidR="0039650E" w:rsidRPr="00097492">
        <w:t xml:space="preserve"> typically include internet-enabled computers, printing services, and access to e-resources, which benefit all users. </w:t>
      </w:r>
      <w:r w:rsidRPr="00097492">
        <w:t>Universities prioritize ICT infrastructure for mainstream needs but may overlook specialized technologies for persons with disabilities. Omeluzor and Anyaegb</w:t>
      </w:r>
      <w:r w:rsidR="00F767BB" w:rsidRPr="00097492">
        <w:t>u (2019) confirmed that ICT laboratories</w:t>
      </w:r>
      <w:r w:rsidRPr="00097492">
        <w:t xml:space="preserve"> are well developed in Nigerian universities, especially with TETFund support.</w:t>
      </w:r>
      <w:r w:rsidR="0039650E" w:rsidRPr="00097492">
        <w:t xml:space="preserve"> Screen readers are critical for blind or visually impaired </w:t>
      </w:r>
      <w:r w:rsidR="00F767BB" w:rsidRPr="00097492">
        <w:t>users;</w:t>
      </w:r>
      <w:r w:rsidR="0039650E" w:rsidRPr="00097492">
        <w:t xml:space="preserve"> converting text to audio.</w:t>
      </w:r>
      <w:r w:rsidR="00F767BB" w:rsidRPr="00097492">
        <w:t xml:space="preserve"> </w:t>
      </w:r>
      <w:r w:rsidR="0039650E" w:rsidRPr="00097492">
        <w:t>The low availability score reflects significa</w:t>
      </w:r>
      <w:r w:rsidR="00126586" w:rsidRPr="00097492">
        <w:t xml:space="preserve">nt exclusion of this group. </w:t>
      </w:r>
      <w:r w:rsidR="006D4F04" w:rsidRPr="00097492">
        <w:t>P</w:t>
      </w:r>
      <w:r w:rsidR="00126586" w:rsidRPr="00097492">
        <w:t>aucity</w:t>
      </w:r>
      <w:r w:rsidR="0039650E" w:rsidRPr="00097492">
        <w:t xml:space="preserve"> of screen readers severely hinders digital access and autonomy for visually impaired students. Alabi and Bakare (2020) emphasized </w:t>
      </w:r>
      <w:r w:rsidR="000D05A6" w:rsidRPr="00097492">
        <w:t>that screen readers are</w:t>
      </w:r>
      <w:r w:rsidR="0039650E" w:rsidRPr="00097492">
        <w:t xml:space="preserve"> foundational tools for inclusive digital literacy.</w:t>
      </w:r>
      <w:r w:rsidR="00836792" w:rsidRPr="00097492">
        <w:t xml:space="preserve"> The resu</w:t>
      </w:r>
      <w:r w:rsidR="000D05A6" w:rsidRPr="00097492">
        <w:t>lt reveals</w:t>
      </w:r>
      <w:r w:rsidR="00836792" w:rsidRPr="00097492">
        <w:t xml:space="preserve"> a scarcity of accessible academic content in audio formats. Th</w:t>
      </w:r>
      <w:r w:rsidR="00B85988" w:rsidRPr="00097492">
        <w:t xml:space="preserve">is limits opportunities for poor </w:t>
      </w:r>
      <w:r w:rsidR="00836792" w:rsidRPr="00097492">
        <w:t>sighted users to engage in extensive reading or rese</w:t>
      </w:r>
      <w:r w:rsidR="004029A7" w:rsidRPr="00097492">
        <w:t>arch. Adebayo (2021) noted</w:t>
      </w:r>
      <w:r w:rsidR="00836792" w:rsidRPr="00097492">
        <w:t xml:space="preserve"> the limited availability of accessible academic materials in Nigerian libraries. A positive indication shows that users can access catalog information electronically. Digital catalogs improve information retrieval and reduce reliance on physical browsing. This is a good step toward modern library services, but effectiveness depends on whether catalogs are accessible (e.g., screen-reader friendly). The very low s</w:t>
      </w:r>
      <w:r w:rsidR="0062733E" w:rsidRPr="00097492">
        <w:t>core of braille suggests</w:t>
      </w:r>
      <w:r w:rsidR="00836792" w:rsidRPr="00097492">
        <w:t xml:space="preserve"> inadequacy and exclusion. The implication is </w:t>
      </w:r>
      <w:r w:rsidR="001A299D" w:rsidRPr="00097492">
        <w:t>that it will gross</w:t>
      </w:r>
      <w:r w:rsidR="00836792" w:rsidRPr="00097492">
        <w:t xml:space="preserve">ly restrict educational equity for blind users. Nwafor (2022) noted that most Nigerian university libraries lack functional braille resources. Low staff training indicates that staff are generally not </w:t>
      </w:r>
      <w:r w:rsidR="00D7678E" w:rsidRPr="00097492">
        <w:t>adequately</w:t>
      </w:r>
      <w:r w:rsidR="00CB4CDA" w:rsidRPr="00097492">
        <w:t xml:space="preserve"> </w:t>
      </w:r>
      <w:r w:rsidR="00836792" w:rsidRPr="00097492">
        <w:t>trained to assist users with disabilities. Even where tools exist, lack of human capacity hinders use</w:t>
      </w:r>
      <w:r w:rsidR="00F767BB" w:rsidRPr="00097492">
        <w:t>. Adeogun (2012) earlier observed</w:t>
      </w:r>
      <w:r w:rsidR="00836792" w:rsidRPr="00097492">
        <w:t xml:space="preserve"> that most library staff in Nigerian universities lack training in inclusive service delivery.</w:t>
      </w:r>
      <w:r w:rsidR="00A24BA2" w:rsidRPr="00097492">
        <w:t xml:space="preserve"> Moderate </w:t>
      </w:r>
      <w:r w:rsidR="00580349" w:rsidRPr="00097492">
        <w:t>accessibly</w:t>
      </w:r>
      <w:r w:rsidR="00A24BA2" w:rsidRPr="00097492">
        <w:t xml:space="preserve"> policy suggests that while some institutions have policy documents addressing accessibility, implementation may be weak. Absence of clear policy enforcement results in sporadic or symbolic inclusion.</w:t>
      </w:r>
    </w:p>
    <w:p w:rsidR="006B2510" w:rsidRPr="00097492" w:rsidRDefault="00543967" w:rsidP="00950369">
      <w:pPr>
        <w:pStyle w:val="NormalWeb"/>
        <w:jc w:val="both"/>
      </w:pPr>
      <w:r w:rsidRPr="00097492">
        <w:lastRenderedPageBreak/>
        <w:t xml:space="preserve">This frequency </w:t>
      </w:r>
      <w:r w:rsidR="00F767BB" w:rsidRPr="00097492">
        <w:t xml:space="preserve">of library visits </w:t>
      </w:r>
      <w:r w:rsidRPr="00097492">
        <w:t xml:space="preserve">of </w:t>
      </w:r>
      <w:r w:rsidRPr="00097492">
        <w:rPr>
          <w:rStyle w:val="Strong"/>
          <w:b w:val="0"/>
        </w:rPr>
        <w:t>3 to 4 times per week</w:t>
      </w:r>
      <w:r w:rsidR="00E737C3" w:rsidRPr="00097492">
        <w:t>, portray</w:t>
      </w:r>
      <w:r w:rsidRPr="00097492">
        <w:t>ing moderate to high library engagement with a standard deviation of 1.1  aligns with university academic routines, where students often need to ac</w:t>
      </w:r>
      <w:r w:rsidR="00F767BB" w:rsidRPr="00097492">
        <w:t>cess reading materials, ICT laboratories</w:t>
      </w:r>
      <w:r w:rsidR="00770727" w:rsidRPr="00097492">
        <w:t>, or study spaces many</w:t>
      </w:r>
      <w:r w:rsidRPr="00097492">
        <w:t xml:space="preserve"> times weekly. Regular library visitation implies that enhancing inclusive infras</w:t>
      </w:r>
      <w:r w:rsidR="000038B1" w:rsidRPr="00097492">
        <w:t>tructure could have a significant</w:t>
      </w:r>
      <w:r w:rsidRPr="00097492">
        <w:t xml:space="preserve"> impact on a large portion of the academic population, including students with disabilities. According to Echezona &amp; Ugwuanyi (2022), regular library use is often tied to the perceived reliability and relevance of available facilities.</w:t>
      </w:r>
      <w:r w:rsidR="00CF4B38" w:rsidRPr="00097492">
        <w:t xml:space="preserve"> This hour per visit </w:t>
      </w:r>
      <w:r w:rsidR="00182935" w:rsidRPr="00097492">
        <w:t>(</w:t>
      </w:r>
      <w:r w:rsidR="00CF4B38" w:rsidRPr="00097492">
        <w:t>1.7</w:t>
      </w:r>
      <w:r w:rsidR="00182935" w:rsidRPr="00097492">
        <w:t xml:space="preserve"> </w:t>
      </w:r>
      <w:r w:rsidR="00CF4B38" w:rsidRPr="00097492">
        <w:t>hr per li</w:t>
      </w:r>
      <w:r w:rsidR="00B13A15" w:rsidRPr="00097492">
        <w:t>brary visit) recorded could indicate</w:t>
      </w:r>
      <w:r w:rsidR="00CF4B38" w:rsidRPr="00097492">
        <w:t xml:space="preserve"> limited seating or inadequate</w:t>
      </w:r>
      <w:r w:rsidR="00B13A15" w:rsidRPr="00097492">
        <w:t xml:space="preserve"> adaptive resources for long</w:t>
      </w:r>
      <w:r w:rsidR="00CF4B38" w:rsidRPr="00097492">
        <w:t xml:space="preserve"> stays, especially for persons with disabilities. Improvements in comfort and accessibility (e.g., adjustable desks, more inclusive ICT tools) might increase time spent in the library, translating into better </w:t>
      </w:r>
      <w:r w:rsidR="00482A02" w:rsidRPr="00097492">
        <w:t>academic outcomes. Adebayo (2021</w:t>
      </w:r>
      <w:r w:rsidR="00A72CB4" w:rsidRPr="00097492">
        <w:t>) reported</w:t>
      </w:r>
      <w:r w:rsidR="00CF4B38" w:rsidRPr="00097492">
        <w:t xml:space="preserve"> that ergonomic and inclusive designs in library settings positively influence user retention and engagement duration.</w:t>
      </w:r>
      <w:r w:rsidR="00E5744C" w:rsidRPr="00097492">
        <w:t xml:space="preserve"> The </w:t>
      </w:r>
      <w:r w:rsidR="00E5744C" w:rsidRPr="00097492">
        <w:rPr>
          <w:rStyle w:val="Strong"/>
          <w:b w:val="0"/>
        </w:rPr>
        <w:t xml:space="preserve">very low </w:t>
      </w:r>
      <w:r w:rsidR="00E5744C" w:rsidRPr="00097492">
        <w:rPr>
          <w:rStyle w:val="Strong"/>
          <w:b w:val="0"/>
          <w:bCs w:val="0"/>
        </w:rPr>
        <w:t>assistive tools usage score</w:t>
      </w:r>
      <w:r w:rsidR="00E5744C" w:rsidRPr="00097492">
        <w:rPr>
          <w:b/>
        </w:rPr>
        <w:t>,</w:t>
      </w:r>
      <w:r w:rsidR="00E5744C" w:rsidRPr="00097492">
        <w:t xml:space="preserve"> indicate that </w:t>
      </w:r>
      <w:r w:rsidR="00E5744C" w:rsidRPr="00097492">
        <w:rPr>
          <w:rStyle w:val="Strong"/>
          <w:b w:val="0"/>
        </w:rPr>
        <w:t>most users rarely use assistive tools</w:t>
      </w:r>
      <w:r w:rsidR="00E5744C" w:rsidRPr="00097492">
        <w:t>, such as screen readers, braille displays, or magnification software. Alabi &amp; Bakare (2020) reported that in many Nigerian university libraries, assistive technologies are either absent or inaccessible due to lack of staff expertise or funding.</w:t>
      </w:r>
      <w:r w:rsidR="0071388D" w:rsidRPr="00097492">
        <w:t xml:space="preserve"> The relatively high perceived ease of use of library facilities suggests </w:t>
      </w:r>
      <w:r w:rsidR="0071388D" w:rsidRPr="00097492">
        <w:rPr>
          <w:rStyle w:val="Strong"/>
          <w:b w:val="0"/>
        </w:rPr>
        <w:t>a slightly positive perception</w:t>
      </w:r>
      <w:r w:rsidR="006F792B" w:rsidRPr="00097492">
        <w:t xml:space="preserve"> of how easy it is to wade through</w:t>
      </w:r>
      <w:r w:rsidR="0071388D" w:rsidRPr="00097492">
        <w:t xml:space="preserve"> and use library systems and infrastructure. A relatively</w:t>
      </w:r>
      <w:r w:rsidR="00827525" w:rsidRPr="00097492">
        <w:t xml:space="preserve"> small SD (0.9) implies a</w:t>
      </w:r>
      <w:r w:rsidR="0071388D" w:rsidRPr="00097492">
        <w:t xml:space="preserve"> consistent perception among users. Most users find the available technologies usable but not exceptional in accessibility or intui</w:t>
      </w:r>
      <w:r w:rsidR="001D4D91" w:rsidRPr="00097492">
        <w:t>tiveness. This finding agrees</w:t>
      </w:r>
      <w:r w:rsidR="0071388D" w:rsidRPr="00097492">
        <w:t xml:space="preserve"> with the </w:t>
      </w:r>
      <w:r w:rsidR="0071388D" w:rsidRPr="00097492">
        <w:rPr>
          <w:rStyle w:val="Strong"/>
          <w:b w:val="0"/>
        </w:rPr>
        <w:t>Technology Acceptance Model (TAM)</w:t>
      </w:r>
      <w:r w:rsidR="0071388D" w:rsidRPr="00097492">
        <w:rPr>
          <w:b/>
        </w:rPr>
        <w:t>,</w:t>
      </w:r>
      <w:r w:rsidR="0071388D" w:rsidRPr="00097492">
        <w:t xml:space="preserve"> which states that perceived ease of use significantly affects users' willingness to adopt technology (Davis, 1989).</w:t>
      </w:r>
      <w:r w:rsidR="006329A4" w:rsidRPr="00097492">
        <w:t xml:space="preserve"> Participants rated the </w:t>
      </w:r>
      <w:r w:rsidR="006329A4" w:rsidRPr="00097492">
        <w:rPr>
          <w:rStyle w:val="Strong"/>
          <w:b w:val="0"/>
        </w:rPr>
        <w:t>usefulness of inclusive and ICT infrastructure at 3.3</w:t>
      </w:r>
      <w:r w:rsidR="006329A4" w:rsidRPr="00097492">
        <w:rPr>
          <w:b/>
        </w:rPr>
        <w:t>,</w:t>
      </w:r>
      <w:r w:rsidR="006329A4" w:rsidRPr="00097492">
        <w:t xml:space="preserve"> again suggesting </w:t>
      </w:r>
      <w:r w:rsidR="006329A4" w:rsidRPr="00097492">
        <w:rPr>
          <w:rStyle w:val="Strong"/>
          <w:b w:val="0"/>
        </w:rPr>
        <w:t>moderate satisfaction</w:t>
      </w:r>
      <w:r w:rsidR="006329A4" w:rsidRPr="00097492">
        <w:t xml:space="preserve"> with a standard deviation of 1.0. While users acknowledge the value of current infrastructure, they may sti</w:t>
      </w:r>
      <w:r w:rsidR="00690142" w:rsidRPr="00097492">
        <w:t xml:space="preserve">ll perceive certain limitations, </w:t>
      </w:r>
      <w:r w:rsidR="006329A4" w:rsidRPr="00097492">
        <w:t>especially those related to inclusivity, access speed, or content relevance. Nwafor (2022) emphasizes that the usefulness of inclusive technologies directly affects user satisfaction and return visits to the library.</w:t>
      </w:r>
    </w:p>
    <w:p w:rsidR="00183DE4" w:rsidRPr="00097492" w:rsidRDefault="006B2510" w:rsidP="00950369">
      <w:pPr>
        <w:pStyle w:val="NormalWeb"/>
        <w:jc w:val="both"/>
      </w:pPr>
      <w:r w:rsidRPr="00097492">
        <w:t xml:space="preserve">The </w:t>
      </w:r>
      <w:r w:rsidR="00F767BB" w:rsidRPr="00097492">
        <w:rPr>
          <w:rStyle w:val="Strong"/>
          <w:b w:val="0"/>
        </w:rPr>
        <w:t>strongest correlation</w:t>
      </w:r>
      <w:r w:rsidRPr="00097492">
        <w:rPr>
          <w:rStyle w:val="Strong"/>
          <w:b w:val="0"/>
        </w:rPr>
        <w:t xml:space="preserve"> of</w:t>
      </w:r>
      <w:r w:rsidRPr="00097492">
        <w:rPr>
          <w:rStyle w:val="Strong"/>
        </w:rPr>
        <w:t xml:space="preserve"> </w:t>
      </w:r>
      <w:r w:rsidRPr="00097492">
        <w:rPr>
          <w:rStyle w:val="Strong"/>
          <w:b w:val="0"/>
          <w:bCs w:val="0"/>
        </w:rPr>
        <w:t>general ICT access</w:t>
      </w:r>
      <w:r w:rsidRPr="00097492">
        <w:t xml:space="preserve"> among all variables suggests that availability and quality of general ICT tools (computers, internet access, e-databases) significantly boost </w:t>
      </w:r>
      <w:r w:rsidRPr="00097492">
        <w:rPr>
          <w:rStyle w:val="Strong"/>
          <w:b w:val="0"/>
        </w:rPr>
        <w:t>library visitation frequency and duration</w:t>
      </w:r>
      <w:r w:rsidRPr="00097492">
        <w:rPr>
          <w:b/>
        </w:rPr>
        <w:t xml:space="preserve">. </w:t>
      </w:r>
      <w:r w:rsidRPr="00097492">
        <w:t>Students and staff rely heavily on ICT for academic research and communication. Better ICT access encourages more frequent and longer use of library spaces.</w:t>
      </w:r>
      <w:r w:rsidRPr="00097492">
        <w:rPr>
          <w:b/>
        </w:rPr>
        <w:t xml:space="preserve"> </w:t>
      </w:r>
      <w:r w:rsidRPr="00097492">
        <w:t>Omeluzor and Anyaegbu (2019), emphasize that ICT availability is a key predictor of library patronage.</w:t>
      </w:r>
      <w:r w:rsidR="00125450" w:rsidRPr="00097492">
        <w:t xml:space="preserve">  The strong and significant relationship of </w:t>
      </w:r>
      <w:r w:rsidR="00125450" w:rsidRPr="00097492">
        <w:rPr>
          <w:rStyle w:val="Strong"/>
          <w:b w:val="0"/>
          <w:bCs w:val="0"/>
        </w:rPr>
        <w:t>screen readers</w:t>
      </w:r>
      <w:r w:rsidR="00125450" w:rsidRPr="00097492">
        <w:t xml:space="preserve"> among the variables indicates that </w:t>
      </w:r>
      <w:r w:rsidR="00125450" w:rsidRPr="00097492">
        <w:rPr>
          <w:rStyle w:val="Strong"/>
          <w:b w:val="0"/>
        </w:rPr>
        <w:t xml:space="preserve">better </w:t>
      </w:r>
      <w:r w:rsidR="00690142" w:rsidRPr="00097492">
        <w:rPr>
          <w:rStyle w:val="Strong"/>
          <w:b w:val="0"/>
        </w:rPr>
        <w:t>provisions of screen readers is associated with increased library visits and longer stay</w:t>
      </w:r>
      <w:r w:rsidR="00690142" w:rsidRPr="00097492">
        <w:t xml:space="preserve">, </w:t>
      </w:r>
      <w:r w:rsidR="00125450" w:rsidRPr="00097492">
        <w:t xml:space="preserve">especially important for </w:t>
      </w:r>
      <w:r w:rsidR="00125450" w:rsidRPr="00097492">
        <w:rPr>
          <w:rStyle w:val="Strong"/>
          <w:b w:val="0"/>
        </w:rPr>
        <w:t>visually impaired users</w:t>
      </w:r>
      <w:r w:rsidR="00125450" w:rsidRPr="00097492">
        <w:t>. When visually impaired students have access to screen readers, they are more likely to utilize library resources effectively and spend more time doing so. This supports Alabi &amp; Bakare (2020), who reported that assistive tools greatly improve engagement for users with disabilities. Audio books facilitate accessible reading and learning for students who have visual impairments or reading difficulties; hence, the strong positive result recorded. This reinforces findings by Echezona &amp; Ugwuanyi (2022), highlighting the importance of multimodal content delivery in inclusive library design. Moderate to strong relationship recorded by staff training shows that well-trained staff make library services</w:t>
      </w:r>
      <w:r w:rsidR="00EB1B8D" w:rsidRPr="00097492">
        <w:t xml:space="preserve"> more approachable</w:t>
      </w:r>
      <w:r w:rsidR="00125450" w:rsidRPr="00097492">
        <w:t xml:space="preserve">, especially for users with diverse needs. Their support can influence users’ decision to return frequently and stay longer. The moderate correlation recorded by policy accessibility </w:t>
      </w:r>
      <w:r w:rsidR="002A3892" w:rsidRPr="00097492">
        <w:t xml:space="preserve">indicates that libraries with well-communicated and implemented accessibility policies are more likely to see higher usage levels. Policies serve as both a framework and a </w:t>
      </w:r>
      <w:r w:rsidR="002A3892" w:rsidRPr="00097492">
        <w:lastRenderedPageBreak/>
        <w:t xml:space="preserve">signal to users that their needs will be </w:t>
      </w:r>
      <w:r w:rsidR="001460AB" w:rsidRPr="00097492">
        <w:t>accommodated. Adeogun (2012) observ</w:t>
      </w:r>
      <w:r w:rsidR="002A3892" w:rsidRPr="00097492">
        <w:t>ed that institutional policy is often the first step toward meaningful inclusion.</w:t>
      </w:r>
      <w:r w:rsidR="00183DE4" w:rsidRPr="00097492">
        <w:t xml:space="preserve"> </w:t>
      </w:r>
      <w:r w:rsidR="00183DE4" w:rsidRPr="00097492">
        <w:rPr>
          <w:rStyle w:val="Strong"/>
          <w:b w:val="0"/>
        </w:rPr>
        <w:t xml:space="preserve">Moderate and weaker </w:t>
      </w:r>
      <w:r w:rsidR="00183DE4" w:rsidRPr="00097492">
        <w:t>but still significant correlation of adjustable desk with two key indicators of library usage (</w:t>
      </w:r>
      <w:r w:rsidR="00183DE4" w:rsidRPr="00097492">
        <w:rPr>
          <w:rStyle w:val="Strong"/>
          <w:b w:val="0"/>
        </w:rPr>
        <w:t>Visits per Week</w:t>
      </w:r>
      <w:r w:rsidR="00183DE4" w:rsidRPr="00097492">
        <w:rPr>
          <w:b/>
        </w:rPr>
        <w:t xml:space="preserve">, </w:t>
      </w:r>
      <w:r w:rsidR="00183DE4" w:rsidRPr="00097492">
        <w:t>and</w:t>
      </w:r>
      <w:r w:rsidR="00183DE4" w:rsidRPr="00097492">
        <w:rPr>
          <w:b/>
        </w:rPr>
        <w:t xml:space="preserve"> </w:t>
      </w:r>
      <w:r w:rsidR="00183DE4" w:rsidRPr="00097492">
        <w:rPr>
          <w:rStyle w:val="Strong"/>
          <w:b w:val="0"/>
        </w:rPr>
        <w:t xml:space="preserve">Hours per Visit) indicate that </w:t>
      </w:r>
      <w:r w:rsidR="00183DE4" w:rsidRPr="00097492">
        <w:t>physical infrastructure has a moderate but important impact, especially for those with mobility impairments. Comfort and accessibility of workspaces may enhance user retention, particularly for extended use. This is consistent with human-centered design principles that emphasize ergonomics in library spaces (Nwafor, 2022).</w:t>
      </w:r>
    </w:p>
    <w:p w:rsidR="00723498" w:rsidRPr="00097492" w:rsidRDefault="005522FA" w:rsidP="00950369">
      <w:pPr>
        <w:pStyle w:val="NormalWeb"/>
        <w:jc w:val="both"/>
      </w:pPr>
      <w:r w:rsidRPr="00097492">
        <w:t xml:space="preserve">Finally, the presence of </w:t>
      </w:r>
      <w:r w:rsidRPr="00097492">
        <w:rPr>
          <w:rStyle w:val="Strong"/>
          <w:b w:val="0"/>
        </w:rPr>
        <w:t>formal accessibility policies</w:t>
      </w:r>
      <w:r w:rsidRPr="00097492">
        <w:t xml:space="preserve"> provides structural support that fosters a sense of inclusion and belonging, even if its direct impact is somewhat lower than other factors. These findings underscore the need for a </w:t>
      </w:r>
      <w:r w:rsidRPr="00097492">
        <w:rPr>
          <w:rStyle w:val="Strong"/>
          <w:b w:val="0"/>
        </w:rPr>
        <w:t>holistic approach to inclusivity</w:t>
      </w:r>
      <w:r w:rsidR="009B600F" w:rsidRPr="00097492">
        <w:t xml:space="preserve"> in library settings-</w:t>
      </w:r>
      <w:r w:rsidRPr="00097492">
        <w:t>where infrastructure, technology, human capital, and policy all work synergistically to enhance user engagement.</w:t>
      </w:r>
    </w:p>
    <w:p w:rsidR="00412548" w:rsidRPr="00097492" w:rsidRDefault="00412548" w:rsidP="00950369">
      <w:pPr>
        <w:pStyle w:val="Heading2"/>
        <w:jc w:val="both"/>
        <w:rPr>
          <w:sz w:val="24"/>
          <w:szCs w:val="24"/>
        </w:rPr>
      </w:pPr>
      <w:r w:rsidRPr="00097492">
        <w:rPr>
          <w:rStyle w:val="Strong"/>
          <w:b/>
          <w:bCs/>
          <w:sz w:val="24"/>
          <w:szCs w:val="24"/>
        </w:rPr>
        <w:t>Conclusion and Recommendations</w:t>
      </w:r>
    </w:p>
    <w:p w:rsidR="005318E7" w:rsidRPr="00097492" w:rsidRDefault="00B231D7" w:rsidP="00950369">
      <w:pPr>
        <w:spacing w:before="100" w:beforeAutospacing="1" w:after="100" w:afterAutospacing="1" w:line="240" w:lineRule="auto"/>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Inclusive technological infrastructure-especially assistive tools, ICT alignments, staff </w:t>
      </w:r>
      <w:r w:rsidR="001A7939" w:rsidRPr="00097492">
        <w:rPr>
          <w:rFonts w:ascii="Times New Roman" w:eastAsia="Times New Roman" w:hAnsi="Times New Roman"/>
          <w:sz w:val="24"/>
          <w:szCs w:val="24"/>
        </w:rPr>
        <w:t>training,</w:t>
      </w:r>
      <w:r w:rsidRPr="00097492">
        <w:rPr>
          <w:rFonts w:ascii="Times New Roman" w:eastAsia="Times New Roman" w:hAnsi="Times New Roman"/>
          <w:sz w:val="24"/>
          <w:szCs w:val="24"/>
        </w:rPr>
        <w:t xml:space="preserve"> and supportive policies-positively influences library patronage in Southeast Nigeria. Improving underdeveloped components can expand access, foster academic success, and enhance user satisfaction. </w:t>
      </w:r>
      <w:r w:rsidR="005318E7" w:rsidRPr="00097492">
        <w:rPr>
          <w:rFonts w:ascii="Times New Roman" w:hAnsi="Times New Roman"/>
          <w:sz w:val="24"/>
          <w:szCs w:val="24"/>
        </w:rPr>
        <w:t xml:space="preserve">The study confirms that </w:t>
      </w:r>
      <w:r w:rsidR="005318E7" w:rsidRPr="00097492">
        <w:rPr>
          <w:rStyle w:val="Strong"/>
          <w:rFonts w:ascii="Times New Roman" w:hAnsi="Times New Roman"/>
          <w:b w:val="0"/>
          <w:sz w:val="24"/>
          <w:szCs w:val="24"/>
        </w:rPr>
        <w:t>inclusive technological infrastructure</w:t>
      </w:r>
      <w:r w:rsidR="005318E7" w:rsidRPr="00097492">
        <w:rPr>
          <w:rFonts w:ascii="Times New Roman" w:hAnsi="Times New Roman"/>
          <w:sz w:val="24"/>
          <w:szCs w:val="24"/>
        </w:rPr>
        <w:t xml:space="preserve"> substantially predicts library patronage in Southeast Nigerian universities. While general ICT is well provided, key assistive tools and training are sorely lacking.</w:t>
      </w:r>
    </w:p>
    <w:p w:rsidR="005318E7" w:rsidRPr="00097492" w:rsidRDefault="005318E7" w:rsidP="00950369">
      <w:pPr>
        <w:pStyle w:val="NormalWeb"/>
        <w:jc w:val="both"/>
      </w:pPr>
      <w:r w:rsidRPr="00097492">
        <w:t xml:space="preserve">The correlation analysis demonstrates that </w:t>
      </w:r>
      <w:r w:rsidRPr="00097492">
        <w:rPr>
          <w:rStyle w:val="Strong"/>
          <w:b w:val="0"/>
        </w:rPr>
        <w:t>inclusive technological infrastructure significantly affects library patronage</w:t>
      </w:r>
      <w:r w:rsidRPr="00097492">
        <w:t xml:space="preserve">, particularly among students with disabilities. The strongest predictors of usage are </w:t>
      </w:r>
      <w:r w:rsidRPr="00097492">
        <w:rPr>
          <w:rStyle w:val="Strong"/>
          <w:b w:val="0"/>
        </w:rPr>
        <w:t>general ICT tools, screen readers, and audio books</w:t>
      </w:r>
      <w:r w:rsidRPr="00097492">
        <w:rPr>
          <w:b/>
        </w:rPr>
        <w:t>,</w:t>
      </w:r>
      <w:r w:rsidRPr="00097492">
        <w:t xml:space="preserve"> confirming that </w:t>
      </w:r>
      <w:r w:rsidRPr="00097492">
        <w:rPr>
          <w:rStyle w:val="Strong"/>
          <w:b w:val="0"/>
        </w:rPr>
        <w:t>digital inclusivity drives engagement</w:t>
      </w:r>
      <w:r w:rsidRPr="00097492">
        <w:rPr>
          <w:b/>
        </w:rPr>
        <w:t>.</w:t>
      </w:r>
      <w:r w:rsidRPr="00097492">
        <w:t xml:space="preserve"> Complementary factors like </w:t>
      </w:r>
      <w:r w:rsidRPr="00097492">
        <w:rPr>
          <w:rStyle w:val="Strong"/>
          <w:b w:val="0"/>
        </w:rPr>
        <w:t>staff training and clear accessibility</w:t>
      </w:r>
      <w:r w:rsidRPr="00097492">
        <w:rPr>
          <w:rStyle w:val="Strong"/>
        </w:rPr>
        <w:t xml:space="preserve"> </w:t>
      </w:r>
      <w:r w:rsidRPr="00097492">
        <w:rPr>
          <w:rStyle w:val="Strong"/>
          <w:b w:val="0"/>
        </w:rPr>
        <w:t>policie</w:t>
      </w:r>
      <w:r w:rsidRPr="00097492">
        <w:rPr>
          <w:rStyle w:val="Strong"/>
        </w:rPr>
        <w:t>s</w:t>
      </w:r>
      <w:r w:rsidRPr="00097492">
        <w:t xml:space="preserve"> further support library usage. These findings emphasize the need for </w:t>
      </w:r>
      <w:r w:rsidRPr="00097492">
        <w:rPr>
          <w:rStyle w:val="Strong"/>
          <w:b w:val="0"/>
        </w:rPr>
        <w:t>holistic, user-centered development</w:t>
      </w:r>
      <w:r w:rsidRPr="00097492">
        <w:t xml:space="preserve"> of university libraries in Nigeria.</w:t>
      </w:r>
    </w:p>
    <w:p w:rsidR="00EC4E2B" w:rsidRPr="00097492" w:rsidRDefault="00723498" w:rsidP="00950369">
      <w:pPr>
        <w:pStyle w:val="NormalWeb"/>
        <w:jc w:val="both"/>
      </w:pPr>
      <w:r w:rsidRPr="00097492">
        <w:t xml:space="preserve">The data reflect a </w:t>
      </w:r>
      <w:r w:rsidRPr="00097492">
        <w:rPr>
          <w:rStyle w:val="Strong"/>
          <w:b w:val="0"/>
        </w:rPr>
        <w:t>disproportionate development of general versus inclusive technologies</w:t>
      </w:r>
      <w:r w:rsidRPr="00097492">
        <w:rPr>
          <w:b/>
        </w:rPr>
        <w:t xml:space="preserve"> </w:t>
      </w:r>
      <w:r w:rsidRPr="00097492">
        <w:t xml:space="preserve">in university libraries in Southeast Nigeria. While mainstream infrastructure is robust, the </w:t>
      </w:r>
      <w:r w:rsidRPr="00097492">
        <w:rPr>
          <w:rStyle w:val="Strong"/>
          <w:b w:val="0"/>
        </w:rPr>
        <w:t>inclusive dimensions—especially for visually impaired and disabled users—remain grossly</w:t>
      </w:r>
      <w:r w:rsidRPr="00097492">
        <w:rPr>
          <w:rStyle w:val="Strong"/>
        </w:rPr>
        <w:t xml:space="preserve"> </w:t>
      </w:r>
      <w:r w:rsidRPr="00097492">
        <w:rPr>
          <w:rStyle w:val="Strong"/>
          <w:b w:val="0"/>
        </w:rPr>
        <w:t>underdeveloped</w:t>
      </w:r>
      <w:r w:rsidRPr="00097492">
        <w:t xml:space="preserve">. Institutions must take a holistic approach that integrates </w:t>
      </w:r>
      <w:r w:rsidRPr="00097492">
        <w:rPr>
          <w:rStyle w:val="Strong"/>
          <w:b w:val="0"/>
        </w:rPr>
        <w:t>technology, policy, and human capacity</w:t>
      </w:r>
      <w:r w:rsidRPr="00097492">
        <w:t xml:space="preserve"> to build fully inclusive academic environments.</w:t>
      </w:r>
    </w:p>
    <w:p w:rsidR="00EE0C88" w:rsidRPr="00097492" w:rsidRDefault="00F8703C" w:rsidP="00950369">
      <w:pPr>
        <w:pStyle w:val="NormalWeb"/>
        <w:jc w:val="both"/>
      </w:pPr>
      <w:r w:rsidRPr="00097492">
        <w:t>To ameliorate these effects</w:t>
      </w:r>
      <w:r w:rsidR="00991B3F" w:rsidRPr="00097492">
        <w:t xml:space="preserve"> and hence improve library patronages in universities especially in southeast Nigeria</w:t>
      </w:r>
      <w:r w:rsidRPr="00097492">
        <w:t>, there is need to p</w:t>
      </w:r>
      <w:r w:rsidR="000B06F6" w:rsidRPr="00097492">
        <w:t>rocur</w:t>
      </w:r>
      <w:r w:rsidRPr="00097492">
        <w:t>e inclusive t</w:t>
      </w:r>
      <w:r w:rsidR="000B06F6" w:rsidRPr="00097492">
        <w:t>ools</w:t>
      </w:r>
      <w:r w:rsidRPr="00097492">
        <w:t xml:space="preserve"> such as </w:t>
      </w:r>
      <w:r w:rsidR="000B06F6" w:rsidRPr="00097492">
        <w:t>screen readers, braille, audio books</w:t>
      </w:r>
      <w:r w:rsidRPr="00097492">
        <w:t xml:space="preserve"> to equip the universities. Librarians need to be properly trained and retrained in disability inclusions</w:t>
      </w:r>
      <w:r w:rsidR="000B06F6" w:rsidRPr="00097492">
        <w:t>.</w:t>
      </w:r>
      <w:r w:rsidRPr="00097492">
        <w:t xml:space="preserve"> </w:t>
      </w:r>
      <w:r w:rsidR="004853C3" w:rsidRPr="00097492">
        <w:t xml:space="preserve">Again, continuous evaluation to foster equitable access and academic engagement is necessary. </w:t>
      </w:r>
      <w:r w:rsidRPr="00097492">
        <w:t>Further</w:t>
      </w:r>
      <w:r w:rsidR="00C2087B" w:rsidRPr="00097492">
        <w:t>more, there is need to include</w:t>
      </w:r>
      <w:r w:rsidRPr="00097492">
        <w:t xml:space="preserve"> policies into institutional plans to formalize policy acces</w:t>
      </w:r>
      <w:r w:rsidR="00A31022" w:rsidRPr="00097492">
        <w:t>sibility</w:t>
      </w:r>
      <w:r w:rsidR="00114689" w:rsidRPr="00097492">
        <w:t xml:space="preserve"> of</w:t>
      </w:r>
      <w:r w:rsidR="00A31022" w:rsidRPr="00097492">
        <w:t xml:space="preserve"> inclusivity in higher institutions. Additionally, student </w:t>
      </w:r>
      <w:r w:rsidR="00114689" w:rsidRPr="00097492">
        <w:t>unions</w:t>
      </w:r>
      <w:r w:rsidR="00C83B21" w:rsidRPr="00097492">
        <w:t>,</w:t>
      </w:r>
      <w:r w:rsidR="00114689" w:rsidRPr="00097492">
        <w:t xml:space="preserve"> </w:t>
      </w:r>
      <w:r w:rsidR="00A31022" w:rsidRPr="00097492">
        <w:t>NGOs</w:t>
      </w:r>
      <w:r w:rsidR="00114689" w:rsidRPr="00097492">
        <w:t>, and other stakeholders</w:t>
      </w:r>
      <w:r w:rsidR="00A31022" w:rsidRPr="00097492">
        <w:t xml:space="preserve"> should be involved and engaged in the planning and feedbacks to enhance inclusivity.</w:t>
      </w:r>
    </w:p>
    <w:p w:rsidR="00BB2A12" w:rsidRPr="00097492" w:rsidRDefault="00BB2A12" w:rsidP="00950369">
      <w:pPr>
        <w:pStyle w:val="NormalWeb"/>
        <w:jc w:val="both"/>
      </w:pPr>
    </w:p>
    <w:p w:rsidR="00BB2A12" w:rsidRPr="00097492" w:rsidRDefault="00BB2A12" w:rsidP="00950369">
      <w:pPr>
        <w:pStyle w:val="NormalWeb"/>
        <w:jc w:val="both"/>
      </w:pPr>
    </w:p>
    <w:p w:rsidR="00BB2A12" w:rsidRPr="00097492" w:rsidRDefault="00BB2A12" w:rsidP="00950369">
      <w:pPr>
        <w:pStyle w:val="NormalWeb"/>
        <w:jc w:val="both"/>
      </w:pPr>
    </w:p>
    <w:p w:rsidR="000B06F6" w:rsidRPr="00097492" w:rsidRDefault="003D2819" w:rsidP="00950369">
      <w:pPr>
        <w:pStyle w:val="NormalWeb"/>
        <w:jc w:val="both"/>
        <w:rPr>
          <w:b/>
        </w:rPr>
      </w:pPr>
      <w:r w:rsidRPr="00097492">
        <w:rPr>
          <w:b/>
        </w:rPr>
        <w:t>References</w:t>
      </w:r>
    </w:p>
    <w:p w:rsidR="006068BD" w:rsidRPr="00097492" w:rsidRDefault="006068BD" w:rsidP="00950369">
      <w:pPr>
        <w:pStyle w:val="NormalWeb"/>
        <w:ind w:left="851" w:hanging="851"/>
        <w:jc w:val="both"/>
      </w:pPr>
      <w:r w:rsidRPr="00097492">
        <w:t xml:space="preserve">Adebayo, A. T. (2021). </w:t>
      </w:r>
      <w:r w:rsidRPr="00097492">
        <w:rPr>
          <w:rStyle w:val="Emphasis"/>
        </w:rPr>
        <w:t>Access to information resources for the visually impaired in Nigerian university libraries</w:t>
      </w:r>
      <w:r w:rsidRPr="00097492">
        <w:t>. African Journal of Library, Archives and Information Science, 31(2), 189–202.</w:t>
      </w:r>
    </w:p>
    <w:p w:rsidR="006068BD" w:rsidRPr="00097492" w:rsidRDefault="006068BD" w:rsidP="00950369">
      <w:pPr>
        <w:pStyle w:val="NormalWeb"/>
        <w:ind w:left="851" w:hanging="851"/>
        <w:jc w:val="both"/>
      </w:pPr>
      <w:r w:rsidRPr="00097492">
        <w:t xml:space="preserve">Adeogun, A. O. (2012). </w:t>
      </w:r>
      <w:r w:rsidRPr="00097492">
        <w:rPr>
          <w:rStyle w:val="Emphasis"/>
        </w:rPr>
        <w:t>Music education in Nigeria: Entering the 21st century with inclusive practices</w:t>
      </w:r>
      <w:r w:rsidRPr="00097492">
        <w:t>. Nigerian Music Review, 9, 1–15.</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Agboola, A. T., &amp; Bamigboye, O. B. (2020). Accessibility of university libraries to users with disabilities in Nigeria. </w:t>
      </w:r>
      <w:r w:rsidRPr="00097492">
        <w:rPr>
          <w:rFonts w:ascii="Times New Roman" w:eastAsia="Times New Roman" w:hAnsi="Times New Roman"/>
          <w:i/>
          <w:iCs/>
          <w:sz w:val="24"/>
          <w:szCs w:val="24"/>
        </w:rPr>
        <w:t>Library Philosophy and Practice</w:t>
      </w:r>
      <w:r w:rsidRPr="00097492">
        <w:rPr>
          <w:rFonts w:ascii="Times New Roman" w:eastAsia="Times New Roman" w:hAnsi="Times New Roman"/>
          <w:sz w:val="24"/>
          <w:szCs w:val="24"/>
        </w:rPr>
        <w:t>, 4290.</w:t>
      </w:r>
    </w:p>
    <w:p w:rsidR="006068BD" w:rsidRPr="00097492" w:rsidRDefault="006068BD" w:rsidP="00950369">
      <w:pPr>
        <w:pStyle w:val="NormalWeb"/>
        <w:ind w:left="851" w:hanging="851"/>
        <w:jc w:val="both"/>
      </w:pPr>
      <w:r w:rsidRPr="00097492">
        <w:t xml:space="preserve">Alabi, A. O., &amp; Bakare, O. D. (2020). </w:t>
      </w:r>
      <w:r w:rsidRPr="00097492">
        <w:rPr>
          <w:rStyle w:val="Emphasis"/>
        </w:rPr>
        <w:t>Availability and use of assistive technologies for visually impaired students in Nigerian university libraries</w:t>
      </w:r>
      <w:r w:rsidRPr="00097492">
        <w:t>. Library Philosophy and Practice.</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Ani, O. E., Esin, J. E., &amp; Edem, N. (2015). Adoption of ICT in academic libraries: A case study of universities in South-East Nigeria. </w:t>
      </w:r>
      <w:r w:rsidRPr="00097492">
        <w:rPr>
          <w:rFonts w:ascii="Times New Roman" w:eastAsia="Times New Roman" w:hAnsi="Times New Roman"/>
          <w:i/>
          <w:iCs/>
          <w:sz w:val="24"/>
          <w:szCs w:val="24"/>
        </w:rPr>
        <w:t>International Journal of Library and Information Science</w:t>
      </w:r>
      <w:r w:rsidRPr="00097492">
        <w:rPr>
          <w:rFonts w:ascii="Times New Roman" w:eastAsia="Times New Roman" w:hAnsi="Times New Roman"/>
          <w:sz w:val="24"/>
          <w:szCs w:val="24"/>
        </w:rPr>
        <w:t>, 7(8), 146–153.</w:t>
      </w:r>
    </w:p>
    <w:p w:rsidR="006068BD" w:rsidRPr="00097492" w:rsidRDefault="006068BD" w:rsidP="00950369">
      <w:pPr>
        <w:pStyle w:val="NormalWeb"/>
        <w:ind w:left="851" w:hanging="851"/>
        <w:jc w:val="both"/>
      </w:pPr>
      <w:r w:rsidRPr="00097492">
        <w:t xml:space="preserve">Davis, F. D. (1989). Perceived Usefulness, Perceived Ease of Use, and User Acceptance of Information Technology. </w:t>
      </w:r>
      <w:r w:rsidRPr="00097492">
        <w:rPr>
          <w:rStyle w:val="Emphasis"/>
        </w:rPr>
        <w:t>MIS Quarterly</w:t>
      </w:r>
      <w:r w:rsidRPr="00097492">
        <w:t>, 13(3), 319–340.</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Echezona, R. I., &amp; Ugwuanyi, C. F. (2022). Accessible Library Services in Nigeria: The Role of Policy and Practice. </w:t>
      </w:r>
      <w:r w:rsidRPr="00097492">
        <w:rPr>
          <w:rFonts w:ascii="Times New Roman" w:eastAsia="Times New Roman" w:hAnsi="Times New Roman"/>
          <w:i/>
          <w:iCs/>
          <w:sz w:val="24"/>
          <w:szCs w:val="24"/>
        </w:rPr>
        <w:t>Journal of Information Science and Systems</w:t>
      </w:r>
      <w:r w:rsidRPr="00097492">
        <w:rPr>
          <w:rFonts w:ascii="Times New Roman" w:eastAsia="Times New Roman" w:hAnsi="Times New Roman"/>
          <w:sz w:val="24"/>
          <w:szCs w:val="24"/>
        </w:rPr>
        <w:t>, 12(1), 22–30.</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Edewor, N., Okite-Amughoro, F. A., &amp; Osuchukwu, N. P. (2016). Role of libraries in promoting accessibility to information in Nigeria. </w:t>
      </w:r>
      <w:r w:rsidRPr="00097492">
        <w:rPr>
          <w:rFonts w:ascii="Times New Roman" w:eastAsia="Times New Roman" w:hAnsi="Times New Roman"/>
          <w:i/>
          <w:iCs/>
          <w:sz w:val="24"/>
          <w:szCs w:val="24"/>
        </w:rPr>
        <w:t>Library Philosophy and Practice</w:t>
      </w:r>
      <w:r w:rsidRPr="00097492">
        <w:rPr>
          <w:rFonts w:ascii="Times New Roman" w:eastAsia="Times New Roman" w:hAnsi="Times New Roman"/>
          <w:sz w:val="24"/>
          <w:szCs w:val="24"/>
        </w:rPr>
        <w:t>, 1404.</w:t>
      </w:r>
    </w:p>
    <w:p w:rsidR="00FB6C8F" w:rsidRPr="00097492" w:rsidRDefault="00FB6C8F"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Ibrahim, H. A., Okon, J. E., &amp; Ali, B. A. (2023). Assistive Technologies and Inclusive Education in Nigerian Higher Institutions. </w:t>
      </w:r>
      <w:r w:rsidRPr="00097492">
        <w:rPr>
          <w:rFonts w:ascii="Times New Roman" w:eastAsia="Times New Roman" w:hAnsi="Times New Roman"/>
          <w:i/>
          <w:iCs/>
          <w:sz w:val="24"/>
          <w:szCs w:val="24"/>
        </w:rPr>
        <w:t>International Journal of Educational Development</w:t>
      </w:r>
      <w:r w:rsidRPr="00097492">
        <w:rPr>
          <w:rFonts w:ascii="Times New Roman" w:eastAsia="Times New Roman" w:hAnsi="Times New Roman"/>
          <w:sz w:val="24"/>
          <w:szCs w:val="24"/>
        </w:rPr>
        <w:t>, 39(3), 310–321.</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Ifijeh, G., &amp; Yusuf, F. (2017). Digital inclusion and sustainable development in Nigeria. </w:t>
      </w:r>
      <w:r w:rsidRPr="00097492">
        <w:rPr>
          <w:rFonts w:ascii="Times New Roman" w:eastAsia="Times New Roman" w:hAnsi="Times New Roman"/>
          <w:i/>
          <w:iCs/>
          <w:sz w:val="24"/>
          <w:szCs w:val="24"/>
        </w:rPr>
        <w:t>Library Hi Tech News</w:t>
      </w:r>
      <w:r w:rsidRPr="00097492">
        <w:rPr>
          <w:rFonts w:ascii="Times New Roman" w:eastAsia="Times New Roman" w:hAnsi="Times New Roman"/>
          <w:sz w:val="24"/>
          <w:szCs w:val="24"/>
        </w:rPr>
        <w:t>, 34(7), 10–14.</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Nnadozie, C. O., &amp; Nnadozie, C. D. (2019). Hybrid library services and user satisfaction in Nigerian university libraries. </w:t>
      </w:r>
      <w:r w:rsidRPr="00097492">
        <w:rPr>
          <w:rFonts w:ascii="Times New Roman" w:eastAsia="Times New Roman" w:hAnsi="Times New Roman"/>
          <w:i/>
          <w:iCs/>
          <w:sz w:val="24"/>
          <w:szCs w:val="24"/>
        </w:rPr>
        <w:t>Journal of Applied Information Science and Technology</w:t>
      </w:r>
      <w:r w:rsidRPr="00097492">
        <w:rPr>
          <w:rFonts w:ascii="Times New Roman" w:eastAsia="Times New Roman" w:hAnsi="Times New Roman"/>
          <w:sz w:val="24"/>
          <w:szCs w:val="24"/>
        </w:rPr>
        <w:t>, 12(1), 31–40.</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Nwachukwu, V. N., &amp; Eze, J. U. (2021). Technological inclusion and the future of academic libraries in Nigeria. </w:t>
      </w:r>
      <w:r w:rsidRPr="00097492">
        <w:rPr>
          <w:rFonts w:ascii="Times New Roman" w:eastAsia="Times New Roman" w:hAnsi="Times New Roman"/>
          <w:i/>
          <w:iCs/>
          <w:sz w:val="24"/>
          <w:szCs w:val="24"/>
        </w:rPr>
        <w:t>Library Philosophy and Practice</w:t>
      </w:r>
      <w:r w:rsidRPr="00097492">
        <w:rPr>
          <w:rFonts w:ascii="Times New Roman" w:eastAsia="Times New Roman" w:hAnsi="Times New Roman"/>
          <w:sz w:val="24"/>
          <w:szCs w:val="24"/>
        </w:rPr>
        <w:t>, 5198.</w:t>
      </w:r>
    </w:p>
    <w:p w:rsidR="006068BD" w:rsidRPr="00097492" w:rsidRDefault="006068BD" w:rsidP="00950369">
      <w:pPr>
        <w:pStyle w:val="NormalWeb"/>
        <w:ind w:left="851" w:hanging="851"/>
        <w:jc w:val="both"/>
      </w:pPr>
      <w:r w:rsidRPr="00097492">
        <w:lastRenderedPageBreak/>
        <w:t xml:space="preserve">Nwafor, C. E. (2022). </w:t>
      </w:r>
      <w:r w:rsidRPr="00097492">
        <w:rPr>
          <w:rStyle w:val="Emphasis"/>
        </w:rPr>
        <w:t>Designing inclusive academic libraries: Best practices from Nigerian universities</w:t>
      </w:r>
      <w:r w:rsidRPr="00097492">
        <w:t>. Journal of Academic Librarianship, 48</w:t>
      </w:r>
      <w:r w:rsidR="00096D9B" w:rsidRPr="00097492">
        <w:t xml:space="preserve"> </w:t>
      </w:r>
      <w:r w:rsidRPr="00097492">
        <w:t>(3), 1–10.</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Okike, B. I. (2020). Technological challenges in Nigerian libraries. </w:t>
      </w:r>
      <w:r w:rsidRPr="00097492">
        <w:rPr>
          <w:rFonts w:ascii="Times New Roman" w:eastAsia="Times New Roman" w:hAnsi="Times New Roman"/>
          <w:i/>
          <w:iCs/>
          <w:sz w:val="24"/>
          <w:szCs w:val="24"/>
        </w:rPr>
        <w:t>International Journal of Knowledge Content Development &amp; Technology</w:t>
      </w:r>
      <w:r w:rsidRPr="00097492">
        <w:rPr>
          <w:rFonts w:ascii="Times New Roman" w:eastAsia="Times New Roman" w:hAnsi="Times New Roman"/>
          <w:sz w:val="24"/>
          <w:szCs w:val="24"/>
        </w:rPr>
        <w:t>, 10</w:t>
      </w:r>
      <w:r w:rsidR="00096D9B" w:rsidRPr="00097492">
        <w:rPr>
          <w:rFonts w:ascii="Times New Roman" w:eastAsia="Times New Roman" w:hAnsi="Times New Roman"/>
          <w:sz w:val="24"/>
          <w:szCs w:val="24"/>
        </w:rPr>
        <w:t xml:space="preserve"> </w:t>
      </w:r>
      <w:r w:rsidRPr="00097492">
        <w:rPr>
          <w:rFonts w:ascii="Times New Roman" w:eastAsia="Times New Roman" w:hAnsi="Times New Roman"/>
          <w:sz w:val="24"/>
          <w:szCs w:val="24"/>
        </w:rPr>
        <w:t>(3), 7–17.</w:t>
      </w:r>
    </w:p>
    <w:p w:rsidR="006068BD" w:rsidRPr="00097492" w:rsidRDefault="006068BD" w:rsidP="00950369">
      <w:pPr>
        <w:pStyle w:val="NormalWeb"/>
        <w:ind w:left="851" w:hanging="851"/>
        <w:jc w:val="both"/>
      </w:pPr>
      <w:r w:rsidRPr="00097492">
        <w:t xml:space="preserve">Oliver, M. (1990). </w:t>
      </w:r>
      <w:r w:rsidRPr="00097492">
        <w:rPr>
          <w:rStyle w:val="Emphasis"/>
        </w:rPr>
        <w:t>The Politics of Disablement</w:t>
      </w:r>
      <w:r w:rsidRPr="00097492">
        <w:t>. Macmillan.</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Omeluzor, S. U., &amp; Anyaegbu, M. I. (2019). Use of Assistive Technology by Visually Impaired Students in South-East Nigeria. </w:t>
      </w:r>
      <w:r w:rsidRPr="00097492">
        <w:rPr>
          <w:rFonts w:ascii="Times New Roman" w:eastAsia="Times New Roman" w:hAnsi="Times New Roman"/>
          <w:i/>
          <w:iCs/>
          <w:sz w:val="24"/>
          <w:szCs w:val="24"/>
        </w:rPr>
        <w:t>Library Review</w:t>
      </w:r>
      <w:r w:rsidRPr="00097492">
        <w:rPr>
          <w:rFonts w:ascii="Times New Roman" w:eastAsia="Times New Roman" w:hAnsi="Times New Roman"/>
          <w:sz w:val="24"/>
          <w:szCs w:val="24"/>
        </w:rPr>
        <w:t>, 68(4/5), 348–361.</w:t>
      </w:r>
    </w:p>
    <w:p w:rsidR="005D00B7" w:rsidRPr="00097492" w:rsidRDefault="005D00B7" w:rsidP="00BE2146">
      <w:pPr>
        <w:spacing w:before="100" w:beforeAutospacing="1" w:after="100" w:afterAutospacing="1" w:line="240" w:lineRule="auto"/>
        <w:ind w:left="851" w:hanging="851"/>
        <w:rPr>
          <w:rFonts w:ascii="Times New Roman" w:eastAsia="Times New Roman" w:hAnsi="Times New Roman"/>
          <w:sz w:val="24"/>
          <w:szCs w:val="24"/>
        </w:rPr>
      </w:pPr>
      <w:r w:rsidRPr="00097492">
        <w:rPr>
          <w:rFonts w:ascii="Times New Roman" w:eastAsia="Times New Roman" w:hAnsi="Times New Roman"/>
          <w:sz w:val="24"/>
          <w:szCs w:val="24"/>
        </w:rPr>
        <w:t xml:space="preserve">Omotayo, B. O. (2021). Digital Divide and Technological Barriers for the Disabled in Nigerian Academic Libraries. </w:t>
      </w:r>
      <w:r w:rsidRPr="00097492">
        <w:rPr>
          <w:rFonts w:ascii="Times New Roman" w:eastAsia="Times New Roman" w:hAnsi="Times New Roman"/>
          <w:i/>
          <w:iCs/>
          <w:sz w:val="24"/>
          <w:szCs w:val="24"/>
        </w:rPr>
        <w:t>Nigerian Journal of Library and Information Science</w:t>
      </w:r>
      <w:r w:rsidRPr="00097492">
        <w:rPr>
          <w:rFonts w:ascii="Times New Roman" w:eastAsia="Times New Roman" w:hAnsi="Times New Roman"/>
          <w:sz w:val="24"/>
          <w:szCs w:val="24"/>
        </w:rPr>
        <w:t>, 20(1), 77–90.</w:t>
      </w:r>
    </w:p>
    <w:p w:rsidR="006068BD"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Fonts w:ascii="Times New Roman" w:eastAsia="Times New Roman" w:hAnsi="Times New Roman"/>
          <w:sz w:val="24"/>
          <w:szCs w:val="24"/>
        </w:rPr>
        <w:t xml:space="preserve">Ugwu, C. I., &amp; Onyebinama, S. (2022). Inclusivity and accessibility of university library services in Nigeria: A study of special needs users. </w:t>
      </w:r>
      <w:r w:rsidRPr="00097492">
        <w:rPr>
          <w:rFonts w:ascii="Times New Roman" w:eastAsia="Times New Roman" w:hAnsi="Times New Roman"/>
          <w:i/>
          <w:iCs/>
          <w:sz w:val="24"/>
          <w:szCs w:val="24"/>
        </w:rPr>
        <w:t>African Journal of Library, Archives and Information Science</w:t>
      </w:r>
      <w:r w:rsidRPr="00097492">
        <w:rPr>
          <w:rFonts w:ascii="Times New Roman" w:eastAsia="Times New Roman" w:hAnsi="Times New Roman"/>
          <w:sz w:val="24"/>
          <w:szCs w:val="24"/>
        </w:rPr>
        <w:t>, 32(2), 101–112.</w:t>
      </w:r>
    </w:p>
    <w:p w:rsidR="001124F2" w:rsidRPr="00097492" w:rsidRDefault="006068BD" w:rsidP="00950369">
      <w:pPr>
        <w:spacing w:before="100" w:beforeAutospacing="1" w:after="100" w:afterAutospacing="1" w:line="240" w:lineRule="auto"/>
        <w:ind w:left="851" w:hanging="851"/>
        <w:jc w:val="both"/>
        <w:rPr>
          <w:rFonts w:ascii="Times New Roman" w:eastAsia="Times New Roman" w:hAnsi="Times New Roman"/>
          <w:sz w:val="24"/>
          <w:szCs w:val="24"/>
        </w:rPr>
      </w:pPr>
      <w:r w:rsidRPr="00097492">
        <w:rPr>
          <w:rStyle w:val="Strong"/>
          <w:rFonts w:ascii="Times New Roman" w:hAnsi="Times New Roman"/>
          <w:b w:val="0"/>
          <w:sz w:val="24"/>
          <w:szCs w:val="24"/>
        </w:rPr>
        <w:t>World Health Organization &amp; World Bank. (2011).</w:t>
      </w:r>
      <w:r w:rsidRPr="00097492">
        <w:rPr>
          <w:rFonts w:ascii="Times New Roman" w:hAnsi="Times New Roman"/>
          <w:sz w:val="24"/>
          <w:szCs w:val="24"/>
        </w:rPr>
        <w:t xml:space="preserve"> </w:t>
      </w:r>
      <w:r w:rsidRPr="00097492">
        <w:rPr>
          <w:rStyle w:val="Emphasis"/>
          <w:rFonts w:ascii="Times New Roman" w:hAnsi="Times New Roman"/>
          <w:sz w:val="24"/>
          <w:szCs w:val="24"/>
        </w:rPr>
        <w:t>World report on disability</w:t>
      </w:r>
      <w:r w:rsidRPr="00097492">
        <w:rPr>
          <w:rFonts w:ascii="Times New Roman" w:hAnsi="Times New Roman"/>
          <w:sz w:val="24"/>
          <w:szCs w:val="24"/>
        </w:rPr>
        <w:t xml:space="preserve">. World Health Organization. </w:t>
      </w:r>
      <w:hyperlink r:id="rId8" w:tgtFrame="_new" w:history="1">
        <w:r w:rsidRPr="00097492">
          <w:rPr>
            <w:rStyle w:val="Hyperlink"/>
            <w:rFonts w:ascii="Times New Roman" w:hAnsi="Times New Roman"/>
            <w:sz w:val="24"/>
            <w:szCs w:val="24"/>
          </w:rPr>
          <w:t>https://www.who.int/publications/i/item/9789241564182</w:t>
        </w:r>
      </w:hyperlink>
    </w:p>
    <w:sectPr w:rsidR="001124F2" w:rsidRPr="00097492" w:rsidSect="001373AF">
      <w:footerReference w:type="default" r:id="rId9"/>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831" w:rsidRDefault="00824831" w:rsidP="001373AF">
      <w:pPr>
        <w:spacing w:after="0" w:line="240" w:lineRule="auto"/>
      </w:pPr>
      <w:r>
        <w:separator/>
      </w:r>
    </w:p>
  </w:endnote>
  <w:endnote w:type="continuationSeparator" w:id="1">
    <w:p w:rsidR="00824831" w:rsidRDefault="00824831" w:rsidP="001373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3AF" w:rsidRDefault="00DB4425">
    <w:pPr>
      <w:pStyle w:val="Footer"/>
      <w:jc w:val="right"/>
    </w:pPr>
    <w:fldSimple w:instr=" PAGE   \* MERGEFORMAT ">
      <w:r w:rsidR="00097492">
        <w:rPr>
          <w:noProof/>
        </w:rPr>
        <w:t>11</w:t>
      </w:r>
    </w:fldSimple>
  </w:p>
  <w:p w:rsidR="001373AF" w:rsidRDefault="001373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831" w:rsidRDefault="00824831" w:rsidP="001373AF">
      <w:pPr>
        <w:spacing w:after="0" w:line="240" w:lineRule="auto"/>
      </w:pPr>
      <w:r>
        <w:separator/>
      </w:r>
    </w:p>
  </w:footnote>
  <w:footnote w:type="continuationSeparator" w:id="1">
    <w:p w:rsidR="00824831" w:rsidRDefault="00824831" w:rsidP="001373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3A41"/>
    <w:multiLevelType w:val="multilevel"/>
    <w:tmpl w:val="26D62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0279D4"/>
    <w:multiLevelType w:val="multilevel"/>
    <w:tmpl w:val="1418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707D3"/>
    <w:multiLevelType w:val="multilevel"/>
    <w:tmpl w:val="BAE20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0E1E15"/>
    <w:multiLevelType w:val="multilevel"/>
    <w:tmpl w:val="7F22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541416"/>
    <w:multiLevelType w:val="multilevel"/>
    <w:tmpl w:val="6B4A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996805"/>
    <w:multiLevelType w:val="multilevel"/>
    <w:tmpl w:val="D006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9754F8"/>
    <w:multiLevelType w:val="multilevel"/>
    <w:tmpl w:val="E286F0E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80314A"/>
    <w:multiLevelType w:val="multilevel"/>
    <w:tmpl w:val="26D62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9C2345"/>
    <w:multiLevelType w:val="multilevel"/>
    <w:tmpl w:val="ADB0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D44A54"/>
    <w:multiLevelType w:val="multilevel"/>
    <w:tmpl w:val="5786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B07D01"/>
    <w:multiLevelType w:val="multilevel"/>
    <w:tmpl w:val="D52A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4B33F3"/>
    <w:multiLevelType w:val="multilevel"/>
    <w:tmpl w:val="58D0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4E6F17"/>
    <w:multiLevelType w:val="multilevel"/>
    <w:tmpl w:val="2330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CD1026"/>
    <w:multiLevelType w:val="multilevel"/>
    <w:tmpl w:val="8CDE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CA5490"/>
    <w:multiLevelType w:val="multilevel"/>
    <w:tmpl w:val="9F76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75111B"/>
    <w:multiLevelType w:val="multilevel"/>
    <w:tmpl w:val="D162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A57940"/>
    <w:multiLevelType w:val="multilevel"/>
    <w:tmpl w:val="A250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345560"/>
    <w:multiLevelType w:val="multilevel"/>
    <w:tmpl w:val="08EE1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6B5655"/>
    <w:multiLevelType w:val="multilevel"/>
    <w:tmpl w:val="73BE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D317FC"/>
    <w:multiLevelType w:val="multilevel"/>
    <w:tmpl w:val="B1B4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1049F5"/>
    <w:multiLevelType w:val="multilevel"/>
    <w:tmpl w:val="E286F0E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790B9E"/>
    <w:multiLevelType w:val="multilevel"/>
    <w:tmpl w:val="D70E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2B7C95"/>
    <w:multiLevelType w:val="multilevel"/>
    <w:tmpl w:val="8250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E0636B"/>
    <w:multiLevelType w:val="multilevel"/>
    <w:tmpl w:val="8E0E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CC6B3D"/>
    <w:multiLevelType w:val="multilevel"/>
    <w:tmpl w:val="81DC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07151A"/>
    <w:multiLevelType w:val="multilevel"/>
    <w:tmpl w:val="8DE0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4960FF"/>
    <w:multiLevelType w:val="multilevel"/>
    <w:tmpl w:val="E610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5"/>
  </w:num>
  <w:num w:numId="3">
    <w:abstractNumId w:val="23"/>
  </w:num>
  <w:num w:numId="4">
    <w:abstractNumId w:val="10"/>
  </w:num>
  <w:num w:numId="5">
    <w:abstractNumId w:val="17"/>
  </w:num>
  <w:num w:numId="6">
    <w:abstractNumId w:val="4"/>
  </w:num>
  <w:num w:numId="7">
    <w:abstractNumId w:val="26"/>
  </w:num>
  <w:num w:numId="8">
    <w:abstractNumId w:val="1"/>
  </w:num>
  <w:num w:numId="9">
    <w:abstractNumId w:val="16"/>
  </w:num>
  <w:num w:numId="10">
    <w:abstractNumId w:val="24"/>
  </w:num>
  <w:num w:numId="11">
    <w:abstractNumId w:val="13"/>
  </w:num>
  <w:num w:numId="12">
    <w:abstractNumId w:val="5"/>
  </w:num>
  <w:num w:numId="13">
    <w:abstractNumId w:val="22"/>
  </w:num>
  <w:num w:numId="14">
    <w:abstractNumId w:val="3"/>
  </w:num>
  <w:num w:numId="15">
    <w:abstractNumId w:val="12"/>
  </w:num>
  <w:num w:numId="16">
    <w:abstractNumId w:val="19"/>
  </w:num>
  <w:num w:numId="17">
    <w:abstractNumId w:val="9"/>
  </w:num>
  <w:num w:numId="18">
    <w:abstractNumId w:val="21"/>
  </w:num>
  <w:num w:numId="19">
    <w:abstractNumId w:val="11"/>
  </w:num>
  <w:num w:numId="20">
    <w:abstractNumId w:val="14"/>
  </w:num>
  <w:num w:numId="21">
    <w:abstractNumId w:val="2"/>
  </w:num>
  <w:num w:numId="22">
    <w:abstractNumId w:val="18"/>
  </w:num>
  <w:num w:numId="23">
    <w:abstractNumId w:val="8"/>
  </w:num>
  <w:num w:numId="24">
    <w:abstractNumId w:val="7"/>
  </w:num>
  <w:num w:numId="25">
    <w:abstractNumId w:val="15"/>
  </w:num>
  <w:num w:numId="26">
    <w:abstractNumId w:val="20"/>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D0230"/>
    <w:rsid w:val="000038B1"/>
    <w:rsid w:val="00003A66"/>
    <w:rsid w:val="00012AF7"/>
    <w:rsid w:val="0002528E"/>
    <w:rsid w:val="00035B8B"/>
    <w:rsid w:val="00036786"/>
    <w:rsid w:val="00043A1B"/>
    <w:rsid w:val="00043C12"/>
    <w:rsid w:val="00060310"/>
    <w:rsid w:val="00082267"/>
    <w:rsid w:val="00096D9B"/>
    <w:rsid w:val="00097492"/>
    <w:rsid w:val="000B06F6"/>
    <w:rsid w:val="000B1D87"/>
    <w:rsid w:val="000B4326"/>
    <w:rsid w:val="000C49A2"/>
    <w:rsid w:val="000D05A6"/>
    <w:rsid w:val="000D32E4"/>
    <w:rsid w:val="000D5CFE"/>
    <w:rsid w:val="000D7399"/>
    <w:rsid w:val="000E79A1"/>
    <w:rsid w:val="001048F7"/>
    <w:rsid w:val="001124F2"/>
    <w:rsid w:val="00114689"/>
    <w:rsid w:val="00125450"/>
    <w:rsid w:val="00126586"/>
    <w:rsid w:val="001373AF"/>
    <w:rsid w:val="0014057D"/>
    <w:rsid w:val="00145879"/>
    <w:rsid w:val="001460AB"/>
    <w:rsid w:val="00151FB9"/>
    <w:rsid w:val="001600E5"/>
    <w:rsid w:val="00182935"/>
    <w:rsid w:val="00183DE4"/>
    <w:rsid w:val="0019163D"/>
    <w:rsid w:val="0019310B"/>
    <w:rsid w:val="00193F7A"/>
    <w:rsid w:val="001A299D"/>
    <w:rsid w:val="001A7939"/>
    <w:rsid w:val="001B3B46"/>
    <w:rsid w:val="001C029E"/>
    <w:rsid w:val="001D45C8"/>
    <w:rsid w:val="001D4D91"/>
    <w:rsid w:val="001F6722"/>
    <w:rsid w:val="001F6DF7"/>
    <w:rsid w:val="00202394"/>
    <w:rsid w:val="00225E11"/>
    <w:rsid w:val="00233C07"/>
    <w:rsid w:val="00234B56"/>
    <w:rsid w:val="00252644"/>
    <w:rsid w:val="002654DF"/>
    <w:rsid w:val="00293E13"/>
    <w:rsid w:val="002957FF"/>
    <w:rsid w:val="002A190A"/>
    <w:rsid w:val="002A3892"/>
    <w:rsid w:val="002B37D4"/>
    <w:rsid w:val="002D0230"/>
    <w:rsid w:val="002D5B27"/>
    <w:rsid w:val="002E3E54"/>
    <w:rsid w:val="002E5E3A"/>
    <w:rsid w:val="002F2A1D"/>
    <w:rsid w:val="00321D1C"/>
    <w:rsid w:val="0034271D"/>
    <w:rsid w:val="00347BFC"/>
    <w:rsid w:val="00374181"/>
    <w:rsid w:val="003761BD"/>
    <w:rsid w:val="00377F31"/>
    <w:rsid w:val="0039650E"/>
    <w:rsid w:val="003A2234"/>
    <w:rsid w:val="003B46A0"/>
    <w:rsid w:val="003D2819"/>
    <w:rsid w:val="003D5B23"/>
    <w:rsid w:val="003E4441"/>
    <w:rsid w:val="004029A7"/>
    <w:rsid w:val="00412548"/>
    <w:rsid w:val="00423F1A"/>
    <w:rsid w:val="00425330"/>
    <w:rsid w:val="00443799"/>
    <w:rsid w:val="00455920"/>
    <w:rsid w:val="00456CBC"/>
    <w:rsid w:val="00473F06"/>
    <w:rsid w:val="0047599E"/>
    <w:rsid w:val="00481985"/>
    <w:rsid w:val="00482A02"/>
    <w:rsid w:val="004853C3"/>
    <w:rsid w:val="004B7BD9"/>
    <w:rsid w:val="004D331E"/>
    <w:rsid w:val="004E5393"/>
    <w:rsid w:val="004F1AD1"/>
    <w:rsid w:val="004F4F55"/>
    <w:rsid w:val="00507A5C"/>
    <w:rsid w:val="005165D0"/>
    <w:rsid w:val="00525DC6"/>
    <w:rsid w:val="005318E7"/>
    <w:rsid w:val="00543967"/>
    <w:rsid w:val="00547D03"/>
    <w:rsid w:val="00551AF6"/>
    <w:rsid w:val="005522FA"/>
    <w:rsid w:val="0056296C"/>
    <w:rsid w:val="00580349"/>
    <w:rsid w:val="005A745F"/>
    <w:rsid w:val="005D00B7"/>
    <w:rsid w:val="005D2497"/>
    <w:rsid w:val="005E2A79"/>
    <w:rsid w:val="005E3611"/>
    <w:rsid w:val="006068BD"/>
    <w:rsid w:val="006077A1"/>
    <w:rsid w:val="0061399C"/>
    <w:rsid w:val="00616C20"/>
    <w:rsid w:val="006221DC"/>
    <w:rsid w:val="0062733E"/>
    <w:rsid w:val="006329A4"/>
    <w:rsid w:val="006350A4"/>
    <w:rsid w:val="00651611"/>
    <w:rsid w:val="006569E3"/>
    <w:rsid w:val="00665BB1"/>
    <w:rsid w:val="0067047E"/>
    <w:rsid w:val="00672421"/>
    <w:rsid w:val="006900CF"/>
    <w:rsid w:val="00690142"/>
    <w:rsid w:val="006A3422"/>
    <w:rsid w:val="006B2510"/>
    <w:rsid w:val="006B29D4"/>
    <w:rsid w:val="006B33F7"/>
    <w:rsid w:val="006B7516"/>
    <w:rsid w:val="006C31AE"/>
    <w:rsid w:val="006C59C7"/>
    <w:rsid w:val="006D4F04"/>
    <w:rsid w:val="006F3949"/>
    <w:rsid w:val="006F792B"/>
    <w:rsid w:val="0071388D"/>
    <w:rsid w:val="00723498"/>
    <w:rsid w:val="007324B4"/>
    <w:rsid w:val="00741F81"/>
    <w:rsid w:val="0074525E"/>
    <w:rsid w:val="00765B66"/>
    <w:rsid w:val="00770727"/>
    <w:rsid w:val="00774BB8"/>
    <w:rsid w:val="00782730"/>
    <w:rsid w:val="00783ECC"/>
    <w:rsid w:val="00795944"/>
    <w:rsid w:val="007A66F5"/>
    <w:rsid w:val="007C15FC"/>
    <w:rsid w:val="007C4249"/>
    <w:rsid w:val="007C67D9"/>
    <w:rsid w:val="007D1EF7"/>
    <w:rsid w:val="007F198C"/>
    <w:rsid w:val="007F264F"/>
    <w:rsid w:val="0081666C"/>
    <w:rsid w:val="00823416"/>
    <w:rsid w:val="00824831"/>
    <w:rsid w:val="00824839"/>
    <w:rsid w:val="00827525"/>
    <w:rsid w:val="00836792"/>
    <w:rsid w:val="00841295"/>
    <w:rsid w:val="00842735"/>
    <w:rsid w:val="00853222"/>
    <w:rsid w:val="008748A3"/>
    <w:rsid w:val="008770A2"/>
    <w:rsid w:val="00886014"/>
    <w:rsid w:val="008964DD"/>
    <w:rsid w:val="008A1D70"/>
    <w:rsid w:val="008A2053"/>
    <w:rsid w:val="008A4514"/>
    <w:rsid w:val="008C0E82"/>
    <w:rsid w:val="008F21A8"/>
    <w:rsid w:val="008F4E98"/>
    <w:rsid w:val="00935A81"/>
    <w:rsid w:val="009478F7"/>
    <w:rsid w:val="00950369"/>
    <w:rsid w:val="00952E86"/>
    <w:rsid w:val="00955714"/>
    <w:rsid w:val="00991B3F"/>
    <w:rsid w:val="0099343D"/>
    <w:rsid w:val="009B24C9"/>
    <w:rsid w:val="009B600F"/>
    <w:rsid w:val="009D124E"/>
    <w:rsid w:val="009D3C92"/>
    <w:rsid w:val="009D477E"/>
    <w:rsid w:val="009D6B67"/>
    <w:rsid w:val="009D7C38"/>
    <w:rsid w:val="009F3221"/>
    <w:rsid w:val="009F6F03"/>
    <w:rsid w:val="00A05B9C"/>
    <w:rsid w:val="00A20380"/>
    <w:rsid w:val="00A2109F"/>
    <w:rsid w:val="00A24BA2"/>
    <w:rsid w:val="00A31022"/>
    <w:rsid w:val="00A31E72"/>
    <w:rsid w:val="00A367DD"/>
    <w:rsid w:val="00A36AB9"/>
    <w:rsid w:val="00A36B7A"/>
    <w:rsid w:val="00A4049A"/>
    <w:rsid w:val="00A46B50"/>
    <w:rsid w:val="00A54FAF"/>
    <w:rsid w:val="00A632AA"/>
    <w:rsid w:val="00A67D12"/>
    <w:rsid w:val="00A72CB4"/>
    <w:rsid w:val="00AC2043"/>
    <w:rsid w:val="00AE19A5"/>
    <w:rsid w:val="00AE2DF1"/>
    <w:rsid w:val="00B13A15"/>
    <w:rsid w:val="00B231D7"/>
    <w:rsid w:val="00B3178C"/>
    <w:rsid w:val="00B451B5"/>
    <w:rsid w:val="00B50F54"/>
    <w:rsid w:val="00B55E1E"/>
    <w:rsid w:val="00B84B8A"/>
    <w:rsid w:val="00B85988"/>
    <w:rsid w:val="00B901CA"/>
    <w:rsid w:val="00B9658D"/>
    <w:rsid w:val="00BA2B4B"/>
    <w:rsid w:val="00BA372F"/>
    <w:rsid w:val="00BB2A12"/>
    <w:rsid w:val="00BB4FF9"/>
    <w:rsid w:val="00BC1424"/>
    <w:rsid w:val="00BC1645"/>
    <w:rsid w:val="00BC6ADB"/>
    <w:rsid w:val="00BD4421"/>
    <w:rsid w:val="00BD5D8F"/>
    <w:rsid w:val="00BE2146"/>
    <w:rsid w:val="00BE46C0"/>
    <w:rsid w:val="00C03FF1"/>
    <w:rsid w:val="00C12DC5"/>
    <w:rsid w:val="00C136AB"/>
    <w:rsid w:val="00C2087B"/>
    <w:rsid w:val="00C245F6"/>
    <w:rsid w:val="00C26BC3"/>
    <w:rsid w:val="00C409B7"/>
    <w:rsid w:val="00C4324D"/>
    <w:rsid w:val="00C50B91"/>
    <w:rsid w:val="00C62D8F"/>
    <w:rsid w:val="00C83B21"/>
    <w:rsid w:val="00C91034"/>
    <w:rsid w:val="00CA28E7"/>
    <w:rsid w:val="00CB4CDA"/>
    <w:rsid w:val="00CB52DE"/>
    <w:rsid w:val="00CB72D8"/>
    <w:rsid w:val="00CC117E"/>
    <w:rsid w:val="00CC33DA"/>
    <w:rsid w:val="00CF4B38"/>
    <w:rsid w:val="00D53BC8"/>
    <w:rsid w:val="00D57413"/>
    <w:rsid w:val="00D661F7"/>
    <w:rsid w:val="00D7678E"/>
    <w:rsid w:val="00D849EE"/>
    <w:rsid w:val="00DB010D"/>
    <w:rsid w:val="00DB4425"/>
    <w:rsid w:val="00DC2BCA"/>
    <w:rsid w:val="00DD06FD"/>
    <w:rsid w:val="00E0551B"/>
    <w:rsid w:val="00E205C3"/>
    <w:rsid w:val="00E20C62"/>
    <w:rsid w:val="00E21AC8"/>
    <w:rsid w:val="00E22BB9"/>
    <w:rsid w:val="00E23679"/>
    <w:rsid w:val="00E40CBE"/>
    <w:rsid w:val="00E47877"/>
    <w:rsid w:val="00E5744C"/>
    <w:rsid w:val="00E72C1E"/>
    <w:rsid w:val="00E737C3"/>
    <w:rsid w:val="00E815DB"/>
    <w:rsid w:val="00E83098"/>
    <w:rsid w:val="00E8707D"/>
    <w:rsid w:val="00E9255A"/>
    <w:rsid w:val="00EB1B8D"/>
    <w:rsid w:val="00EB644D"/>
    <w:rsid w:val="00EC228E"/>
    <w:rsid w:val="00EC382B"/>
    <w:rsid w:val="00EC4E2B"/>
    <w:rsid w:val="00EE0C88"/>
    <w:rsid w:val="00F155BB"/>
    <w:rsid w:val="00F16CC3"/>
    <w:rsid w:val="00F200AB"/>
    <w:rsid w:val="00F4565C"/>
    <w:rsid w:val="00F555CB"/>
    <w:rsid w:val="00F55871"/>
    <w:rsid w:val="00F57FC3"/>
    <w:rsid w:val="00F6011F"/>
    <w:rsid w:val="00F60F1D"/>
    <w:rsid w:val="00F66501"/>
    <w:rsid w:val="00F767BB"/>
    <w:rsid w:val="00F8703C"/>
    <w:rsid w:val="00F96961"/>
    <w:rsid w:val="00FB5A06"/>
    <w:rsid w:val="00FB6C8F"/>
    <w:rsid w:val="00FB6E44"/>
    <w:rsid w:val="00FF25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A79"/>
    <w:pPr>
      <w:spacing w:after="200" w:line="276" w:lineRule="auto"/>
    </w:pPr>
    <w:rPr>
      <w:sz w:val="22"/>
      <w:szCs w:val="22"/>
    </w:rPr>
  </w:style>
  <w:style w:type="paragraph" w:styleId="Heading2">
    <w:name w:val="heading 2"/>
    <w:basedOn w:val="Normal"/>
    <w:link w:val="Heading2Char"/>
    <w:uiPriority w:val="9"/>
    <w:qFormat/>
    <w:rsid w:val="0047599E"/>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47599E"/>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
    <w:unhideWhenUsed/>
    <w:qFormat/>
    <w:rsid w:val="00C245F6"/>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48F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1048F7"/>
    <w:rPr>
      <w:b/>
      <w:bCs/>
    </w:rPr>
  </w:style>
  <w:style w:type="character" w:customStyle="1" w:styleId="Heading2Char">
    <w:name w:val="Heading 2 Char"/>
    <w:basedOn w:val="DefaultParagraphFont"/>
    <w:link w:val="Heading2"/>
    <w:uiPriority w:val="9"/>
    <w:rsid w:val="004759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7599E"/>
    <w:rPr>
      <w:rFonts w:ascii="Times New Roman" w:eastAsia="Times New Roman" w:hAnsi="Times New Roman" w:cs="Times New Roman"/>
      <w:b/>
      <w:bCs/>
      <w:sz w:val="27"/>
      <w:szCs w:val="27"/>
    </w:rPr>
  </w:style>
  <w:style w:type="character" w:styleId="Emphasis">
    <w:name w:val="Emphasis"/>
    <w:basedOn w:val="DefaultParagraphFont"/>
    <w:uiPriority w:val="20"/>
    <w:qFormat/>
    <w:rsid w:val="0047599E"/>
    <w:rPr>
      <w:i/>
      <w:iCs/>
    </w:rPr>
  </w:style>
  <w:style w:type="paragraph" w:styleId="ListParagraph">
    <w:name w:val="List Paragraph"/>
    <w:basedOn w:val="Normal"/>
    <w:uiPriority w:val="34"/>
    <w:qFormat/>
    <w:rsid w:val="00C12DC5"/>
    <w:pPr>
      <w:ind w:left="720"/>
      <w:contextualSpacing/>
    </w:pPr>
  </w:style>
  <w:style w:type="character" w:customStyle="1" w:styleId="Heading4Char">
    <w:name w:val="Heading 4 Char"/>
    <w:basedOn w:val="DefaultParagraphFont"/>
    <w:link w:val="Heading4"/>
    <w:uiPriority w:val="9"/>
    <w:rsid w:val="00C245F6"/>
    <w:rPr>
      <w:rFonts w:ascii="Cambria" w:eastAsia="Times New Roman" w:hAnsi="Cambria" w:cs="Times New Roman"/>
      <w:b/>
      <w:bCs/>
      <w:i/>
      <w:iCs/>
      <w:color w:val="4F81BD"/>
    </w:rPr>
  </w:style>
  <w:style w:type="character" w:customStyle="1" w:styleId="relative">
    <w:name w:val="relative"/>
    <w:basedOn w:val="DefaultParagraphFont"/>
    <w:rsid w:val="00EC4E2B"/>
  </w:style>
  <w:style w:type="character" w:styleId="Hyperlink">
    <w:name w:val="Hyperlink"/>
    <w:basedOn w:val="DefaultParagraphFont"/>
    <w:uiPriority w:val="99"/>
    <w:unhideWhenUsed/>
    <w:rsid w:val="005E3611"/>
    <w:rPr>
      <w:color w:val="0000FF"/>
      <w:u w:val="single"/>
    </w:rPr>
  </w:style>
  <w:style w:type="table" w:styleId="TableGrid">
    <w:name w:val="Table Grid"/>
    <w:basedOn w:val="TableNormal"/>
    <w:uiPriority w:val="59"/>
    <w:rsid w:val="00233C0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373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73AF"/>
  </w:style>
  <w:style w:type="paragraph" w:styleId="Footer">
    <w:name w:val="footer"/>
    <w:basedOn w:val="Normal"/>
    <w:link w:val="FooterChar"/>
    <w:uiPriority w:val="99"/>
    <w:unhideWhenUsed/>
    <w:rsid w:val="00137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3AF"/>
  </w:style>
</w:styles>
</file>

<file path=word/webSettings.xml><?xml version="1.0" encoding="utf-8"?>
<w:webSettings xmlns:r="http://schemas.openxmlformats.org/officeDocument/2006/relationships" xmlns:w="http://schemas.openxmlformats.org/wordprocessingml/2006/main">
  <w:divs>
    <w:div w:id="120903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ho.int/publications/i/item/9789241564182" TargetMode="External"/><Relationship Id="rId3" Type="http://schemas.openxmlformats.org/officeDocument/2006/relationships/settings" Target="settings.xml"/><Relationship Id="rId7" Type="http://schemas.openxmlformats.org/officeDocument/2006/relationships/hyperlink" Target="mailto:feoma.ogiri@unn.ed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13</Pages>
  <Words>4967</Words>
  <Characters>28314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33215</CharactersWithSpaces>
  <SharedDoc>false</SharedDoc>
  <HLinks>
    <vt:vector size="24" baseType="variant">
      <vt:variant>
        <vt:i4>1310788</vt:i4>
      </vt:variant>
      <vt:variant>
        <vt:i4>9</vt:i4>
      </vt:variant>
      <vt:variant>
        <vt:i4>0</vt:i4>
      </vt:variant>
      <vt:variant>
        <vt:i4>5</vt:i4>
      </vt:variant>
      <vt:variant>
        <vt:lpwstr>https://www.who.int/publications/i/item/9789241564182</vt:lpwstr>
      </vt:variant>
      <vt:variant>
        <vt:lpwstr/>
      </vt:variant>
      <vt:variant>
        <vt:i4>6357062</vt:i4>
      </vt:variant>
      <vt:variant>
        <vt:i4>6</vt:i4>
      </vt:variant>
      <vt:variant>
        <vt:i4>0</vt:i4>
      </vt:variant>
      <vt:variant>
        <vt:i4>5</vt:i4>
      </vt:variant>
      <vt:variant>
        <vt:lpwstr>mailto:Ngozi.osadebe@unn.edu.ng</vt:lpwstr>
      </vt:variant>
      <vt:variant>
        <vt:lpwstr/>
      </vt:variant>
      <vt:variant>
        <vt:i4>4718696</vt:i4>
      </vt:variant>
      <vt:variant>
        <vt:i4>3</vt:i4>
      </vt:variant>
      <vt:variant>
        <vt:i4>0</vt:i4>
      </vt:variant>
      <vt:variant>
        <vt:i4>5</vt:i4>
      </vt:variant>
      <vt:variant>
        <vt:lpwstr>mailto:Chioma.onah@unn.edu.ng</vt:lpwstr>
      </vt:variant>
      <vt:variant>
        <vt:lpwstr/>
      </vt:variant>
      <vt:variant>
        <vt:i4>51</vt:i4>
      </vt:variant>
      <vt:variant>
        <vt:i4>0</vt:i4>
      </vt:variant>
      <vt:variant>
        <vt:i4>0</vt:i4>
      </vt:variant>
      <vt:variant>
        <vt:i4>5</vt:i4>
      </vt:variant>
      <vt:variant>
        <vt:lpwstr>mailto:feoma.ogiri@unn.edu.ng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CEDR 6</dc:creator>
  <cp:lastModifiedBy>HP X360</cp:lastModifiedBy>
  <cp:revision>4</cp:revision>
  <dcterms:created xsi:type="dcterms:W3CDTF">2026-08-18T09:56:00Z</dcterms:created>
  <dcterms:modified xsi:type="dcterms:W3CDTF">2026-08-18T10:30:00Z</dcterms:modified>
</cp:coreProperties>
</file>