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160"/>
        <w:jc w:val="center"/>
        <w:rPr/>
      </w:pPr>
      <w:r>
        <w:rPr>
          <w:b/>
          <w:sz w:val="28"/>
        </w:rPr>
        <w:t>IMPACT OF TERRORISM AND ARMED INSECURITY ON LIBRARY AND INFORMATION SYSTEMS DEVELOPMENT IN NORTHERN NIGERIA: AN INTEGRATIVE NARRATIVE REVIEW</w:t>
      </w:r>
    </w:p>
    <w:bookmarkStart w:id="0" w:name="_GoBack"/>
    <w:p>
      <w:pPr>
        <w:pStyle w:val="style0"/>
        <w:jc w:val="center"/>
        <w:rPr/>
      </w:pPr>
      <w:r>
        <w:rPr>
          <w:b/>
        </w:rPr>
        <w:t>BINSHAK, Monday Daniel</w:t>
      </w:r>
    </w:p>
    <w:bookmarkEnd w:id="0"/>
    <w:p>
      <w:pPr>
        <w:pStyle w:val="style0"/>
        <w:jc w:val="center"/>
        <w:rPr/>
      </w:pPr>
      <w:r>
        <w:rPr>
          <w:sz w:val="22"/>
        </w:rPr>
        <w:t>Mewar International University, Nigeria</w:t>
      </w:r>
    </w:p>
    <w:p>
      <w:pPr>
        <w:pStyle w:val="style0"/>
        <w:spacing w:after="200"/>
        <w:jc w:val="center"/>
        <w:rPr/>
      </w:pPr>
      <w:r>
        <w:rPr>
          <w:sz w:val="22"/>
        </w:rPr>
        <w:t>Tel: +(234) 081-3408-4085</w:t>
      </w:r>
    </w:p>
    <w:p>
      <w:pPr>
        <w:pStyle w:val="style0"/>
        <w:spacing w:after="200"/>
        <w:jc w:val="center"/>
        <w:rPr/>
      </w:pPr>
      <w:r>
        <w:rPr>
          <w:sz w:val="22"/>
          <w:lang w:val="en-US"/>
        </w:rPr>
        <w:t xml:space="preserve">Akor Gloria Ene - Mewar International University, Nigeria Email: korgloriaene@gmail.com </w:t>
      </w:r>
    </w:p>
    <w:p>
      <w:pPr>
        <w:pStyle w:val="style0"/>
        <w:keepNext/>
        <w:spacing w:before="200" w:after="80"/>
        <w:rPr/>
      </w:pPr>
      <w:r>
        <w:rPr>
          <w:b/>
          <w:sz w:val="26"/>
        </w:rPr>
        <w:t>Abstract</w:t>
      </w:r>
    </w:p>
    <w:p>
      <w:pPr>
        <w:pStyle w:val="style0"/>
        <w:jc w:val="both"/>
        <w:rPr/>
      </w:pPr>
      <w:r>
        <w:t xml:space="preserve">Terrorism, </w:t>
      </w:r>
      <w:r>
        <w:t>insurgency and related forms of armed insecurity have generated profound institutional dislocation across Northern Nigeria, yet their informational consequences remain comparatively peripheral within dominant security, education and development scholarship</w:t>
      </w:r>
      <w:r>
        <w:t>. This article interrogates the impact of violent insecurity on library and information systems development through an integrative narrative review of peer-reviewed scholarship, institutional repositories and authoritative grey literature addressing infras</w:t>
      </w:r>
      <w:r>
        <w:t>tructure, collections, service delivery, professional personnel, disaster preparedness, displacement and the security-development role of libraries. The synthesis is organised around four analytical objectives and interpreted through Human Security Theory,</w:t>
      </w:r>
      <w:r>
        <w:t xml:space="preserve"> disaster-resilience scholarship and an author-developed Terrorism–Information Deprivation Nexus. Recent Nigerian evidence strengthens the review by documenting conflict-related destruction of library infrastructure in the North-East, continuing deficienci</w:t>
      </w:r>
      <w:r>
        <w:t>es in disaster-control capacity, evolving information needs among internally displaced populations and the under-exploited role of libraries in resilience and counter-insurgency. The evidence demonstrates that violent insecurity operates not merely as a ph</w:t>
      </w:r>
      <w:r>
        <w:t>ysical threat to library buildings and collections, but as a multidimensional mechanism of informational deprivation: it interrupts access to educational and civic knowledge, destabilises the professional workforce required to sustain information instituti</w:t>
      </w:r>
      <w:r>
        <w:t>ons, intensifies exclusion among displaced populations and exposes entrenched deficiencies in continuity planning, digital redundancy and organisational preparedness. The literature nevertheless remains evidentially asymmetric. Direct support is comparativ</w:t>
      </w:r>
      <w:r>
        <w:t>ely strong for infrastructure damage and preparedness deficits, moderate for service discontinuity, and materially weaker for library-specific personnel displacement and for causal claims concerning libraries as counter-terrorism instruments. The article d</w:t>
      </w:r>
      <w:r>
        <w:t>evelops an Integrated Conflict–Information Systems Resilience Framework, formulates testable theoretical propositions and introduces an Evidence–Claim–Confidence matrix that separates well-supported conclusions from propositions requiring primary validatio</w:t>
      </w:r>
      <w:r>
        <w:t>n. It concludes that library and information systems development in Northern Nigeria cannot be analytically separated from the human-security environment within which knowledge institutions operate, and that sustainable recovery requires conflict-sensitive</w:t>
      </w:r>
      <w:r>
        <w:t xml:space="preserve"> continuity planning, resilient digital infrastructure, professional security competence, humanitarian information services and deliberate incorporation of libraries into educational recovery, peacebuilding and national information-resilience strategies.</w:t>
      </w:r>
    </w:p>
    <w:p>
      <w:pPr>
        <w:pStyle w:val="style0"/>
        <w:spacing w:after="100"/>
        <w:rPr/>
      </w:pPr>
      <w:r>
        <w:rPr>
          <w:b/>
        </w:rPr>
        <w:t>K</w:t>
      </w:r>
      <w:r>
        <w:rPr>
          <w:b/>
        </w:rPr>
        <w:t xml:space="preserve">eywords: </w:t>
      </w:r>
      <w:r>
        <w:t>terrorism; armed insecurity; library and information systems; Northern Nigeria; human security; information deprivation; disaster resilience</w:t>
      </w:r>
    </w:p>
    <w:p>
      <w:pPr>
        <w:pStyle w:val="style0"/>
        <w:keepNext/>
        <w:spacing w:before="140" w:after="80"/>
        <w:rPr/>
      </w:pPr>
      <w:r>
        <w:rPr>
          <w:b/>
          <w:sz w:val="26"/>
        </w:rPr>
        <w:t>1. Introduction</w:t>
      </w:r>
    </w:p>
    <w:p>
      <w:pPr>
        <w:pStyle w:val="style0"/>
        <w:ind w:firstLine="432"/>
        <w:jc w:val="both"/>
        <w:rPr/>
      </w:pPr>
      <w:r>
        <w:t>Terrorism and armed insecurity have become consequential determinants of institutional fra</w:t>
      </w:r>
      <w:r>
        <w:t>gility because their effects transcend immediate fatalities and extend into the infrastructures through which societies reproduce knowledge, human capital and civic order. The Global Terrorism Index 2024 reported 8,352 terrorism-related deaths worldwide in</w:t>
      </w:r>
      <w:r>
        <w:t xml:space="preserve"> 2023, representing a 22 per cent increase over the preceding year (IEP, 2024). The Nigerian experience is more heterogeneous than a terrorism-only frame suggests: the prolonged Boko Haram/ISWAP insurgency is concentrated primarily in the North-East, while</w:t>
      </w:r>
      <w:r>
        <w:t xml:space="preserve"> armed banditry and kidnapping, farmer-herder violence and communal conflict have become major displacement drivers in the North-West and North-Central zones. Accordingly, the present review retains terrorism as a central analytical category but employs th</w:t>
      </w:r>
      <w:r>
        <w:t>e broader expression armed insecurity where the evidence concerns organised violence that cannot defensibly be classified as terrorism.</w:t>
      </w:r>
    </w:p>
    <w:p>
      <w:pPr>
        <w:pStyle w:val="style0"/>
        <w:ind w:firstLine="432"/>
        <w:jc w:val="both"/>
        <w:rPr/>
      </w:pPr>
      <w:r>
        <w:t>The institutional consequences of this violence are especially grave because conflict rarely destroys only what is physi</w:t>
      </w:r>
      <w:r>
        <w:t>cally attacked. It also reconfigures mobility, access, professional retention, public expenditure, organisational confidence and the temporal continuity of public services. Schools close, staff and students relocate, public officers avoid insecure postings</w:t>
      </w:r>
      <w:r>
        <w:t>, infrastructure deteriorates without maintenance and already fragile systems are compelled to function under conditions of uncertainty. Scholarship on Northern Nigeria has documented deleterious effects on education, governance and socio-economic developm</w:t>
      </w:r>
      <w:r>
        <w:t>ent, including measurable disruption to enrolment, attendance and educational infrastructure in Adamawa and extensive destruction of educational facilities in Yobe and the wider North-East (Bilyaminu, Iya &amp; Purokayo, 2017; Abbas, Wakili &amp; Raji, 2023; Emman</w:t>
      </w:r>
      <w:r>
        <w:t>uel, Yusufari &amp; Chuga, 2025). Yet the library and information sector, notwithstanding its centrality to education, research, public communication and institutional memory, has historically attracted much less sustained analytical attention.</w:t>
      </w:r>
    </w:p>
    <w:p>
      <w:pPr>
        <w:pStyle w:val="style0"/>
        <w:ind w:firstLine="432"/>
        <w:jc w:val="both"/>
        <w:rPr/>
      </w:pPr>
      <w:r>
        <w:t xml:space="preserve">This lacuna is </w:t>
      </w:r>
      <w:r>
        <w:t>intellectually and practically significant. Libraries and information centres constitute knowledge infrastructures: they preserve documentary heritage, mediate access to authoritative information, support formal and lifelong education, sustain research pro</w:t>
      </w:r>
      <w:r>
        <w:t>cesses and provide communities with informational resources necessary for civic participation and socio-economic adaptation. In conflict-affected environments, their importance may become even greater because displaced and host populations require reliable</w:t>
      </w:r>
      <w:r>
        <w:t xml:space="preserve"> information about education, health, livelihoods, rights, humanitarian assistance and social reintegration. The impairment of library and information systems therefore produces a form of secondary deprivation in which populations already exposed to violen</w:t>
      </w:r>
      <w:r>
        <w:t>ce also lose access to the informational resources required for recovery.</w:t>
      </w:r>
    </w:p>
    <w:p>
      <w:pPr>
        <w:pStyle w:val="style0"/>
        <w:ind w:firstLine="432"/>
        <w:jc w:val="both"/>
        <w:rPr/>
      </w:pPr>
      <w:r>
        <w:t>The development of library and information systems must consequently be understood as a security-sensitive institutional process. Development in this context refers not simply to the</w:t>
      </w:r>
      <w:r>
        <w:t xml:space="preserve"> expansion of buildings or collections, but to the cumulative strengthening of infrastructure, professional capacity, service reach, technological capability, organisational resilience and the ability of information institutions to respond to changing comm</w:t>
      </w:r>
      <w:r>
        <w:t>unity needs. Terrorism may inhibit each of these dimensions by destroying facilities, restricting physical access, diverting public resources, displacing skilled personnel, discouraging investment and exposing deficiencies in continuity planning. Where suc</w:t>
      </w:r>
      <w:r>
        <w:t xml:space="preserve">h constraints are superimposed upon long-standing problems of </w:t>
      </w:r>
      <w:r>
        <w:t>underfunding and uneven governmental commitment to public libraries, insecurity compounds rather than initiates institutional fragility (Mngutyo, Angbande &amp; Gbuushi, 2020).</w:t>
      </w:r>
    </w:p>
    <w:p>
      <w:pPr>
        <w:pStyle w:val="style0"/>
        <w:ind w:firstLine="432"/>
        <w:jc w:val="both"/>
        <w:rPr/>
      </w:pPr>
      <w:r>
        <w:t>The problem addressed</w:t>
      </w:r>
      <w:r>
        <w:t xml:space="preserve"> in this article is therefore not merely whether terrorism has affected libraries in Northern Nigeria, but how the available literature explains the mechanisms through which insecurity obstructs library and information systems development and how those sys</w:t>
      </w:r>
      <w:r>
        <w:t>tems might themselves contribute to resilience, counter-terrorism and post-conflict reconstruction. Existing studies are dispersed across terrorism studies, disaster management, education, public-library development and information-service scholarship. The</w:t>
      </w:r>
      <w:r>
        <w:t>ir fragmentation has obscured the cumulative picture and has encouraged a tendency to treat libraries either as passive casualties or as peripheral actors in security discourse.</w:t>
      </w:r>
    </w:p>
    <w:p>
      <w:pPr>
        <w:pStyle w:val="style0"/>
        <w:ind w:firstLine="432"/>
        <w:jc w:val="both"/>
        <w:rPr/>
      </w:pPr>
      <w:r>
        <w:t>Against this background, the article synthesises the available evidence on fou</w:t>
      </w:r>
      <w:r>
        <w:t>r interrelated questions: the extent of damage to library infrastructure and collections; the disruption of information service delivery to host and displaced communities; the displacement and loss of trained information personnel; and the adequacy of secu</w:t>
      </w:r>
      <w:r>
        <w:t>rity and disaster-preparedness arrangements in libraries and information centres. It further examines the emergent literature that positions libraries as potential instruments of civic education, information literacy, peacebuilding and national security. T</w:t>
      </w:r>
      <w:r>
        <w:t xml:space="preserve">he central argument is that terrorism and armed insecurity affect library and information systems through a mutually reinforcing architecture of physical destruction, service discontinuity, human-capital erosion and institutional unpreparedness, while the </w:t>
      </w:r>
      <w:r>
        <w:t>same institutions remain underutilised as resources for societal resilience.</w:t>
      </w:r>
    </w:p>
    <w:p>
      <w:pPr>
        <w:pStyle w:val="style0"/>
        <w:keepNext/>
        <w:spacing w:before="140" w:after="80"/>
        <w:rPr/>
      </w:pPr>
      <w:r>
        <w:rPr>
          <w:b/>
          <w:sz w:val="26"/>
        </w:rPr>
        <w:t>2. Literature Review and Theoretical Framework</w:t>
      </w:r>
    </w:p>
    <w:p>
      <w:pPr>
        <w:pStyle w:val="style0"/>
        <w:keepNext/>
        <w:spacing w:before="100" w:after="60"/>
        <w:rPr/>
      </w:pPr>
      <w:r>
        <w:rPr>
          <w:b/>
        </w:rPr>
        <w:t>2.1 Terrorism, knowledge institutions and informational vulnerability</w:t>
      </w:r>
    </w:p>
    <w:p>
      <w:pPr>
        <w:pStyle w:val="style0"/>
        <w:ind w:firstLine="432"/>
        <w:jc w:val="both"/>
        <w:rPr/>
      </w:pPr>
      <w:r>
        <w:t>Terrorism is conventionally analysed through its coercive, pol</w:t>
      </w:r>
      <w:r>
        <w:t>itical and security dimensions, but its developmental implications are equally profound. Armed violence destabilises the institutional ecosystems through which education, socialisation and public communication occur. In Northern Nigeria, the destruction of</w:t>
      </w:r>
      <w:r>
        <w:t xml:space="preserve"> schools, displacement of learners and educators, interruption of public services and contraction of economic activity have been repeatedly documented. Such findings provide the wider institutional ecology within which the vulnerability of libraries must b</w:t>
      </w:r>
      <w:r>
        <w:t>e interpreted, because libraries are rarely autonomous structures; they are embedded in universities, schools, public administrations and communities whose own continuity may be compromised by insecurity.</w:t>
      </w:r>
    </w:p>
    <w:p>
      <w:pPr>
        <w:pStyle w:val="style0"/>
        <w:ind w:firstLine="432"/>
        <w:jc w:val="both"/>
        <w:rPr/>
      </w:pPr>
      <w:r>
        <w:t>Knowledge institutions are particularly susceptible</w:t>
      </w:r>
      <w:r>
        <w:t xml:space="preserve"> to conflict because their value is cumulative. A damaged building may be reconstructed, but destroyed local collections, archival materials, rare documents, professional expertise and institutional memory may be difficult or impossible to replace. Moreove</w:t>
      </w:r>
      <w:r>
        <w:t>r, a library can become functionally incapacitated even where its building remains intact. Curfews, road insecurity, institutional closure, staff relocation, electricity failure, weak connectivity and fear of public gathering can collectively extinguish ac</w:t>
      </w:r>
      <w:r>
        <w:t>cess without producing visible physical destruction. The analytical category of impact must therefore include both material loss and functional degradation.</w:t>
      </w:r>
    </w:p>
    <w:p>
      <w:pPr>
        <w:pStyle w:val="style0"/>
        <w:ind w:firstLine="432"/>
        <w:jc w:val="both"/>
        <w:rPr/>
      </w:pPr>
      <w:r>
        <w:t>This broader conception is consistent with the developmental role attributed to library and informa</w:t>
      </w:r>
      <w:r>
        <w:t xml:space="preserve">tion systems in Nigeria. Abubakar (2013) demonstrates that strategically configured public library services can support poverty alleviation, while Mngutyo, Angbande and Gbuushi (2020) emphasise the contribution of public library and information systems to </w:t>
      </w:r>
      <w:r>
        <w:t>sustainable national development. Terrorism threatens these functions by weakening the institutional conditions necessary for sustained access, and its informational effects may be particularly severe among populations already characterised by poverty, dis</w:t>
      </w:r>
      <w:r>
        <w:t>placement and educational disruption.</w:t>
      </w:r>
    </w:p>
    <w:p>
      <w:pPr>
        <w:pStyle w:val="style0"/>
        <w:spacing w:before="100" w:after="60"/>
        <w:rPr/>
      </w:pPr>
      <w:r>
        <w:rPr>
          <w:b/>
        </w:rPr>
        <w:t>2.2 Conceptual clarification and analytical delimitations</w:t>
      </w:r>
    </w:p>
    <w:p>
      <w:pPr>
        <w:pStyle w:val="style0"/>
        <w:jc w:val="both"/>
        <w:rPr/>
      </w:pPr>
      <w:r>
        <w:t>The analytical integrity of this review requires a deliberate distinction among terrorism, insurgency, banditry, armed conflict and the broader condition of ins</w:t>
      </w:r>
      <w:r>
        <w:t>ecurity. These phenomena may coexist geographically and generate overlapping institutional consequences, but they are not conceptually interchangeable. For the purposes of this article, terrorism refers to politically or ideologically motivated violence di</w:t>
      </w:r>
      <w:r>
        <w:t>rected at creating fear and coercive effects beyond the immediate target; insurgency denotes a more sustained contestation of state authority by organised armed actors; banditry refers principally to predatory armed violence organised around abduction, ext</w:t>
      </w:r>
      <w:r>
        <w:t>ortion, cattle rustling, territorial opportunism or related criminal economies; while insecurity functions as the superordinate environmental condition within which these threats constrain institutional continuity. The review therefore treats evidence from</w:t>
      </w:r>
      <w:r>
        <w:t xml:space="preserve"> adjacent forms of organised violence as contextually relevant without representing every manifestation of insecurity as terrorism.</w:t>
      </w:r>
    </w:p>
    <w:p>
      <w:pPr>
        <w:pStyle w:val="style0"/>
        <w:jc w:val="both"/>
        <w:rPr/>
      </w:pPr>
      <w:r>
        <w:t>This distinction is especially important in Northern Nigeria because the dominant threat architecture varies across geopolit</w:t>
      </w:r>
      <w:r>
        <w:t>ical zones. Boko Haram and related insurgent violence have been especially consequential in the North-East, armed banditry has become a defining feature of parts of the North-West, while the North-Central has experienced recurrent communal, farmer-herder a</w:t>
      </w:r>
      <w:r>
        <w:t>nd other forms of armed violence alongside wider national-security pressures. The common analytical denominator is not the identity of the perpetrator but the capacity of sustained violent insecurity to damage, close, depopulate, defund or functionally inc</w:t>
      </w:r>
      <w:r>
        <w:t>apacitate knowledge institutions. Claims in this review are therefore differentiated according to whether the underlying evidence is direct library-specific evidence, adjacent educational or institutional evidence, or comparative resilience evidence.</w:t>
      </w:r>
    </w:p>
    <w:p>
      <w:pPr>
        <w:pStyle w:val="style0"/>
        <w:jc w:val="both"/>
        <w:rPr/>
      </w:pPr>
      <w:r>
        <w:t>Library and information systems development is correspondingly operationalised as a multidimensional institutional process encompassing four interdependent domains: the physical integrity and expansion of infrastructure and collections; the continuity, rea</w:t>
      </w:r>
      <w:r>
        <w:t>ch and adaptability of information services; the retention and development of professional human capital; and the organisational capacity to anticipate, absorb, adapt to and recover from disruption. This operationalisation prevents development from being r</w:t>
      </w:r>
      <w:r>
        <w:t>educed to the numerical expansion of library buildings or holdings. A library system may possess physical facilities yet remain developmentally attenuated where services are inaccessible, skilled personnel have departed, digital continuity is weak or disas</w:t>
      </w:r>
      <w:r>
        <w:t>ter-response arrangements are absent.</w:t>
      </w:r>
    </w:p>
    <w:p>
      <w:pPr>
        <w:pStyle w:val="style0"/>
        <w:spacing w:before="100" w:after="60"/>
        <w:rPr/>
      </w:pPr>
      <w:r>
        <w:rPr>
          <w:b/>
        </w:rPr>
        <w:t>2.3 The Terrorism–Information Deprivation Nexus</w:t>
      </w:r>
    </w:p>
    <w:p>
      <w:pPr>
        <w:pStyle w:val="style0"/>
        <w:jc w:val="both"/>
        <w:rPr/>
      </w:pPr>
      <w:r>
        <w:t>The literature permits a more analytically consequential proposition than the assertion that insecurity merely damages library buildings. This review conceptualises a Ter</w:t>
      </w:r>
      <w:r>
        <w:t>rorism–Information Deprivation Nexus: a cumulative transmission process through which security shocks impair the institutional production, preservation, circulation and use of socially consequential information. The nexus begins with violence or credible t</w:t>
      </w:r>
      <w:r>
        <w:t>hreat, proceeds through closure, destruction, unsafe mobility, staff displacement and resource diversion, and culminates in reduced access to educational, civic, livelihood, health and recovery information. The informational loss is therefore both organisa</w:t>
      </w:r>
      <w:r>
        <w:t>tional and distributive: institutions lose capacity while already vulnerable populations encounter higher costs of obtaining reliable knowledge.</w:t>
      </w:r>
    </w:p>
    <w:p>
      <w:pPr>
        <w:pStyle w:val="style0"/>
        <w:jc w:val="both"/>
        <w:rPr/>
      </w:pPr>
      <w:r>
        <w:t>The nexus is particularly salient in displacement settings. Lawal (2016) demonstrates that internally displaced</w:t>
      </w:r>
      <w:r>
        <w:t xml:space="preserve"> persons require deliberate public-library policy and partnership arrangements to overcome information exclusion, while Ifijeh, Idiegbeyan-Ose, Iwu-James and Esse (2018) specifically argue for public-library provision to IDPs in North-East Nigeria. More re</w:t>
      </w:r>
      <w:r>
        <w:t>cent evidence from Eneasato and Jidere (2024), based partly on 230 internally displaced persons, again identifies education among major needs and advocates structured outreach programmes involving librarians, government agencies and civil society. These st</w:t>
      </w:r>
      <w:r>
        <w:t>udies shift the analytical focus from the survival of library institutions alone to the continuity of informational capability among conflict-affected populations.</w:t>
      </w:r>
    </w:p>
    <w:p>
      <w:pPr>
        <w:pStyle w:val="style0"/>
        <w:jc w:val="both"/>
        <w:rPr/>
      </w:pPr>
      <w:r>
        <w:t>Conceptually, the nexus can be represented as a sequential but non-deterministic pathway: se</w:t>
      </w:r>
      <w:r>
        <w:t>curity shock → institutional closure or destruction → information-access interruption → professional and organisational capacity loss → informational exclusion → weakened educational and civic capability → slower community recovery. The sequence is non-det</w:t>
      </w:r>
      <w:r>
        <w:t>erministic because institutional resilience can interrupt it. Redundant digital systems, mobile and remote services, trained personnel, continuity protocols, community partnerships and protected funding can reduce the depth and duration of deprivation even</w:t>
      </w:r>
      <w:r>
        <w:t xml:space="preserve"> when physical insecurity persists.</w:t>
      </w:r>
    </w:p>
    <w:p>
      <w:pPr>
        <w:pStyle w:val="style0"/>
        <w:keepNext/>
        <w:spacing w:before="100" w:after="60"/>
        <w:rPr/>
      </w:pPr>
      <w:r>
        <w:rPr>
          <w:b/>
        </w:rPr>
        <w:t>2.4 Human Security Theory and library disaster-resilience</w:t>
      </w:r>
    </w:p>
    <w:p>
      <w:pPr>
        <w:pStyle w:val="style0"/>
        <w:ind w:firstLine="432"/>
        <w:jc w:val="both"/>
        <w:rPr/>
      </w:pPr>
      <w:r>
        <w:t xml:space="preserve">Human Security Theory provides the principal theoretical lens for this review. The United Nations Development Programme (UNDP, 1994) reconceptualised security by </w:t>
      </w:r>
      <w:r>
        <w:t xml:space="preserve">shifting analytical attention from the territorial survival of the state to the protection and flourishing of individuals. The framework encompasses personal, community, economic and related dimensions of security and is especially useful where insecurity </w:t>
      </w:r>
      <w:r>
        <w:t xml:space="preserve">damages the institutional resources on which individuals depend for education, livelihood, communication and social participation. Within this perspective, the destruction or incapacitation of a library is not an incidental cultural loss; it is an erosion </w:t>
      </w:r>
      <w:r>
        <w:t>of the informational environment required for human capability and recovery.</w:t>
      </w:r>
    </w:p>
    <w:p>
      <w:pPr>
        <w:pStyle w:val="style0"/>
        <w:ind w:firstLine="432"/>
        <w:jc w:val="both"/>
        <w:rPr/>
      </w:pPr>
      <w:r>
        <w:t>Applied to Northern Nigeria, Human Security Theory illuminates the cumulative character of terrorism. A displaced student may simultaneously lose a home, school, library, internet</w:t>
      </w:r>
      <w:r>
        <w:t xml:space="preserve"> connection and access to trusted information. An information professional may face both personal insecurity and professional displacement. A host community may experience increased demand for educational and civic information while local information insti</w:t>
      </w:r>
      <w:r>
        <w:t>tutions suffer declining capacity. The theory therefore discourages a narrow facility-centred interpretation and instead foregrounds the consequences of informational deprivation for people and communities.</w:t>
      </w:r>
    </w:p>
    <w:p>
      <w:pPr>
        <w:pStyle w:val="style0"/>
        <w:ind w:firstLine="432"/>
        <w:jc w:val="both"/>
        <w:rPr/>
      </w:pPr>
      <w:r>
        <w:t>The Human Security perspective is complemented by</w:t>
      </w:r>
      <w:r>
        <w:t xml:space="preserve"> disaster-resilience frameworks in librarianship. Garnett (2019) distinguishes reactive disaster response from proactive resilience-building, emphasising anticipatory planning, institutional preparedness, adaptive capacity and alignment with wider disaster</w:t>
      </w:r>
      <w:r>
        <w:t xml:space="preserve">-risk-reduction principles. Resilience is thus not equivalent to the absence of disruption; it is the capacity to anticipate, withstand, adapt to and recover from disruptive events while preserving essential functions. When combined, Human Security Theory </w:t>
      </w:r>
      <w:r>
        <w:t>and library-resilience scholarship permit the present review to analyse both the human consequences of disrupted information access and the institutional capacities required to reduce future vulnerability.</w:t>
      </w:r>
    </w:p>
    <w:p>
      <w:pPr>
        <w:pStyle w:val="style0"/>
        <w:keepNext/>
        <w:spacing w:before="100" w:after="60"/>
        <w:rPr/>
      </w:pPr>
      <w:r>
        <w:rPr>
          <w:b/>
        </w:rPr>
        <w:t>2.5 Disaster preparedness and institutional resili</w:t>
      </w:r>
      <w:r>
        <w:rPr>
          <w:b/>
        </w:rPr>
        <w:t>ence in libraries</w:t>
      </w:r>
    </w:p>
    <w:p>
      <w:pPr>
        <w:pStyle w:val="style0"/>
        <w:ind w:firstLine="432"/>
        <w:jc w:val="both"/>
        <w:rPr/>
      </w:pPr>
      <w:r>
        <w:t>Disaster-preparedness literature consistently demonstrates that many libraries operate with inadequate formal planning even in settings where hazards are foreseeable. Nigerian studies report deficiencies in written disaster plans, staff t</w:t>
      </w:r>
      <w:r>
        <w:t>raining, security infrastructure and continuity arrangements (Iroeze, 2021; Nwokedi, Panle &amp; Samuel, 2017). Terrorism magnifies the implications of these weaknesses because conflict-related disruption can be abrupt, prolonged and spatially extensive, while</w:t>
      </w:r>
      <w:r>
        <w:t xml:space="preserve"> simultaneously restricting external assistance and exposing staff to direct personal risk.</w:t>
      </w:r>
    </w:p>
    <w:p>
      <w:pPr>
        <w:pStyle w:val="style0"/>
        <w:ind w:firstLine="432"/>
        <w:jc w:val="both"/>
        <w:rPr/>
      </w:pPr>
      <w:r>
        <w:t>Comparative evidence reinforces the structural character of the problem. Ahenkorah-Marfo and Borteye (2010) and Ayoung, Boatbil and Baada (2021) documented weakness</w:t>
      </w:r>
      <w:r>
        <w:t>es in disaster preparedness among Ghanaian academic and polytechnic libraries, while Kostagiolas, Araka, Theodorou and Bokos (2011) identified comparable deficiencies in Greece. These studies are not direct evidence of terrorism in Northern Nigeria, but th</w:t>
      </w:r>
      <w:r>
        <w:t>ey establish a useful institutional baseline: libraries frequently underinvest in preparedness even for conventional hazards. In conflict-affected environments, such underinvestment can transform disruption into prolonged institutional incapacity.</w:t>
      </w:r>
    </w:p>
    <w:p>
      <w:pPr>
        <w:pStyle w:val="style0"/>
        <w:ind w:firstLine="432"/>
        <w:jc w:val="both"/>
        <w:rPr/>
      </w:pPr>
      <w:r>
        <w:t>The impl</w:t>
      </w:r>
      <w:r>
        <w:t>ication is that terrorism-related resilience requires more than guards and perimeter security. It encompasses risk assessment, emergency communication, collection protection, data backup, digital continuity, staff safety protocols, alternative service chan</w:t>
      </w:r>
      <w:r>
        <w:t>nels, inter-institutional partnerships, recovery financing and mechanisms for serving displaced users. A resilient information institution must preserve function under degraded conditions rather than merely protect physical assets.</w:t>
      </w:r>
    </w:p>
    <w:p>
      <w:pPr>
        <w:pStyle w:val="style0"/>
        <w:keepNext/>
        <w:spacing w:before="100" w:after="60"/>
        <w:rPr/>
      </w:pPr>
      <w:r>
        <w:rPr>
          <w:b/>
        </w:rPr>
        <w:t>2.6 Libraries, informati</w:t>
      </w:r>
      <w:r>
        <w:rPr>
          <w:b/>
        </w:rPr>
        <w:t>on literacy and national security</w:t>
      </w:r>
    </w:p>
    <w:p>
      <w:pPr>
        <w:pStyle w:val="style0"/>
        <w:ind w:firstLine="432"/>
        <w:jc w:val="both"/>
        <w:rPr/>
      </w:pPr>
      <w:r>
        <w:t>A parallel literature complicates the representation of libraries as passive victims by identifying their possible contribution to national security. Ossai-Ugbah (2013) argues that libraries and librarians can strengthen n</w:t>
      </w:r>
      <w:r>
        <w:t xml:space="preserve">ational security through informed citizenship, reliable information dissemination and educational intervention. Ogugua and Ikeagwuani (2024) similarly contend that libraries can contribute to counter-terrorism through civic education, information literacy </w:t>
      </w:r>
      <w:r>
        <w:t>and community outreach, although chronic underfunding, low patronage and weak managerial support constrain this role.</w:t>
      </w:r>
    </w:p>
    <w:p>
      <w:pPr>
        <w:pStyle w:val="style0"/>
        <w:ind w:firstLine="432"/>
        <w:jc w:val="both"/>
        <w:rPr/>
      </w:pPr>
      <w:r>
        <w:t>This literature is significant because violent extremism is also an informational phenomenon. Recruitment, ideological legitimation, rumou</w:t>
      </w:r>
      <w:r>
        <w:t>r, misinformation, historical distortion and social polarisation all depend upon contested information environments. Libraries cannot substitute for security agencies, nor should they become instruments of coercive surveillance. However, they can strengthe</w:t>
      </w:r>
      <w:r>
        <w:t>n the epistemic resilience of communities by improving access to credible information, supporting media and information literacy, facilitating educational continuity and providing inclusive civic spaces where conditions permit.</w:t>
      </w:r>
    </w:p>
    <w:p>
      <w:pPr>
        <w:pStyle w:val="style0"/>
        <w:ind w:firstLine="432"/>
        <w:jc w:val="both"/>
        <w:rPr/>
      </w:pPr>
      <w:r>
        <w:t>The resulting conceptual pos</w:t>
      </w:r>
      <w:r>
        <w:t>ition is therefore dialectical: terrorism degrades libraries, while stronger libraries may contribute indirectly to reducing some of the social and informational vulnerabilities on which insecurity feeds. This duality provides an important bridge between l</w:t>
      </w:r>
      <w:r>
        <w:t>ibrary development and human-security analysis.</w:t>
      </w:r>
    </w:p>
    <w:p>
      <w:pPr>
        <w:pStyle w:val="style0"/>
        <w:spacing w:before="100" w:after="60"/>
        <w:rPr/>
      </w:pPr>
      <w:r>
        <w:rPr>
          <w:b/>
        </w:rPr>
        <w:t>2.7 Integrated Conflict–Information Systems Resilience Framework</w:t>
      </w:r>
    </w:p>
    <w:p>
      <w:pPr>
        <w:pStyle w:val="style0"/>
        <w:jc w:val="both"/>
        <w:rPr/>
      </w:pPr>
      <w:r>
        <w:t>The synthesis permits the construction of an integrated explanatory framework that moves the article beyond a catalogue of conflict effects. Th</w:t>
      </w:r>
      <w:r>
        <w:t xml:space="preserve">e framework conceptualises terrorism and related forms of protracted insecurity as exogenous conflict exposure that enters the library and information environment through four principal transmission mechanisms: destruction or degradation of infrastructure </w:t>
      </w:r>
      <w:r>
        <w:t>and collections; interruption of service delivery; displacement or attrition of professional human capital; and deficiencies in preparedness, continuity and recovery capability. These mechanisms generate developmental outcomes in the form of reduced knowle</w:t>
      </w:r>
      <w:r>
        <w:t>dge access, educational and research discontinuity, loss of institutional memory, widening informational exclusion and slower library-system development.</w:t>
      </w:r>
    </w:p>
    <w:p>
      <w:pPr>
        <w:pStyle w:val="style0"/>
        <w:jc w:val="both"/>
        <w:rPr/>
      </w:pPr>
      <w:r>
        <w:t xml:space="preserve">The severity of these outcomes is not predetermined. It is moderated by resilience capacities such as </w:t>
      </w:r>
      <w:r>
        <w:t>stable funding, redundant digital preservation, written continuity arrangements, staff competence, institutional security coordination and partnerships with humanitarian and community actors. The framework also contains a recovery loop: where libraries sur</w:t>
      </w:r>
      <w:r>
        <w:t>vive and retain public trust, they can support civic information, information literacy, educational continuity and post-conflict reconstruction. In theoretical terms, Human Security Theory explains why informational deprivation constitutes a substantive hu</w:t>
      </w:r>
      <w:r>
        <w:t>man-security loss, while disaster-resilience thinking explains the institutional capacities that can interrupt the progression from conflict exposure to prolonged developmental impairment.</w:t>
      </w:r>
    </w:p>
    <w:p>
      <w:pPr>
        <w:pStyle w:val="style0"/>
        <w:jc w:val="center"/>
        <w:rPr/>
      </w:pPr>
      <w:r>
        <w:rPr>
          <w:noProof/>
        </w:rPr>
        <w:drawing>
          <wp:inline distL="0" distT="0" distB="0" distR="0">
            <wp:extent cx="5989320" cy="3396334"/>
            <wp:effectExtent l="0" t="0" r="0" b="0"/>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5989320" cy="3396334"/>
                    </a:xfrm>
                    <a:prstGeom prst="rect"/>
                  </pic:spPr>
                </pic:pic>
              </a:graphicData>
            </a:graphic>
          </wp:inline>
        </w:drawing>
      </w:r>
    </w:p>
    <w:p>
      <w:pPr>
        <w:pStyle w:val="style0"/>
        <w:spacing w:before="60" w:after="40"/>
        <w:jc w:val="center"/>
        <w:rPr/>
      </w:pPr>
      <w:r>
        <w:rPr>
          <w:i/>
          <w:sz w:val="20"/>
        </w:rPr>
        <w:t>Figure 1. Integrated Conflict–Information Systems Resilience Fram</w:t>
      </w:r>
      <w:r>
        <w:rPr>
          <w:i/>
          <w:sz w:val="20"/>
        </w:rPr>
        <w:t>ework for library and information systems development in conflict-affected Northern Nigeria.</w:t>
      </w:r>
    </w:p>
    <w:p>
      <w:pPr>
        <w:pStyle w:val="style0"/>
        <w:spacing w:after="80" w:lineRule="auto" w:line="240"/>
        <w:jc w:val="both"/>
        <w:rPr/>
      </w:pPr>
      <w:r>
        <w:rPr>
          <w:i/>
          <w:sz w:val="19"/>
        </w:rPr>
        <w:t>Source: Author’s conceptual synthesis from the reviewed literature. The framework is explanatory rather than causal-proof: the relative strength of each pathway re</w:t>
      </w:r>
      <w:r>
        <w:rPr>
          <w:i/>
          <w:sz w:val="19"/>
        </w:rPr>
        <w:t>quires subsequent field-based testing.</w:t>
      </w:r>
    </w:p>
    <w:p>
      <w:pPr>
        <w:pStyle w:val="style0"/>
        <w:spacing w:before="100" w:after="60"/>
        <w:rPr/>
      </w:pPr>
      <w:r>
        <w:rPr>
          <w:b/>
        </w:rPr>
        <w:t>2.8 Theoretical propositions for empirical testing</w:t>
      </w:r>
    </w:p>
    <w:p>
      <w:pPr>
        <w:pStyle w:val="style0"/>
        <w:spacing w:after="100" w:lineRule="auto" w:line="264"/>
        <w:ind w:left="259"/>
        <w:jc w:val="both"/>
        <w:rPr/>
      </w:pPr>
      <w:r>
        <w:rPr>
          <w:b/>
          <w:sz w:val="23"/>
        </w:rPr>
        <w:t xml:space="preserve">P1. Conflict-exposure proposition. </w:t>
      </w:r>
      <w:r>
        <w:rPr>
          <w:sz w:val="23"/>
        </w:rPr>
        <w:t xml:space="preserve">Higher exposure to terrorism and armed insecurity is associated with lower continuity of library infrastructure, collections and </w:t>
      </w:r>
      <w:r>
        <w:rPr>
          <w:sz w:val="23"/>
        </w:rPr>
        <w:t>institutional operations.</w:t>
      </w:r>
    </w:p>
    <w:p>
      <w:pPr>
        <w:pStyle w:val="style0"/>
        <w:spacing w:after="100" w:lineRule="auto" w:line="264"/>
        <w:ind w:left="259"/>
        <w:jc w:val="both"/>
        <w:rPr/>
      </w:pPr>
      <w:r>
        <w:rPr>
          <w:b/>
          <w:sz w:val="23"/>
        </w:rPr>
        <w:t xml:space="preserve">P2. Service-mediation proposition. </w:t>
      </w:r>
      <w:r>
        <w:rPr>
          <w:sz w:val="23"/>
        </w:rPr>
        <w:t>The adverse human-security consequences of conflict are partly transmitted through interruption of library and information service access, particularly among displaced and educationally vulnerabl</w:t>
      </w:r>
      <w:r>
        <w:rPr>
          <w:sz w:val="23"/>
        </w:rPr>
        <w:t>e populations.</w:t>
      </w:r>
    </w:p>
    <w:p>
      <w:pPr>
        <w:pStyle w:val="style0"/>
        <w:spacing w:after="100" w:lineRule="auto" w:line="264"/>
        <w:ind w:left="259"/>
        <w:jc w:val="both"/>
        <w:rPr/>
      </w:pPr>
      <w:r>
        <w:rPr>
          <w:b/>
          <w:sz w:val="23"/>
        </w:rPr>
        <w:t xml:space="preserve">P3. Human-capital mediation proposition. </w:t>
      </w:r>
      <w:r>
        <w:rPr>
          <w:sz w:val="23"/>
        </w:rPr>
        <w:t>Professional displacement, unsafe postings and loss of institutional memory mediate the relationship between conflict exposure and deterioration in LIS service capacity.</w:t>
      </w:r>
    </w:p>
    <w:p>
      <w:pPr>
        <w:pStyle w:val="style0"/>
        <w:spacing w:after="100" w:lineRule="auto" w:line="264"/>
        <w:ind w:left="259"/>
        <w:jc w:val="both"/>
        <w:rPr/>
      </w:pPr>
      <w:r>
        <w:rPr>
          <w:b/>
          <w:sz w:val="23"/>
        </w:rPr>
        <w:t>P4. Resilience-moderation prop</w:t>
      </w:r>
      <w:r>
        <w:rPr>
          <w:b/>
          <w:sz w:val="23"/>
        </w:rPr>
        <w:t xml:space="preserve">osition. </w:t>
      </w:r>
      <w:r>
        <w:rPr>
          <w:sz w:val="23"/>
        </w:rPr>
        <w:t>Conflict-sensitive disaster preparedness, digital redundancy, staff competence and inter-organisational coordination moderate the negative relationship between insecurity and LIS developmental outcomes.</w:t>
      </w:r>
    </w:p>
    <w:p>
      <w:pPr>
        <w:pStyle w:val="style0"/>
        <w:spacing w:after="100" w:lineRule="auto" w:line="264"/>
        <w:ind w:left="259"/>
        <w:jc w:val="both"/>
        <w:rPr/>
      </w:pPr>
      <w:r>
        <w:rPr>
          <w:b/>
          <w:sz w:val="23"/>
        </w:rPr>
        <w:t xml:space="preserve">P5. Recovery-capability proposition. </w:t>
      </w:r>
      <w:r>
        <w:rPr>
          <w:sz w:val="23"/>
        </w:rPr>
        <w:t>Where l</w:t>
      </w:r>
      <w:r>
        <w:rPr>
          <w:sz w:val="23"/>
        </w:rPr>
        <w:t>ibraries retain institutional trust and outreach capacity, information literacy, civic-information provision and educational continuity can contribute positively to community resilience and post-conflict recovery.</w:t>
      </w:r>
    </w:p>
    <w:p>
      <w:pPr>
        <w:pStyle w:val="style0"/>
        <w:jc w:val="both"/>
        <w:rPr/>
      </w:pPr>
      <w:r>
        <w:t>These propositions are analytically derive</w:t>
      </w:r>
      <w:r>
        <w:t>d from the synthesis and should not be mistaken for hypotheses already confirmed by the reviewed literature. Their value lies in converting a predominantly descriptive evidence base into a programme of falsifiable, field-based inquiry capable of estimating</w:t>
      </w:r>
      <w:r>
        <w:t xml:space="preserve"> the strength, direction and conditionality of the relationships proposed.</w:t>
      </w:r>
    </w:p>
    <w:p>
      <w:pPr>
        <w:pStyle w:val="style0"/>
        <w:keepNext/>
        <w:spacing w:before="140" w:after="80"/>
        <w:rPr/>
      </w:pPr>
      <w:r>
        <w:rPr>
          <w:b/>
          <w:sz w:val="26"/>
        </w:rPr>
        <w:t>3. Methodology</w:t>
      </w:r>
    </w:p>
    <w:p>
      <w:pPr>
        <w:pStyle w:val="style0"/>
        <w:ind w:firstLine="432"/>
        <w:jc w:val="both"/>
        <w:rPr/>
      </w:pPr>
      <w:r>
        <w:t>This study adopts an integrative narrative-review design. The approach is appropriate because the evidence linking terrorism to library and information systems in Nor</w:t>
      </w:r>
      <w:r>
        <w:t>thern Nigeria is comparatively sparse, dispersed across disciplinary boundaries and methodologically heterogeneous. A narrowly systematic or meta-analytic strategy would imply a level of empirical homogeneity that the available corpus does not possess. The</w:t>
      </w:r>
      <w:r>
        <w:t xml:space="preserve"> narrative design instead permits the synthesis of empirical surveys, case studies, conceptual analyses, institutional reports and comparative disaster-management scholarship while retaining distinctions in evidentiary strength.</w:t>
      </w:r>
    </w:p>
    <w:p>
      <w:pPr>
        <w:pStyle w:val="style0"/>
        <w:ind w:firstLine="432"/>
        <w:jc w:val="both"/>
        <w:rPr/>
      </w:pPr>
      <w:r>
        <w:t>Sources were identified thr</w:t>
      </w:r>
      <w:r>
        <w:t>ough structured searches of Scopus-indexed and other peer-reviewed journals, library and information science databases, institutional repositories and authoritative reports. The search strategy combined variants of the terms terrorism, insurgency, Boko Har</w:t>
      </w:r>
      <w:r>
        <w:t>am and insecurity with library, library and information systems, disaster preparedness, information services and resilience. Nigerian evidence was accorded interpretive priority. Comparative studies from other contexts were incorporated only where they sup</w:t>
      </w:r>
      <w:r>
        <w:t>plied a relevant analytical baseline for library disaster preparedness or resilience in areas where direct Nigerian evidence was limited.</w:t>
      </w:r>
    </w:p>
    <w:p>
      <w:pPr>
        <w:pStyle w:val="style0"/>
        <w:ind w:firstLine="432"/>
        <w:jc w:val="both"/>
        <w:rPr/>
      </w:pPr>
      <w:r>
        <w:t>Inclusion was guided by substantive relevance rather than disciplinary label. Sources were retained where they address</w:t>
      </w:r>
      <w:r>
        <w:t>ed the effects of terrorism, insurgency or armed conflict on libraries, information services or educational infrastructure; examined disaster preparedness, security or resilience in libraries; or analysed the contribution of libraries to national security,</w:t>
      </w:r>
      <w:r>
        <w:t xml:space="preserve"> civic information or counter-terrorism. Studies concerned solely with macroeconomic, political or health consequences were used only for contextualisation where they helped establish the broader institutional effects of insecurity.</w:t>
      </w:r>
    </w:p>
    <w:p>
      <w:pPr>
        <w:pStyle w:val="style0"/>
        <w:ind w:firstLine="432"/>
        <w:jc w:val="both"/>
        <w:rPr/>
      </w:pPr>
      <w:r>
        <w:t>The analytical procedur</w:t>
      </w:r>
      <w:r>
        <w:t>e involved iterative reading, comparison and thematic coding. Evidence was organised around the four objectives of the review: infrastructure and collections; information service delivery; personnel displacement; and security or disaster preparedness. A fi</w:t>
      </w:r>
      <w:r>
        <w:t>fth cross-cutting theme - libraries as instruments of counter-terrorism and recovery - emerged from the literature and was retained because it materially altered the interpretation of the library-security relationship. Particular attention was paid to whet</w:t>
      </w:r>
      <w:r>
        <w:t>her claims were directly supported by library-specific evidence or inferred from adjacent educational and displacement literature.</w:t>
      </w:r>
    </w:p>
    <w:p>
      <w:pPr>
        <w:pStyle w:val="style0"/>
        <w:ind w:firstLine="432"/>
        <w:jc w:val="both"/>
        <w:rPr/>
      </w:pPr>
      <w:r>
        <w:t>The review is integrative rather than exhaustive. It does not claim complete retrieval of every publication on terrorism or l</w:t>
      </w:r>
      <w:r>
        <w:t>ibrary development, and it does not produce meta-analytic estimates of effect. Its contribution lies in the conceptual consolidation of a fragmented evidence base, the explicit identification of evidentiary asymmetries and the articulation of a resilience-</w:t>
      </w:r>
      <w:r>
        <w:t>centred framework for future policy and field-based investigation.</w:t>
      </w:r>
    </w:p>
    <w:p>
      <w:pPr>
        <w:pStyle w:val="style0"/>
        <w:spacing w:before="100" w:after="60"/>
        <w:rPr/>
      </w:pPr>
      <w:r>
        <w:rPr>
          <w:b/>
        </w:rPr>
        <w:t>3.1 Review protocol, analytical boundaries and evidentiary appraisal</w:t>
      </w:r>
    </w:p>
    <w:p>
      <w:pPr>
        <w:pStyle w:val="style0"/>
        <w:jc w:val="both"/>
        <w:rPr/>
      </w:pPr>
      <w:r>
        <w:t xml:space="preserve">To strengthen methodological transparency without misrepresenting the study as a fully systematic review, the review </w:t>
      </w:r>
      <w:r>
        <w:t>protocol was informed by two established evidence-synthesis principles: PRISMA 2020 reporting expectations concerning explicit identification, screening and inclusion logic, and JBI critical-appraisal principles concerning the trustworthiness, relevance an</w:t>
      </w:r>
      <w:r>
        <w:t xml:space="preserve">d methodological adequacy of evidence (Page et al., 2021; Aromataris et al., 2024). The present </w:t>
      </w:r>
      <w:r>
        <w:t>article does not claim PRISMA compliance because the original manuscript corpus was assembled as an integrative narrative review and a complete retrospective au</w:t>
      </w:r>
      <w:r>
        <w:t>dit trail of all duplicate-removal and exclusion decisions is unavailable. Rather than fabricate a numerical flow diagram, the article makes its search architecture, eligibility logic, thematic coding and evidentiary hierarchy explicit.</w:t>
      </w:r>
    </w:p>
    <w:p>
      <w:pPr>
        <w:pStyle w:val="style0"/>
        <w:jc w:val="both"/>
        <w:rPr/>
      </w:pPr>
      <w:r>
        <w:t>Evidence was apprai</w:t>
      </w:r>
      <w:r>
        <w:t>sed using five review-specific criteria: (1) directness of relevance to libraries and information systems; (2) geographical proximity to Northern Nigeria; (3) methodological transparency; (4) institutional specificity; and (5) concordance between the evide</w:t>
      </w:r>
      <w:r>
        <w:t>nce actually generated and the claim for which it is mobilised. Sources were consequently classified as direct, adjacent, comparative or theoretical/policy evidence. Direct evidence explicitly investigated Nigerian libraries, librarians or information-serv</w:t>
      </w:r>
      <w:r>
        <w:t>ice users; adjacent evidence investigated education, displacement or institutional disruption from which carefully bounded LIS implications could be inferred; comparative evidence provided disaster-resilience benchmarks from other library settings; and the</w:t>
      </w:r>
      <w:r>
        <w:t>oretical/policy evidence supplied explanatory or normative architecture. This hierarchy prevents contextual inference from acquiring the same epistemic status as direct library-specific measurement.</w:t>
      </w:r>
    </w:p>
    <w:p>
      <w:pPr>
        <w:pStyle w:val="style0"/>
        <w:spacing w:before="60" w:after="40"/>
        <w:jc w:val="center"/>
        <w:rPr/>
      </w:pPr>
      <w:r>
        <w:rPr>
          <w:i/>
          <w:sz w:val="20"/>
        </w:rPr>
        <w:t>Table 1. Critical evidence-appraisal matrix for major sou</w:t>
      </w:r>
      <w:r>
        <w:rPr>
          <w:i/>
          <w:sz w:val="20"/>
        </w:rPr>
        <w:t>rces mobilised in the review.</w:t>
      </w:r>
    </w:p>
    <w:tbl>
      <w:tblPr>
        <w:tblStyle w:val="style154"/>
        <w:tblW w:w="0" w:type="auto"/>
        <w:jc w:val="center"/>
        <w:tblLook w:val="04A0" w:firstRow="1" w:lastRow="0" w:firstColumn="1" w:lastColumn="0" w:noHBand="0" w:noVBand="1"/>
      </w:tblPr>
      <w:tblGrid>
        <w:gridCol w:w="1655"/>
        <w:gridCol w:w="1674"/>
        <w:gridCol w:w="2303"/>
        <w:gridCol w:w="1691"/>
        <w:gridCol w:w="2544"/>
      </w:tblGrid>
      <w:tr>
        <w:trPr>
          <w:tblHeader/>
          <w:jc w:val="center"/>
        </w:trPr>
        <w:tc>
          <w:tcPr>
            <w:tcW w:w="1800" w:type="dxa"/>
            <w:tcBorders/>
            <w:tcMar>
              <w:top w:w="55" w:type="dxa"/>
              <w:left w:w="55" w:type="dxa"/>
              <w:bottom w:w="55" w:type="dxa"/>
              <w:right w:w="55" w:type="dxa"/>
            </w:tcMar>
            <w:vAlign w:val="center"/>
          </w:tcPr>
          <w:p>
            <w:pPr>
              <w:pStyle w:val="style0"/>
              <w:spacing w:after="0" w:lineRule="auto" w:line="240"/>
              <w:rPr/>
            </w:pPr>
            <w:r>
              <w:rPr>
                <w:b/>
                <w:color w:val="000000"/>
                <w:sz w:val="14"/>
              </w:rPr>
              <w:t>Source / year</w:t>
            </w:r>
          </w:p>
        </w:tc>
        <w:tc>
          <w:tcPr>
            <w:tcW w:w="1800" w:type="dxa"/>
            <w:tcBorders/>
            <w:tcMar>
              <w:top w:w="55" w:type="dxa"/>
              <w:left w:w="55" w:type="dxa"/>
              <w:bottom w:w="55" w:type="dxa"/>
              <w:right w:w="55" w:type="dxa"/>
            </w:tcMar>
            <w:vAlign w:val="center"/>
          </w:tcPr>
          <w:p>
            <w:pPr>
              <w:pStyle w:val="style0"/>
              <w:spacing w:after="0" w:lineRule="auto" w:line="240"/>
              <w:rPr/>
            </w:pPr>
            <w:r>
              <w:rPr>
                <w:b/>
                <w:color w:val="000000"/>
                <w:sz w:val="14"/>
              </w:rPr>
              <w:t>Context</w:t>
            </w:r>
          </w:p>
        </w:tc>
        <w:tc>
          <w:tcPr>
            <w:tcW w:w="2664" w:type="dxa"/>
            <w:tcBorders/>
            <w:tcMar>
              <w:top w:w="55" w:type="dxa"/>
              <w:left w:w="55" w:type="dxa"/>
              <w:bottom w:w="55" w:type="dxa"/>
              <w:right w:w="55" w:type="dxa"/>
            </w:tcMar>
            <w:vAlign w:val="center"/>
          </w:tcPr>
          <w:p>
            <w:pPr>
              <w:pStyle w:val="style0"/>
              <w:spacing w:after="0" w:lineRule="auto" w:line="240"/>
              <w:rPr/>
            </w:pPr>
            <w:r>
              <w:rPr>
                <w:b/>
                <w:color w:val="000000"/>
                <w:sz w:val="14"/>
              </w:rPr>
              <w:t>Primary evidentiary focus</w:t>
            </w:r>
          </w:p>
        </w:tc>
        <w:tc>
          <w:tcPr>
            <w:tcW w:w="1656" w:type="dxa"/>
            <w:tcBorders/>
            <w:tcMar>
              <w:top w:w="55" w:type="dxa"/>
              <w:left w:w="55" w:type="dxa"/>
              <w:bottom w:w="55" w:type="dxa"/>
              <w:right w:w="55" w:type="dxa"/>
            </w:tcMar>
            <w:vAlign w:val="center"/>
          </w:tcPr>
          <w:p>
            <w:pPr>
              <w:pStyle w:val="style0"/>
              <w:spacing w:after="0" w:lineRule="auto" w:line="240"/>
              <w:rPr/>
            </w:pPr>
            <w:r>
              <w:rPr>
                <w:b/>
                <w:color w:val="000000"/>
                <w:sz w:val="14"/>
              </w:rPr>
              <w:t>Position in this review</w:t>
            </w:r>
          </w:p>
        </w:tc>
        <w:tc>
          <w:tcPr>
            <w:tcW w:w="2952" w:type="dxa"/>
            <w:tcBorders/>
            <w:tcMar>
              <w:top w:w="55" w:type="dxa"/>
              <w:left w:w="55" w:type="dxa"/>
              <w:bottom w:w="55" w:type="dxa"/>
              <w:right w:w="55" w:type="dxa"/>
            </w:tcMar>
            <w:vAlign w:val="center"/>
          </w:tcPr>
          <w:p>
            <w:pPr>
              <w:pStyle w:val="style0"/>
              <w:spacing w:after="0" w:lineRule="auto" w:line="240"/>
              <w:rPr/>
            </w:pPr>
            <w:r>
              <w:rPr>
                <w:b/>
                <w:color w:val="000000"/>
                <w:sz w:val="14"/>
              </w:rPr>
              <w:t>Principal limitation for present purpose</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Esse et al. (2022)</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North-West Nigeria</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Public-library disaster-management readiness under insecurity</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Direct</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Strong on preparedness and exposure; does not by itself represent all three northern zones</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Nwokedi, Panle &amp; Samuel (2017)</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University of Jos, North-Central Nigeria</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Disaster management and preparedness in an academic library</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Direct / institutional</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Single-in</w:t>
            </w:r>
            <w:r>
              <w:rPr>
                <w:color w:val="000000"/>
                <w:sz w:val="14"/>
              </w:rPr>
              <w:t>stitution evidence; conflict-specific causation is not the sole focus</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Abubakar (2022)</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North-West and North-Central Nigeria</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ICT adoption and teaching/learning implications during insecurity</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Adjacent but highly relevant</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Library-development implications </w:t>
            </w:r>
            <w:r>
              <w:rPr>
                <w:color w:val="000000"/>
                <w:sz w:val="14"/>
              </w:rPr>
              <w:t>extend beyond direct measurement of terrorism effects</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Iroeze (2021)</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South-East Nigeria</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Academic-library disaster-management preparedness</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Comparative Nigerian baseline</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Useful for structural preparedness weakness, but outside Northern Nigeria</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Ahenkorah-Mar</w:t>
            </w:r>
            <w:r>
              <w:rPr>
                <w:color w:val="000000"/>
                <w:sz w:val="14"/>
              </w:rPr>
              <w:t>fo &amp; Borteye (2010)</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Ghana</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Academic-library disaster preparedness</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Comparative</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Different national and hazard environment</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Ayoung, Boatbil &amp; Baada (2021)</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Ghana</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Library disaster preparedness and staff readiness</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Comparative</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Does not address armed-conflict </w:t>
            </w:r>
            <w:r>
              <w:rPr>
                <w:color w:val="000000"/>
                <w:sz w:val="14"/>
              </w:rPr>
              <w:t>exposure</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Garnett (2019)</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International / academic libraries</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Resilience-building and Disaster Risk Reduction</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Conceptual / comparative</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Provides resilience architecture rather than Northern Nigerian effect evidence</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Ossai-Ugbah (2013)</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Nigeria</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Libraries and </w:t>
            </w:r>
            <w:r>
              <w:rPr>
                <w:color w:val="000000"/>
                <w:sz w:val="14"/>
              </w:rPr>
              <w:t>librarians in national security</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Direct conceptual</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Normative argument; limited empirical testing of counter-terrorism outcomes</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Ogugua &amp; Ikeagwuani (2024)</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Nigeria</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Libraries as counter-terrorism and national-security resources</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Direct conceptual</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Contribution </w:t>
            </w:r>
            <w:r>
              <w:rPr>
                <w:color w:val="000000"/>
                <w:sz w:val="14"/>
              </w:rPr>
              <w:t>is primarily prescriptive rather than impact-measurement based</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UNDP (1994)</w:t>
            </w:r>
          </w:p>
        </w:tc>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Global</w:t>
            </w:r>
          </w:p>
        </w:tc>
        <w:tc>
          <w:tcPr>
            <w:tcW w:w="2664" w:type="dxa"/>
            <w:tcBorders/>
            <w:tcMar>
              <w:top w:w="55" w:type="dxa"/>
              <w:left w:w="55" w:type="dxa"/>
              <w:bottom w:w="55" w:type="dxa"/>
              <w:right w:w="55" w:type="dxa"/>
            </w:tcMar>
            <w:vAlign w:val="center"/>
          </w:tcPr>
          <w:p>
            <w:pPr>
              <w:pStyle w:val="style0"/>
              <w:spacing w:after="0" w:lineRule="auto" w:line="240"/>
              <w:rPr/>
            </w:pPr>
            <w:r>
              <w:rPr>
                <w:color w:val="000000"/>
                <w:sz w:val="14"/>
              </w:rPr>
              <w:t>Human Security Theory</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Theoretical</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Foundational explanatory lens, not library-specific empirical evidence</w:t>
            </w:r>
          </w:p>
        </w:tc>
      </w:tr>
      <w:tr>
        <w:tblPrEx/>
        <w:trPr>
          <w:jc w:val="center"/>
        </w:trPr>
        <w:tc>
          <w:tcPr>
            <w:tcW w:w="1930" w:type="dxa"/>
            <w:tcBorders/>
            <w:tcMar>
              <w:top w:w="55" w:type="dxa"/>
              <w:left w:w="55" w:type="dxa"/>
              <w:bottom w:w="55" w:type="dxa"/>
              <w:right w:w="55" w:type="dxa"/>
            </w:tcMar>
          </w:tcPr>
          <w:p>
            <w:pPr>
              <w:pStyle w:val="style0"/>
              <w:spacing w:after="0" w:lineRule="auto" w:line="240"/>
              <w:rPr/>
            </w:pPr>
            <w:r>
              <w:rPr>
                <w:color w:val="000000"/>
                <w:sz w:val="14"/>
              </w:rPr>
              <w:t>Abdullahi, Garba &amp; Saad (2025)</w:t>
            </w:r>
          </w:p>
        </w:tc>
        <w:tc>
          <w:tcPr>
            <w:tcW w:w="1930" w:type="dxa"/>
            <w:tcBorders/>
            <w:tcMar>
              <w:top w:w="55" w:type="dxa"/>
              <w:left w:w="55" w:type="dxa"/>
              <w:bottom w:w="55" w:type="dxa"/>
              <w:right w:w="55" w:type="dxa"/>
            </w:tcMar>
          </w:tcPr>
          <w:p>
            <w:pPr>
              <w:pStyle w:val="style0"/>
              <w:spacing w:after="0" w:lineRule="auto" w:line="240"/>
              <w:rPr/>
            </w:pPr>
            <w:r>
              <w:rPr>
                <w:color w:val="000000"/>
                <w:sz w:val="14"/>
              </w:rPr>
              <w:t>Conflict-affected North-East Nigeria</w:t>
            </w:r>
          </w:p>
        </w:tc>
        <w:tc>
          <w:tcPr>
            <w:tcW w:w="1930" w:type="dxa"/>
            <w:tcBorders/>
            <w:tcMar>
              <w:top w:w="55" w:type="dxa"/>
              <w:left w:w="55" w:type="dxa"/>
              <w:bottom w:w="55" w:type="dxa"/>
              <w:right w:w="55" w:type="dxa"/>
            </w:tcMar>
          </w:tcPr>
          <w:p>
            <w:pPr>
              <w:pStyle w:val="style0"/>
              <w:spacing w:after="0" w:lineRule="auto" w:line="240"/>
              <w:rPr/>
            </w:pPr>
            <w:r>
              <w:rPr>
                <w:color w:val="000000"/>
                <w:sz w:val="14"/>
              </w:rPr>
              <w:t>Direct survey evidence on destruction of library buildings, collections, equipment and technology</w:t>
            </w:r>
          </w:p>
        </w:tc>
        <w:tc>
          <w:tcPr>
            <w:tcW w:w="1930" w:type="dxa"/>
            <w:tcBorders/>
            <w:tcMar>
              <w:top w:w="55" w:type="dxa"/>
              <w:left w:w="55" w:type="dxa"/>
              <w:bottom w:w="55" w:type="dxa"/>
              <w:right w:w="55" w:type="dxa"/>
            </w:tcMar>
          </w:tcPr>
          <w:p>
            <w:pPr>
              <w:pStyle w:val="style0"/>
              <w:spacing w:after="0" w:lineRule="auto" w:line="240"/>
              <w:rPr/>
            </w:pPr>
            <w:r>
              <w:rPr>
                <w:color w:val="000000"/>
                <w:sz w:val="14"/>
              </w:rPr>
              <w:t>Direct / high relevance</w:t>
            </w:r>
          </w:p>
        </w:tc>
        <w:tc>
          <w:tcPr>
            <w:tcW w:w="1930" w:type="dxa"/>
            <w:tcBorders/>
            <w:tcMar>
              <w:top w:w="55" w:type="dxa"/>
              <w:left w:w="55" w:type="dxa"/>
              <w:bottom w:w="55" w:type="dxa"/>
              <w:right w:w="55" w:type="dxa"/>
            </w:tcMar>
          </w:tcPr>
          <w:p>
            <w:pPr>
              <w:pStyle w:val="style0"/>
              <w:spacing w:after="0" w:lineRule="auto" w:line="240"/>
              <w:rPr/>
            </w:pPr>
            <w:r>
              <w:rPr>
                <w:color w:val="000000"/>
                <w:sz w:val="14"/>
              </w:rPr>
              <w:t>Small population (28 librarians); valuable direct evidence but limited representativeness</w:t>
            </w:r>
          </w:p>
        </w:tc>
      </w:tr>
      <w:tr>
        <w:tblPrEx/>
        <w:trPr>
          <w:jc w:val="center"/>
        </w:trPr>
        <w:tc>
          <w:tcPr>
            <w:tcW w:w="1930" w:type="dxa"/>
            <w:tcBorders/>
            <w:tcMar>
              <w:top w:w="55" w:type="dxa"/>
              <w:left w:w="55" w:type="dxa"/>
              <w:bottom w:w="55" w:type="dxa"/>
              <w:right w:w="55" w:type="dxa"/>
            </w:tcMar>
          </w:tcPr>
          <w:p>
            <w:pPr>
              <w:pStyle w:val="style0"/>
              <w:spacing w:after="0" w:lineRule="auto" w:line="240"/>
              <w:rPr/>
            </w:pPr>
            <w:r>
              <w:rPr>
                <w:color w:val="000000"/>
                <w:sz w:val="14"/>
              </w:rPr>
              <w:t>Makinde &amp; Maimako (2026; online 2025)</w:t>
            </w:r>
          </w:p>
        </w:tc>
        <w:tc>
          <w:tcPr>
            <w:tcW w:w="1930" w:type="dxa"/>
            <w:tcBorders/>
            <w:tcMar>
              <w:top w:w="55" w:type="dxa"/>
              <w:left w:w="55" w:type="dxa"/>
              <w:bottom w:w="55" w:type="dxa"/>
              <w:right w:w="55" w:type="dxa"/>
            </w:tcMar>
          </w:tcPr>
          <w:p>
            <w:pPr>
              <w:pStyle w:val="style0"/>
              <w:spacing w:after="0" w:lineRule="auto" w:line="240"/>
              <w:rPr/>
            </w:pPr>
            <w:r>
              <w:rPr>
                <w:color w:val="000000"/>
                <w:sz w:val="14"/>
              </w:rPr>
              <w:t>Fede</w:t>
            </w:r>
            <w:r>
              <w:rPr>
                <w:color w:val="000000"/>
                <w:sz w:val="14"/>
              </w:rPr>
              <w:t>ral university libraries, North-East Nigeria</w:t>
            </w:r>
          </w:p>
        </w:tc>
        <w:tc>
          <w:tcPr>
            <w:tcW w:w="1930" w:type="dxa"/>
            <w:tcBorders/>
            <w:tcMar>
              <w:top w:w="55" w:type="dxa"/>
              <w:left w:w="55" w:type="dxa"/>
              <w:bottom w:w="55" w:type="dxa"/>
              <w:right w:w="55" w:type="dxa"/>
            </w:tcMar>
          </w:tcPr>
          <w:p>
            <w:pPr>
              <w:pStyle w:val="style0"/>
              <w:spacing w:after="0" w:lineRule="auto" w:line="240"/>
              <w:rPr/>
            </w:pPr>
            <w:r>
              <w:rPr>
                <w:color w:val="000000"/>
                <w:sz w:val="14"/>
              </w:rPr>
              <w:t>Availability, awareness and use of disaster-control measures among 428 library personnel</w:t>
            </w:r>
          </w:p>
        </w:tc>
        <w:tc>
          <w:tcPr>
            <w:tcW w:w="1930" w:type="dxa"/>
            <w:tcBorders/>
            <w:tcMar>
              <w:top w:w="55" w:type="dxa"/>
              <w:left w:w="55" w:type="dxa"/>
              <w:bottom w:w="55" w:type="dxa"/>
              <w:right w:w="55" w:type="dxa"/>
            </w:tcMar>
          </w:tcPr>
          <w:p>
            <w:pPr>
              <w:pStyle w:val="style0"/>
              <w:spacing w:after="0" w:lineRule="auto" w:line="240"/>
              <w:rPr/>
            </w:pPr>
            <w:r>
              <w:rPr>
                <w:color w:val="000000"/>
                <w:sz w:val="14"/>
              </w:rPr>
              <w:t>Direct preparedness / strong method</w:t>
            </w:r>
          </w:p>
        </w:tc>
        <w:tc>
          <w:tcPr>
            <w:tcW w:w="1930" w:type="dxa"/>
            <w:tcBorders/>
            <w:tcMar>
              <w:top w:w="55" w:type="dxa"/>
              <w:left w:w="55" w:type="dxa"/>
              <w:bottom w:w="55" w:type="dxa"/>
              <w:right w:w="55" w:type="dxa"/>
            </w:tcMar>
          </w:tcPr>
          <w:p>
            <w:pPr>
              <w:pStyle w:val="style0"/>
              <w:spacing w:after="0" w:lineRule="auto" w:line="240"/>
              <w:rPr/>
            </w:pPr>
            <w:r>
              <w:rPr>
                <w:color w:val="000000"/>
                <w:sz w:val="14"/>
              </w:rPr>
              <w:t>Disaster scope is broader than armed conflict; does not isolate terrorism-specific cau</w:t>
            </w:r>
            <w:r>
              <w:rPr>
                <w:color w:val="000000"/>
                <w:sz w:val="14"/>
              </w:rPr>
              <w:t>sation</w:t>
            </w:r>
          </w:p>
        </w:tc>
      </w:tr>
      <w:tr>
        <w:tblPrEx/>
        <w:trPr>
          <w:jc w:val="center"/>
        </w:trPr>
        <w:tc>
          <w:tcPr>
            <w:tcW w:w="1930" w:type="dxa"/>
            <w:tcBorders/>
            <w:tcMar>
              <w:top w:w="55" w:type="dxa"/>
              <w:left w:w="55" w:type="dxa"/>
              <w:bottom w:w="55" w:type="dxa"/>
              <w:right w:w="55" w:type="dxa"/>
            </w:tcMar>
          </w:tcPr>
          <w:p>
            <w:pPr>
              <w:pStyle w:val="style0"/>
              <w:spacing w:after="0" w:lineRule="auto" w:line="240"/>
              <w:rPr/>
            </w:pPr>
            <w:r>
              <w:rPr>
                <w:color w:val="000000"/>
                <w:sz w:val="14"/>
              </w:rPr>
              <w:t>Lawal (2016)</w:t>
            </w:r>
          </w:p>
        </w:tc>
        <w:tc>
          <w:tcPr>
            <w:tcW w:w="1930" w:type="dxa"/>
            <w:tcBorders/>
            <w:tcMar>
              <w:top w:w="55" w:type="dxa"/>
              <w:left w:w="55" w:type="dxa"/>
              <w:bottom w:w="55" w:type="dxa"/>
              <w:right w:w="55" w:type="dxa"/>
            </w:tcMar>
          </w:tcPr>
          <w:p>
            <w:pPr>
              <w:pStyle w:val="style0"/>
              <w:spacing w:after="0" w:lineRule="auto" w:line="240"/>
              <w:rPr/>
            </w:pPr>
            <w:r>
              <w:rPr>
                <w:color w:val="000000"/>
                <w:sz w:val="14"/>
              </w:rPr>
              <w:t>Nigeria / IDPs</w:t>
            </w:r>
          </w:p>
        </w:tc>
        <w:tc>
          <w:tcPr>
            <w:tcW w:w="1930" w:type="dxa"/>
            <w:tcBorders/>
            <w:tcMar>
              <w:top w:w="55" w:type="dxa"/>
              <w:left w:w="55" w:type="dxa"/>
              <w:bottom w:w="55" w:type="dxa"/>
              <w:right w:w="55" w:type="dxa"/>
            </w:tcMar>
          </w:tcPr>
          <w:p>
            <w:pPr>
              <w:pStyle w:val="style0"/>
              <w:spacing w:after="0" w:lineRule="auto" w:line="240"/>
              <w:rPr/>
            </w:pPr>
            <w:r>
              <w:rPr>
                <w:color w:val="000000"/>
                <w:sz w:val="14"/>
              </w:rPr>
              <w:t>Survey-based assessment of public-library information provision to internally displaced persons</w:t>
            </w:r>
          </w:p>
        </w:tc>
        <w:tc>
          <w:tcPr>
            <w:tcW w:w="1930" w:type="dxa"/>
            <w:tcBorders/>
            <w:tcMar>
              <w:top w:w="55" w:type="dxa"/>
              <w:left w:w="55" w:type="dxa"/>
              <w:bottom w:w="55" w:type="dxa"/>
              <w:right w:w="55" w:type="dxa"/>
            </w:tcMar>
          </w:tcPr>
          <w:p>
            <w:pPr>
              <w:pStyle w:val="style0"/>
              <w:spacing w:after="0" w:lineRule="auto" w:line="240"/>
              <w:rPr/>
            </w:pPr>
            <w:r>
              <w:rPr>
                <w:color w:val="000000"/>
                <w:sz w:val="14"/>
              </w:rPr>
              <w:t>Direct service-user relevance</w:t>
            </w:r>
          </w:p>
        </w:tc>
        <w:tc>
          <w:tcPr>
            <w:tcW w:w="1930" w:type="dxa"/>
            <w:tcBorders/>
            <w:tcMar>
              <w:top w:w="55" w:type="dxa"/>
              <w:left w:w="55" w:type="dxa"/>
              <w:bottom w:w="55" w:type="dxa"/>
              <w:right w:w="55" w:type="dxa"/>
            </w:tcMar>
          </w:tcPr>
          <w:p>
            <w:pPr>
              <w:pStyle w:val="style0"/>
              <w:spacing w:after="0" w:lineRule="auto" w:line="240"/>
              <w:rPr/>
            </w:pPr>
            <w:r>
              <w:rPr>
                <w:color w:val="000000"/>
                <w:sz w:val="14"/>
              </w:rPr>
              <w:t>Predates some later displacement dynamics and does not isolate all northern zones</w:t>
            </w:r>
          </w:p>
        </w:tc>
      </w:tr>
      <w:tr>
        <w:tblPrEx/>
        <w:trPr>
          <w:jc w:val="center"/>
        </w:trPr>
        <w:tc>
          <w:tcPr>
            <w:tcW w:w="1930" w:type="dxa"/>
            <w:tcBorders/>
            <w:tcMar>
              <w:top w:w="55" w:type="dxa"/>
              <w:left w:w="55" w:type="dxa"/>
              <w:bottom w:w="55" w:type="dxa"/>
              <w:right w:w="55" w:type="dxa"/>
            </w:tcMar>
          </w:tcPr>
          <w:p>
            <w:pPr>
              <w:pStyle w:val="style0"/>
              <w:spacing w:after="0" w:lineRule="auto" w:line="240"/>
              <w:rPr/>
            </w:pPr>
            <w:r>
              <w:rPr>
                <w:color w:val="000000"/>
                <w:sz w:val="14"/>
              </w:rPr>
              <w:t xml:space="preserve">Eneasato &amp; </w:t>
            </w:r>
            <w:r>
              <w:rPr>
                <w:color w:val="000000"/>
                <w:sz w:val="14"/>
              </w:rPr>
              <w:t>Jidere (2024)</w:t>
            </w:r>
          </w:p>
        </w:tc>
        <w:tc>
          <w:tcPr>
            <w:tcW w:w="1930" w:type="dxa"/>
            <w:tcBorders/>
            <w:tcMar>
              <w:top w:w="55" w:type="dxa"/>
              <w:left w:w="55" w:type="dxa"/>
              <w:bottom w:w="55" w:type="dxa"/>
              <w:right w:w="55" w:type="dxa"/>
            </w:tcMar>
          </w:tcPr>
          <w:p>
            <w:pPr>
              <w:pStyle w:val="style0"/>
              <w:spacing w:after="0" w:lineRule="auto" w:line="240"/>
              <w:rPr/>
            </w:pPr>
            <w:r>
              <w:rPr>
                <w:color w:val="000000"/>
                <w:sz w:val="14"/>
              </w:rPr>
              <w:t>Nigeria / IDPs</w:t>
            </w:r>
          </w:p>
        </w:tc>
        <w:tc>
          <w:tcPr>
            <w:tcW w:w="1930" w:type="dxa"/>
            <w:tcBorders/>
            <w:tcMar>
              <w:top w:w="55" w:type="dxa"/>
              <w:left w:w="55" w:type="dxa"/>
              <w:bottom w:w="55" w:type="dxa"/>
              <w:right w:w="55" w:type="dxa"/>
            </w:tcMar>
          </w:tcPr>
          <w:p>
            <w:pPr>
              <w:pStyle w:val="style0"/>
              <w:spacing w:after="0" w:lineRule="auto" w:line="240"/>
              <w:rPr/>
            </w:pPr>
            <w:r>
              <w:rPr>
                <w:color w:val="000000"/>
                <w:sz w:val="14"/>
              </w:rPr>
              <w:t>Needs assessment and outreach-programme evidence involving 230 IDPs</w:t>
            </w:r>
          </w:p>
        </w:tc>
        <w:tc>
          <w:tcPr>
            <w:tcW w:w="1930" w:type="dxa"/>
            <w:tcBorders/>
            <w:tcMar>
              <w:top w:w="55" w:type="dxa"/>
              <w:left w:w="55" w:type="dxa"/>
              <w:bottom w:w="55" w:type="dxa"/>
              <w:right w:w="55" w:type="dxa"/>
            </w:tcMar>
          </w:tcPr>
          <w:p>
            <w:pPr>
              <w:pStyle w:val="style0"/>
              <w:spacing w:after="0" w:lineRule="auto" w:line="240"/>
              <w:rPr/>
            </w:pPr>
            <w:r>
              <w:rPr>
                <w:color w:val="000000"/>
                <w:sz w:val="14"/>
              </w:rPr>
              <w:t>Direct service-delivery relevance</w:t>
            </w:r>
          </w:p>
        </w:tc>
        <w:tc>
          <w:tcPr>
            <w:tcW w:w="1930" w:type="dxa"/>
            <w:tcBorders/>
            <w:tcMar>
              <w:top w:w="55" w:type="dxa"/>
              <w:left w:w="55" w:type="dxa"/>
              <w:bottom w:w="55" w:type="dxa"/>
              <w:right w:w="55" w:type="dxa"/>
            </w:tcMar>
          </w:tcPr>
          <w:p>
            <w:pPr>
              <w:pStyle w:val="style0"/>
              <w:spacing w:after="0" w:lineRule="auto" w:line="240"/>
              <w:rPr/>
            </w:pPr>
            <w:r>
              <w:rPr>
                <w:color w:val="000000"/>
                <w:sz w:val="14"/>
              </w:rPr>
              <w:t>National frame; conflict cause is heterogeneous rather than terrorism-specific</w:t>
            </w:r>
          </w:p>
        </w:tc>
      </w:tr>
      <w:tr>
        <w:tblPrEx/>
        <w:trPr>
          <w:jc w:val="center"/>
        </w:trPr>
        <w:tc>
          <w:tcPr>
            <w:tcW w:w="1930" w:type="dxa"/>
            <w:tcBorders/>
            <w:tcMar>
              <w:top w:w="55" w:type="dxa"/>
              <w:left w:w="55" w:type="dxa"/>
              <w:bottom w:w="55" w:type="dxa"/>
              <w:right w:w="55" w:type="dxa"/>
            </w:tcMar>
          </w:tcPr>
          <w:p>
            <w:pPr>
              <w:pStyle w:val="style0"/>
              <w:spacing w:after="0" w:lineRule="auto" w:line="240"/>
              <w:rPr/>
            </w:pPr>
            <w:r>
              <w:rPr>
                <w:color w:val="000000"/>
                <w:sz w:val="14"/>
              </w:rPr>
              <w:t>Nsirim, Clement-Abraham &amp; Ajie (2024)</w:t>
            </w:r>
          </w:p>
        </w:tc>
        <w:tc>
          <w:tcPr>
            <w:tcW w:w="1930" w:type="dxa"/>
            <w:tcBorders/>
            <w:tcMar>
              <w:top w:w="55" w:type="dxa"/>
              <w:left w:w="55" w:type="dxa"/>
              <w:bottom w:w="55" w:type="dxa"/>
              <w:right w:w="55" w:type="dxa"/>
            </w:tcMar>
          </w:tcPr>
          <w:p>
            <w:pPr>
              <w:pStyle w:val="style0"/>
              <w:spacing w:after="0" w:lineRule="auto" w:line="240"/>
              <w:rPr/>
            </w:pPr>
            <w:r>
              <w:rPr>
                <w:color w:val="000000"/>
                <w:sz w:val="14"/>
              </w:rPr>
              <w:t>Nigeria</w:t>
            </w:r>
          </w:p>
        </w:tc>
        <w:tc>
          <w:tcPr>
            <w:tcW w:w="1930" w:type="dxa"/>
            <w:tcBorders/>
            <w:tcMar>
              <w:top w:w="55" w:type="dxa"/>
              <w:left w:w="55" w:type="dxa"/>
              <w:bottom w:w="55" w:type="dxa"/>
              <w:right w:w="55" w:type="dxa"/>
            </w:tcMar>
          </w:tcPr>
          <w:p>
            <w:pPr>
              <w:pStyle w:val="style0"/>
              <w:spacing w:after="0" w:lineRule="auto" w:line="240"/>
              <w:rPr/>
            </w:pPr>
            <w:r>
              <w:rPr>
                <w:color w:val="000000"/>
                <w:sz w:val="14"/>
              </w:rPr>
              <w:t>Systematic literature review on libraries, national security and insurgency</w:t>
            </w:r>
          </w:p>
        </w:tc>
        <w:tc>
          <w:tcPr>
            <w:tcW w:w="1930" w:type="dxa"/>
            <w:tcBorders/>
            <w:tcMar>
              <w:top w:w="55" w:type="dxa"/>
              <w:left w:w="55" w:type="dxa"/>
              <w:bottom w:w="55" w:type="dxa"/>
              <w:right w:w="55" w:type="dxa"/>
            </w:tcMar>
          </w:tcPr>
          <w:p>
            <w:pPr>
              <w:pStyle w:val="style0"/>
              <w:spacing w:after="0" w:lineRule="auto" w:line="240"/>
              <w:rPr/>
            </w:pPr>
            <w:r>
              <w:rPr>
                <w:color w:val="000000"/>
                <w:sz w:val="14"/>
              </w:rPr>
              <w:t>Direct conceptual / policy</w:t>
            </w:r>
          </w:p>
        </w:tc>
        <w:tc>
          <w:tcPr>
            <w:tcW w:w="1930" w:type="dxa"/>
            <w:tcBorders/>
            <w:tcMar>
              <w:top w:w="55" w:type="dxa"/>
              <w:left w:w="55" w:type="dxa"/>
              <w:bottom w:w="55" w:type="dxa"/>
              <w:right w:w="55" w:type="dxa"/>
            </w:tcMar>
          </w:tcPr>
          <w:p>
            <w:pPr>
              <w:pStyle w:val="style0"/>
              <w:spacing w:after="0" w:lineRule="auto" w:line="240"/>
              <w:rPr/>
            </w:pPr>
            <w:r>
              <w:rPr>
                <w:color w:val="000000"/>
                <w:sz w:val="14"/>
              </w:rPr>
              <w:t>Demonstrates plausible roles but not causal effects of library interventions on insurgency</w:t>
            </w:r>
          </w:p>
        </w:tc>
      </w:tr>
    </w:tbl>
    <w:p>
      <w:pPr>
        <w:pStyle w:val="style0"/>
        <w:spacing w:after="80" w:lineRule="auto" w:line="240"/>
        <w:jc w:val="both"/>
        <w:rPr/>
      </w:pPr>
      <w:r>
        <w:rPr>
          <w:i/>
          <w:sz w:val="19"/>
        </w:rPr>
        <w:t xml:space="preserve">Note: The matrix distinguishes evidentiary function rather </w:t>
      </w:r>
      <w:r>
        <w:rPr>
          <w:i/>
          <w:sz w:val="19"/>
        </w:rPr>
        <w:t>than ranking studies numerically. “Direct” denotes explicit Nigerian library/information evidence; “adjacent” denotes institutionally relevant evidence requiring bounded inference; “comparative” denotes resilience or preparedness evidence from other settin</w:t>
      </w:r>
      <w:r>
        <w:rPr>
          <w:i/>
          <w:sz w:val="19"/>
        </w:rPr>
        <w:t>gs.</w:t>
      </w:r>
    </w:p>
    <w:p>
      <w:pPr>
        <w:pStyle w:val="style0"/>
        <w:spacing w:before="100" w:after="60"/>
        <w:rPr/>
      </w:pPr>
      <w:r>
        <w:rPr>
          <w:b/>
        </w:rPr>
        <w:t>3.2 Review-specific confidence assessment</w:t>
      </w:r>
    </w:p>
    <w:p>
      <w:pPr>
        <w:pStyle w:val="style0"/>
        <w:jc w:val="both"/>
        <w:rPr/>
      </w:pPr>
      <w:r>
        <w:t>Because the corpus is methodologically heterogeneous, the review does not impose a pseudo-quantitative quality score across incomparable designs. Instead, confidence is assigned at the level of the claim for wh</w:t>
      </w:r>
      <w:r>
        <w:t>ich each source is used. “Higher confidence” denotes direct Nigerian LIS evidence with transparent empirical methods and clear correspondence between data and claim; “moderate confidence” denotes direct or closely adjacent evidence with design, scope or ge</w:t>
      </w:r>
      <w:r>
        <w:t>neralisability limitations; and “contextual confidence” denotes policy, conceptual or comparative evidence that is useful for interpretation but insufficient for causal or prevalence claims. This approach is consistent with the critical-appraisal principle</w:t>
      </w:r>
      <w:r>
        <w:t xml:space="preserve"> that methodological adequacy must be judged relative to the type of evidence and the question it is being asked to answer.</w:t>
      </w:r>
    </w:p>
    <w:p>
      <w:pPr>
        <w:pStyle w:val="style0"/>
        <w:spacing w:before="60" w:after="40" w:lineRule="auto" w:line="240"/>
        <w:jc w:val="center"/>
        <w:rPr/>
      </w:pPr>
      <w:r>
        <w:rPr>
          <w:i/>
          <w:sz w:val="20"/>
        </w:rPr>
        <w:t>Table 2. Review-specific confidence classification of selected high-value evidence.</w:t>
      </w:r>
    </w:p>
    <w:tbl>
      <w:tblPr>
        <w:tblStyle w:val="style154"/>
        <w:tblW w:w="0" w:type="auto"/>
        <w:jc w:val="center"/>
        <w:tblLook w:val="04A0" w:firstRow="1" w:lastRow="0" w:firstColumn="1" w:lastColumn="0" w:noHBand="0" w:noVBand="1"/>
      </w:tblPr>
      <w:tblGrid>
        <w:gridCol w:w="1378"/>
        <w:gridCol w:w="2112"/>
        <w:gridCol w:w="2407"/>
        <w:gridCol w:w="1578"/>
        <w:gridCol w:w="2392"/>
      </w:tblGrid>
      <w:tr>
        <w:trPr>
          <w:tblHeader/>
          <w:jc w:val="center"/>
        </w:trPr>
        <w:tc>
          <w:tcPr>
            <w:tcW w:w="1800" w:type="dxa"/>
            <w:tcBorders/>
            <w:tcMar>
              <w:top w:w="55" w:type="dxa"/>
              <w:left w:w="55" w:type="dxa"/>
              <w:bottom w:w="55" w:type="dxa"/>
              <w:right w:w="55" w:type="dxa"/>
            </w:tcMar>
            <w:vAlign w:val="center"/>
          </w:tcPr>
          <w:p>
            <w:pPr>
              <w:pStyle w:val="style0"/>
              <w:spacing w:after="0" w:lineRule="auto" w:line="240"/>
              <w:rPr/>
            </w:pPr>
            <w:r>
              <w:rPr>
                <w:b/>
                <w:color w:val="000000"/>
                <w:sz w:val="14"/>
              </w:rPr>
              <w:t>Source</w:t>
            </w:r>
          </w:p>
        </w:tc>
        <w:tc>
          <w:tcPr>
            <w:tcW w:w="2448" w:type="dxa"/>
            <w:tcBorders/>
            <w:tcMar>
              <w:top w:w="55" w:type="dxa"/>
              <w:left w:w="55" w:type="dxa"/>
              <w:bottom w:w="55" w:type="dxa"/>
              <w:right w:w="55" w:type="dxa"/>
            </w:tcMar>
            <w:vAlign w:val="center"/>
          </w:tcPr>
          <w:p>
            <w:pPr>
              <w:pStyle w:val="style0"/>
              <w:spacing w:after="0" w:lineRule="auto" w:line="240"/>
              <w:rPr/>
            </w:pPr>
            <w:r>
              <w:rPr>
                <w:b/>
                <w:color w:val="000000"/>
                <w:sz w:val="14"/>
              </w:rPr>
              <w:t>Evidence type / sample</w:t>
            </w:r>
          </w:p>
        </w:tc>
        <w:tc>
          <w:tcPr>
            <w:tcW w:w="3024" w:type="dxa"/>
            <w:tcBorders/>
            <w:tcMar>
              <w:top w:w="55" w:type="dxa"/>
              <w:left w:w="55" w:type="dxa"/>
              <w:bottom w:w="55" w:type="dxa"/>
              <w:right w:w="55" w:type="dxa"/>
            </w:tcMar>
            <w:vAlign w:val="center"/>
          </w:tcPr>
          <w:p>
            <w:pPr>
              <w:pStyle w:val="style0"/>
              <w:spacing w:after="0" w:lineRule="auto" w:line="240"/>
              <w:rPr/>
            </w:pPr>
            <w:r>
              <w:rPr>
                <w:b/>
                <w:color w:val="000000"/>
                <w:sz w:val="14"/>
              </w:rPr>
              <w:t>Claim supported in</w:t>
            </w:r>
            <w:r>
              <w:rPr>
                <w:b/>
                <w:color w:val="000000"/>
                <w:sz w:val="14"/>
              </w:rPr>
              <w:t xml:space="preserve"> this review</w:t>
            </w:r>
          </w:p>
        </w:tc>
        <w:tc>
          <w:tcPr>
            <w:tcW w:w="1656" w:type="dxa"/>
            <w:tcBorders/>
            <w:tcMar>
              <w:top w:w="55" w:type="dxa"/>
              <w:left w:w="55" w:type="dxa"/>
              <w:bottom w:w="55" w:type="dxa"/>
              <w:right w:w="55" w:type="dxa"/>
            </w:tcMar>
            <w:vAlign w:val="center"/>
          </w:tcPr>
          <w:p>
            <w:pPr>
              <w:pStyle w:val="style0"/>
              <w:spacing w:after="0" w:lineRule="auto" w:line="240"/>
              <w:rPr/>
            </w:pPr>
            <w:r>
              <w:rPr>
                <w:b/>
                <w:color w:val="000000"/>
                <w:sz w:val="14"/>
              </w:rPr>
              <w:t>Confidence for that claim</w:t>
            </w:r>
          </w:p>
        </w:tc>
        <w:tc>
          <w:tcPr>
            <w:tcW w:w="3096" w:type="dxa"/>
            <w:tcBorders/>
            <w:tcMar>
              <w:top w:w="55" w:type="dxa"/>
              <w:left w:w="55" w:type="dxa"/>
              <w:bottom w:w="55" w:type="dxa"/>
              <w:right w:w="55" w:type="dxa"/>
            </w:tcMar>
            <w:vAlign w:val="center"/>
          </w:tcPr>
          <w:p>
            <w:pPr>
              <w:pStyle w:val="style0"/>
              <w:spacing w:after="0" w:lineRule="auto" w:line="240"/>
              <w:rPr/>
            </w:pPr>
            <w:r>
              <w:rPr>
                <w:b/>
                <w:color w:val="000000"/>
                <w:sz w:val="14"/>
              </w:rPr>
              <w:t>Reason for judgement</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Abdullahi, Garba &amp; Saad (2025)</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Descriptive survey; 28 librarians in conflict-affected North-East libraries</w:t>
            </w:r>
          </w:p>
        </w:tc>
        <w:tc>
          <w:tcPr>
            <w:tcW w:w="3024" w:type="dxa"/>
            <w:tcBorders/>
            <w:tcMar>
              <w:top w:w="55" w:type="dxa"/>
              <w:left w:w="55" w:type="dxa"/>
              <w:bottom w:w="55" w:type="dxa"/>
              <w:right w:w="55" w:type="dxa"/>
            </w:tcMar>
            <w:vAlign w:val="center"/>
          </w:tcPr>
          <w:p>
            <w:pPr>
              <w:pStyle w:val="style0"/>
              <w:spacing w:after="0" w:lineRule="auto" w:line="240"/>
              <w:rPr/>
            </w:pPr>
            <w:r>
              <w:rPr>
                <w:color w:val="000000"/>
                <w:sz w:val="14"/>
              </w:rPr>
              <w:t>Conflict has damaged library infrastructure, collections, equipment and technology</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Highe</w:t>
            </w:r>
            <w:r>
              <w:rPr>
                <w:color w:val="000000"/>
                <w:sz w:val="14"/>
              </w:rPr>
              <w:t>r</w:t>
            </w:r>
          </w:p>
        </w:tc>
        <w:tc>
          <w:tcPr>
            <w:tcW w:w="3096" w:type="dxa"/>
            <w:tcBorders/>
            <w:tcMar>
              <w:top w:w="55" w:type="dxa"/>
              <w:left w:w="55" w:type="dxa"/>
              <w:bottom w:w="55" w:type="dxa"/>
              <w:right w:w="55" w:type="dxa"/>
            </w:tcMar>
            <w:vAlign w:val="center"/>
          </w:tcPr>
          <w:p>
            <w:pPr>
              <w:pStyle w:val="style0"/>
              <w:spacing w:after="0" w:lineRule="auto" w:line="240"/>
              <w:rPr/>
            </w:pPr>
            <w:r>
              <w:rPr>
                <w:color w:val="000000"/>
                <w:sz w:val="14"/>
              </w:rPr>
              <w:t>Direct conflict-affected LIS population and explicit damage outcomes; limited sample size constrains generalisation</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Makinde &amp; Maimako (2026)</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Quantitative survey; 428 personnel in federal university libraries in North-East Nigeria</w:t>
            </w:r>
          </w:p>
        </w:tc>
        <w:tc>
          <w:tcPr>
            <w:tcW w:w="3024"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Disaster-control </w:t>
            </w:r>
            <w:r>
              <w:rPr>
                <w:color w:val="000000"/>
                <w:sz w:val="14"/>
              </w:rPr>
              <w:t>availability/accessibility and preparedness remain uneven</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Higher</w:t>
            </w:r>
          </w:p>
        </w:tc>
        <w:tc>
          <w:tcPr>
            <w:tcW w:w="3096" w:type="dxa"/>
            <w:tcBorders/>
            <w:tcMar>
              <w:top w:w="55" w:type="dxa"/>
              <w:left w:w="55" w:type="dxa"/>
              <w:bottom w:w="55" w:type="dxa"/>
              <w:right w:w="55" w:type="dxa"/>
            </w:tcMar>
            <w:vAlign w:val="center"/>
          </w:tcPr>
          <w:p>
            <w:pPr>
              <w:pStyle w:val="style0"/>
              <w:spacing w:after="0" w:lineRule="auto" w:line="240"/>
              <w:rPr/>
            </w:pPr>
            <w:r>
              <w:rPr>
                <w:color w:val="000000"/>
                <w:sz w:val="14"/>
              </w:rPr>
              <w:t>Large direct LIS sample and inferential analysis; broader disaster frame means terrorism-specific inference must remain bounded</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Esse et al. (2022)</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Public-library disaster-readiness study in </w:t>
            </w:r>
            <w:r>
              <w:rPr>
                <w:color w:val="000000"/>
                <w:sz w:val="14"/>
              </w:rPr>
              <w:t>North-West Nigeria</w:t>
            </w:r>
          </w:p>
        </w:tc>
        <w:tc>
          <w:tcPr>
            <w:tcW w:w="3024" w:type="dxa"/>
            <w:tcBorders/>
            <w:tcMar>
              <w:top w:w="55" w:type="dxa"/>
              <w:left w:w="55" w:type="dxa"/>
              <w:bottom w:w="55" w:type="dxa"/>
              <w:right w:w="55" w:type="dxa"/>
            </w:tcMar>
            <w:vAlign w:val="center"/>
          </w:tcPr>
          <w:p>
            <w:pPr>
              <w:pStyle w:val="style0"/>
              <w:spacing w:after="0" w:lineRule="auto" w:line="240"/>
              <w:rPr/>
            </w:pPr>
            <w:r>
              <w:rPr>
                <w:color w:val="000000"/>
                <w:sz w:val="14"/>
              </w:rPr>
              <w:t>Libraries in an insecure northern setting exhibit preparedness deficits</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Higher–moderate</w:t>
            </w:r>
          </w:p>
        </w:tc>
        <w:tc>
          <w:tcPr>
            <w:tcW w:w="3096" w:type="dxa"/>
            <w:tcBorders/>
            <w:tcMar>
              <w:top w:w="55" w:type="dxa"/>
              <w:left w:w="55" w:type="dxa"/>
              <w:bottom w:w="55" w:type="dxa"/>
              <w:right w:w="55" w:type="dxa"/>
            </w:tcMar>
            <w:vAlign w:val="center"/>
          </w:tcPr>
          <w:p>
            <w:pPr>
              <w:pStyle w:val="style0"/>
              <w:spacing w:after="0" w:lineRule="auto" w:line="240"/>
              <w:rPr/>
            </w:pPr>
            <w:r>
              <w:rPr>
                <w:color w:val="000000"/>
                <w:sz w:val="14"/>
              </w:rPr>
              <w:t>Direct library evidence and regional relevance; does not cover all northern zones or isolate every conflict type</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Lawal (2016)</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Survey of public-libra</w:t>
            </w:r>
            <w:r>
              <w:rPr>
                <w:color w:val="000000"/>
                <w:sz w:val="14"/>
              </w:rPr>
              <w:t>ry/IDP service context</w:t>
            </w:r>
          </w:p>
        </w:tc>
        <w:tc>
          <w:tcPr>
            <w:tcW w:w="3024" w:type="dxa"/>
            <w:tcBorders/>
            <w:tcMar>
              <w:top w:w="55" w:type="dxa"/>
              <w:left w:w="55" w:type="dxa"/>
              <w:bottom w:w="55" w:type="dxa"/>
              <w:right w:w="55" w:type="dxa"/>
            </w:tcMar>
            <w:vAlign w:val="center"/>
          </w:tcPr>
          <w:p>
            <w:pPr>
              <w:pStyle w:val="style0"/>
              <w:spacing w:after="0" w:lineRule="auto" w:line="240"/>
              <w:rPr/>
            </w:pPr>
            <w:r>
              <w:rPr>
                <w:color w:val="000000"/>
                <w:sz w:val="14"/>
              </w:rPr>
              <w:t>IDPs require proactive information-service policy and partnerships</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Moderate</w:t>
            </w:r>
          </w:p>
        </w:tc>
        <w:tc>
          <w:tcPr>
            <w:tcW w:w="3096" w:type="dxa"/>
            <w:tcBorders/>
            <w:tcMar>
              <w:top w:w="55" w:type="dxa"/>
              <w:left w:w="55" w:type="dxa"/>
              <w:bottom w:w="55" w:type="dxa"/>
              <w:right w:w="55" w:type="dxa"/>
            </w:tcMar>
            <w:vAlign w:val="center"/>
          </w:tcPr>
          <w:p>
            <w:pPr>
              <w:pStyle w:val="style0"/>
              <w:spacing w:after="0" w:lineRule="auto" w:line="240"/>
              <w:rPr/>
            </w:pPr>
            <w:r>
              <w:rPr>
                <w:color w:val="000000"/>
                <w:sz w:val="14"/>
              </w:rPr>
              <w:t>Direct service concern and empirical design; older and not a longitudinal measure of service disruption</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Eneasato &amp; Jidere (2024)</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Mixed documentary/descripti</w:t>
            </w:r>
            <w:r>
              <w:rPr>
                <w:color w:val="000000"/>
                <w:sz w:val="14"/>
              </w:rPr>
              <w:t>ve design; 230 IDPs</w:t>
            </w:r>
          </w:p>
        </w:tc>
        <w:tc>
          <w:tcPr>
            <w:tcW w:w="3024" w:type="dxa"/>
            <w:tcBorders/>
            <w:tcMar>
              <w:top w:w="55" w:type="dxa"/>
              <w:left w:w="55" w:type="dxa"/>
              <w:bottom w:w="55" w:type="dxa"/>
              <w:right w:w="55" w:type="dxa"/>
            </w:tcMar>
            <w:vAlign w:val="center"/>
          </w:tcPr>
          <w:p>
            <w:pPr>
              <w:pStyle w:val="style0"/>
              <w:spacing w:after="0" w:lineRule="auto" w:line="240"/>
              <w:rPr/>
            </w:pPr>
            <w:r>
              <w:rPr>
                <w:color w:val="000000"/>
                <w:sz w:val="14"/>
              </w:rPr>
              <w:t>Education and other needs justify structured library outreach to IDPs</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Moderate</w:t>
            </w:r>
          </w:p>
        </w:tc>
        <w:tc>
          <w:tcPr>
            <w:tcW w:w="3096" w:type="dxa"/>
            <w:tcBorders/>
            <w:tcMar>
              <w:top w:w="55" w:type="dxa"/>
              <w:left w:w="55" w:type="dxa"/>
              <w:bottom w:w="55" w:type="dxa"/>
              <w:right w:w="55" w:type="dxa"/>
            </w:tcMar>
            <w:vAlign w:val="center"/>
          </w:tcPr>
          <w:p>
            <w:pPr>
              <w:pStyle w:val="style0"/>
              <w:spacing w:after="0" w:lineRule="auto" w:line="240"/>
              <w:rPr/>
            </w:pPr>
            <w:r>
              <w:rPr>
                <w:color w:val="000000"/>
                <w:sz w:val="14"/>
              </w:rPr>
              <w:t>Recent service-user evidence; national and multi-causal displacement context</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Bilyaminu, Iya &amp; Purokayo (2017)</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372 questionnaires in conflict-affected </w:t>
            </w:r>
            <w:r>
              <w:rPr>
                <w:color w:val="000000"/>
                <w:sz w:val="14"/>
              </w:rPr>
              <w:t>Adamawa education context</w:t>
            </w:r>
          </w:p>
        </w:tc>
        <w:tc>
          <w:tcPr>
            <w:tcW w:w="3024" w:type="dxa"/>
            <w:tcBorders/>
            <w:tcMar>
              <w:top w:w="55" w:type="dxa"/>
              <w:left w:w="55" w:type="dxa"/>
              <w:bottom w:w="55" w:type="dxa"/>
              <w:right w:w="55" w:type="dxa"/>
            </w:tcMar>
            <w:vAlign w:val="center"/>
          </w:tcPr>
          <w:p>
            <w:pPr>
              <w:pStyle w:val="style0"/>
              <w:spacing w:after="0" w:lineRule="auto" w:line="240"/>
              <w:rPr/>
            </w:pPr>
            <w:r>
              <w:rPr>
                <w:color w:val="000000"/>
                <w:sz w:val="14"/>
              </w:rPr>
              <w:t>Insurgency disrupts educational infrastructure and human-capital formation</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Moderate / adjacent</w:t>
            </w:r>
          </w:p>
        </w:tc>
        <w:tc>
          <w:tcPr>
            <w:tcW w:w="3096" w:type="dxa"/>
            <w:tcBorders/>
            <w:tcMar>
              <w:top w:w="55" w:type="dxa"/>
              <w:left w:w="55" w:type="dxa"/>
              <w:bottom w:w="55" w:type="dxa"/>
              <w:right w:w="55" w:type="dxa"/>
            </w:tcMar>
            <w:vAlign w:val="center"/>
          </w:tcPr>
          <w:p>
            <w:pPr>
              <w:pStyle w:val="style0"/>
              <w:spacing w:after="0" w:lineRule="auto" w:line="240"/>
              <w:rPr/>
            </w:pPr>
            <w:r>
              <w:rPr>
                <w:color w:val="000000"/>
                <w:sz w:val="14"/>
              </w:rPr>
              <w:t>Empirical and geographically relevant, but education rather than libraries is the unit of analysis</w:t>
            </w:r>
          </w:p>
        </w:tc>
      </w:tr>
      <w:tr>
        <w:tblPrEx/>
        <w:trPr>
          <w:jc w:val="center"/>
        </w:trPr>
        <w:tc>
          <w:tcPr>
            <w:tcW w:w="1800"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Nsirim et al. (2024); Ogugua &amp; </w:t>
            </w:r>
            <w:r>
              <w:rPr>
                <w:color w:val="000000"/>
                <w:sz w:val="14"/>
              </w:rPr>
              <w:t>Ikeagwuani (2024)</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Review/conceptual literature</w:t>
            </w:r>
          </w:p>
        </w:tc>
        <w:tc>
          <w:tcPr>
            <w:tcW w:w="3024" w:type="dxa"/>
            <w:tcBorders/>
            <w:tcMar>
              <w:top w:w="55" w:type="dxa"/>
              <w:left w:w="55" w:type="dxa"/>
              <w:bottom w:w="55" w:type="dxa"/>
              <w:right w:w="55" w:type="dxa"/>
            </w:tcMar>
            <w:vAlign w:val="center"/>
          </w:tcPr>
          <w:p>
            <w:pPr>
              <w:pStyle w:val="style0"/>
              <w:spacing w:after="0" w:lineRule="auto" w:line="240"/>
              <w:rPr/>
            </w:pPr>
            <w:r>
              <w:rPr>
                <w:color w:val="000000"/>
                <w:sz w:val="14"/>
              </w:rPr>
              <w:t>Libraries can plausibly support information literacy, civic awareness and resilience</w:t>
            </w:r>
          </w:p>
        </w:tc>
        <w:tc>
          <w:tcPr>
            <w:tcW w:w="1656" w:type="dxa"/>
            <w:tcBorders/>
            <w:tcMar>
              <w:top w:w="55" w:type="dxa"/>
              <w:left w:w="55" w:type="dxa"/>
              <w:bottom w:w="55" w:type="dxa"/>
              <w:right w:w="55" w:type="dxa"/>
            </w:tcMar>
            <w:vAlign w:val="center"/>
          </w:tcPr>
          <w:p>
            <w:pPr>
              <w:pStyle w:val="style0"/>
              <w:spacing w:after="0" w:lineRule="auto" w:line="240"/>
              <w:rPr/>
            </w:pPr>
            <w:r>
              <w:rPr>
                <w:color w:val="000000"/>
                <w:sz w:val="14"/>
              </w:rPr>
              <w:t>Contextual–moderate</w:t>
            </w:r>
          </w:p>
        </w:tc>
        <w:tc>
          <w:tcPr>
            <w:tcW w:w="3096" w:type="dxa"/>
            <w:tcBorders/>
            <w:tcMar>
              <w:top w:w="55" w:type="dxa"/>
              <w:left w:w="55" w:type="dxa"/>
              <w:bottom w:w="55" w:type="dxa"/>
              <w:right w:w="55" w:type="dxa"/>
            </w:tcMar>
            <w:vAlign w:val="center"/>
          </w:tcPr>
          <w:p>
            <w:pPr>
              <w:pStyle w:val="style0"/>
              <w:spacing w:after="0" w:lineRule="auto" w:line="240"/>
              <w:rPr/>
            </w:pPr>
            <w:r>
              <w:rPr>
                <w:color w:val="000000"/>
                <w:sz w:val="14"/>
              </w:rPr>
              <w:t>Strong normative/plausibility basis; direct causal evidence of counter-insurgency outcomes is not establ</w:t>
            </w:r>
            <w:r>
              <w:rPr>
                <w:color w:val="000000"/>
                <w:sz w:val="14"/>
              </w:rPr>
              <w:t>ished</w:t>
            </w:r>
          </w:p>
        </w:tc>
      </w:tr>
    </w:tbl>
    <w:p>
      <w:pPr>
        <w:pStyle w:val="style0"/>
        <w:spacing w:after="80" w:lineRule="auto" w:line="240"/>
        <w:jc w:val="both"/>
        <w:rPr/>
      </w:pPr>
      <w:r>
        <w:rPr>
          <w:i/>
          <w:sz w:val="19"/>
        </w:rPr>
        <w:t>Note: Confidence is claim-specific and review-specific; it is not a formal JBI score or GRADE rating. The purpose is to make the evidentiary strength and limitations of major conclusions visible to readers.</w:t>
      </w:r>
    </w:p>
    <w:p>
      <w:pPr>
        <w:pStyle w:val="style0"/>
        <w:rPr/>
      </w:pPr>
      <w:r>
        <w:rPr>
          <w:b/>
        </w:rPr>
        <w:t>3.3 Data provenance and research-integrity</w:t>
      </w:r>
      <w:r>
        <w:rPr>
          <w:b/>
        </w:rPr>
        <w:t xml:space="preserve"> safeguards</w:t>
      </w:r>
    </w:p>
    <w:p>
      <w:pPr>
        <w:pStyle w:val="style0"/>
        <w:rPr/>
      </w:pPr>
      <w:r>
        <w:t>This article uses no researcher-generated primary dataset. No fictitious respondents, synthetic observations, simulated outcomes, invented percentages, imputed field results or fabricated statistical tests are presented as evidence. All numeric</w:t>
      </w:r>
      <w:r>
        <w:t>al contextual claims are traceable to cited published studies or official institutional datasets. Figure 2 is a bibliographic visualisation produced from counts of distinct sources explicitly mobilised within each thematic domain; because one source may su</w:t>
      </w:r>
      <w:r>
        <w:t>pport more than one domain, the bars must not be interpreted as prevalence, incidence, effect size or study quality.</w:t>
      </w:r>
    </w:p>
    <w:p>
      <w:pPr>
        <w:pStyle w:val="style0"/>
        <w:rPr/>
      </w:pPr>
      <w:r>
        <w:t>Figure 1, the Terrorism–Information Deprivation Nexus, the five theoretical propositions, the review-specific confidence judgements and the</w:t>
      </w:r>
      <w:r>
        <w:t xml:space="preserve"> monitoring indicators in the policy framework are author-developed analytical syntheses derived from the reviewed literature. They are conceptual </w:t>
      </w:r>
      <w:r>
        <w:t>contributions, interpretive devices and prospective research tools rather than empirical findings. Source-dep</w:t>
      </w:r>
      <w:r>
        <w:t>endent claims are paraphrased and critically synthesised with attribution; the originality of the article therefore resides in its conceptual integration, evidentiary calibration and explanatory architecture, not in claiming ownership of the primary findin</w:t>
      </w:r>
      <w:r>
        <w:t>gs reported by other authors.</w:t>
      </w:r>
    </w:p>
    <w:p>
      <w:pPr>
        <w:pStyle w:val="style0"/>
        <w:keepNext/>
        <w:spacing w:before="140" w:after="80"/>
        <w:rPr/>
      </w:pPr>
      <w:r>
        <w:rPr>
          <w:b/>
          <w:sz w:val="26"/>
        </w:rPr>
        <w:t>4. Results of the Thematic Synthesis</w:t>
      </w:r>
    </w:p>
    <w:p>
      <w:pPr>
        <w:pStyle w:val="style0"/>
        <w:keepNext/>
        <w:spacing w:before="100" w:after="60"/>
        <w:rPr/>
      </w:pPr>
      <w:r>
        <w:rPr>
          <w:b/>
        </w:rPr>
        <w:t>4.1 Conflict context and the developmental exposure of information institutions</w:t>
      </w:r>
    </w:p>
    <w:p>
      <w:pPr>
        <w:pStyle w:val="style0"/>
        <w:ind w:firstLine="432"/>
        <w:jc w:val="both"/>
        <w:rPr/>
      </w:pPr>
      <w:r>
        <w:t xml:space="preserve">The reviewed literature depicts Northern Nigeria as a differentiated conflict environment rather than a </w:t>
      </w:r>
      <w:r>
        <w:t xml:space="preserve">single homogeneous theatre of terrorism. IOM Displacement Tracking Matrix data underscore this distinction. In October 2025, the North-East assessment identified 2,333,190 internally displaced persons across Adamawa, Bauchi, Borno, Gombe, Taraba and Yobe, </w:t>
      </w:r>
      <w:r>
        <w:t>while the North-Central/North-West assessment identified 1,378,124 IDPs across ten states (IOM, 2025a, 2025b). The latter assessment attributed most displacement to armed banditry/kidnapping and farmer-herder clashes rather than insurgency alone. These fig</w:t>
      </w:r>
      <w:r>
        <w:t xml:space="preserve">ures establish the contemporary scale and spatial differentiation of conflict exposure; they do not, by themselves, constitute evidence of library damage. Their analytical function is to contextualise the institutional environments within which libraries, </w:t>
      </w:r>
      <w:r>
        <w:t>schools and other public-service organisations attempt to maintain continuity.</w:t>
      </w:r>
    </w:p>
    <w:p>
      <w:pPr>
        <w:pStyle w:val="style0"/>
        <w:ind w:firstLine="432"/>
        <w:jc w:val="both"/>
        <w:rPr/>
      </w:pPr>
      <w:r>
        <w:t>This background is analytically important because the development of libraries depends upon functioning host institutions, safe mobility, predictable funding and the continued p</w:t>
      </w:r>
      <w:r>
        <w:t>resence of skilled personnel. Violent insecurity therefore imposes both direct and indirect developmental costs. Direct costs arise from attack, destruction or looting. Indirect costs arise when institutions close, budgets are redirected, staff relocate, u</w:t>
      </w:r>
      <w:r>
        <w:t>sers cannot travel safely or technological alternatives remain insufficient. The cumulative effect is an information system that becomes simultaneously more necessary and less capable.</w:t>
      </w:r>
    </w:p>
    <w:p>
      <w:pPr>
        <w:pStyle w:val="style0"/>
        <w:keepNext/>
        <w:spacing w:before="100" w:after="60"/>
        <w:rPr/>
      </w:pPr>
      <w:r>
        <w:rPr>
          <w:b/>
        </w:rPr>
        <w:t>4.2 Damage to library infrastructure and collections</w:t>
      </w:r>
    </w:p>
    <w:p>
      <w:pPr>
        <w:pStyle w:val="style0"/>
        <w:ind w:firstLine="432"/>
        <w:jc w:val="both"/>
        <w:rPr/>
      </w:pPr>
      <w:r>
        <w:t>The strongest dire</w:t>
      </w:r>
      <w:r>
        <w:t>ct evidence now concerns physical infrastructure, collections and preparedness. Abdullahi, Garba and Saad (2025) provide unusually direct evidence from 28 librarians working in conflict-affected library buildings in North-East Nigeria, reporting severe dam</w:t>
      </w:r>
      <w:r>
        <w:t>age to library infrastructure, substantial loss of collections and damage to equipment and technology. This evidence materially strengthens a literature that had previously depended heavily on broader educational-infrastructure studies and preparedness res</w:t>
      </w:r>
      <w:r>
        <w:t xml:space="preserve">earch. Esse et al. (2022), working in North-West Nigeria, likewise document the exposure of public libraries to disaster and insecurity and emphasise weak readiness for destructive events. Taken together, these studies support the conclusion that conflict </w:t>
      </w:r>
      <w:r>
        <w:t>exposure is not merely an inferred threat to knowledge institutions; in at least some northern settings, physical and documentary losses have been directly observed by library personnel.</w:t>
      </w:r>
    </w:p>
    <w:p>
      <w:pPr>
        <w:pStyle w:val="style0"/>
        <w:ind w:firstLine="432"/>
        <w:jc w:val="both"/>
        <w:rPr/>
      </w:pPr>
      <w:r>
        <w:t>The national literature on terrorism preparedness in libraries reache</w:t>
      </w:r>
      <w:r>
        <w:t>s a compatible conclusion. Echezona, Asogwa and Chigbu (2016) report that university libraries remain inadequately prepared to prevent, withstand or recover from terrorist attacks. Nwokedi, Panle and Samuel (2017), in the University of Jos context, similar</w:t>
      </w:r>
      <w:r>
        <w:t xml:space="preserve">ly identify weak disaster-management planning and reliance on </w:t>
      </w:r>
      <w:r>
        <w:t>reactive responses, while Iroeze (2021) documents a broader deficit in formal disaster preparedness across Nigerian academic libraries.</w:t>
      </w:r>
    </w:p>
    <w:p>
      <w:pPr>
        <w:pStyle w:val="style0"/>
        <w:ind w:firstLine="432"/>
        <w:jc w:val="both"/>
        <w:rPr/>
      </w:pPr>
      <w:r>
        <w:t>These findings reveal that physical vulnerability is not s</w:t>
      </w:r>
      <w:r>
        <w:t>imply a function of the severity of terrorism. It is mediated by institutional resilience. A library with digital backups, documented emergency procedures, protected collections, trained personnel and alternative service channels may still suffer disruptio</w:t>
      </w:r>
      <w:r>
        <w:t>n, but it possesses a stronger capacity for recovery. Conversely, where preparedness is absent, even localised damage can trigger extended informational exclusion.</w:t>
      </w:r>
    </w:p>
    <w:p>
      <w:pPr>
        <w:pStyle w:val="style0"/>
        <w:keepNext/>
        <w:spacing w:before="100" w:after="60"/>
        <w:rPr/>
      </w:pPr>
      <w:r>
        <w:rPr>
          <w:b/>
        </w:rPr>
        <w:t>4.3 Disruption of information service delivery</w:t>
      </w:r>
    </w:p>
    <w:p>
      <w:pPr>
        <w:pStyle w:val="style0"/>
        <w:ind w:firstLine="432"/>
        <w:jc w:val="both"/>
        <w:rPr/>
      </w:pPr>
      <w:r>
        <w:t>The literature also indicates that insecurity</w:t>
      </w:r>
      <w:r>
        <w:t xml:space="preserve"> disrupts the continuity and reach of information services, especially among displaced and conflict-affected populations, although direct measurement of closure duration and service-loss magnitude remains limited. Lawal (2016) found a need for a dedicated </w:t>
      </w:r>
      <w:r>
        <w:t>policy framework and stronger partnerships through which public libraries could respond to the information needs of IDPs. Ifijeh et al. (2018) subsequently proposed public-library education and information services specifically for IDPs in North-East Niger</w:t>
      </w:r>
      <w:r>
        <w:t>ia, arguing that the absence of sustained provision represented an important institutional deficit. Eneasato and Jidere (2024) add more recent evidence from 230 IDPs, identifying education among major needs and advocating a structured Total Outreach Progra</w:t>
      </w:r>
      <w:r>
        <w:t>m involving librarians, government agencies, NGOs and civil society. The cumulative implication is that conflict-induced displacement changes not only where information must be delivered, but also the architecture of service itself: static building-centred</w:t>
      </w:r>
      <w:r>
        <w:t xml:space="preserve"> provision becomes increasingly inadequate where users are mobile, dispersed or located in insecure settlements.</w:t>
      </w:r>
    </w:p>
    <w:p>
      <w:pPr>
        <w:pStyle w:val="style0"/>
        <w:ind w:firstLine="432"/>
        <w:jc w:val="both"/>
        <w:rPr/>
      </w:pPr>
      <w:r>
        <w:t>The potential of digital substitution is constrained by uneven ICT capacity. Abubakar (2022) demonstrates that insecurity in the North-West and</w:t>
      </w:r>
      <w:r>
        <w:t xml:space="preserve"> North-Central zones has disrupted teaching and learning while weak ICT adoption limits the ability of libraries and educational institutions to sustain services through remote channels. In this context, a physical closure does not automatically translate </w:t>
      </w:r>
      <w:r>
        <w:t>into a virtual service transition. Where connectivity, devices, power supply or digital collections are inadequate, closure may mean near-total service discontinuity.</w:t>
      </w:r>
    </w:p>
    <w:p>
      <w:pPr>
        <w:pStyle w:val="style0"/>
        <w:ind w:firstLine="432"/>
        <w:jc w:val="both"/>
        <w:rPr/>
      </w:pPr>
      <w:r>
        <w:t>The literature therefore suggests that service resilience depends upon redundancy: mobile</w:t>
      </w:r>
      <w:r>
        <w:t xml:space="preserve"> services, offline digital repositories, community partnerships, low-bandwidth platforms, remote reference mechanisms and coordinated humanitarian information provision. Without such alternatives, terrorism converts geographical displacement into informati</w:t>
      </w:r>
      <w:r>
        <w:t>onal displacement.</w:t>
      </w:r>
    </w:p>
    <w:p>
      <w:pPr>
        <w:pStyle w:val="style0"/>
        <w:keepNext/>
        <w:spacing w:before="100" w:after="60"/>
        <w:rPr/>
      </w:pPr>
      <w:r>
        <w:rPr>
          <w:b/>
        </w:rPr>
        <w:t>4.4 Displacement and erosion of professional human capital</w:t>
      </w:r>
    </w:p>
    <w:p>
      <w:pPr>
        <w:pStyle w:val="style0"/>
        <w:ind w:firstLine="432"/>
        <w:jc w:val="both"/>
        <w:rPr/>
      </w:pPr>
      <w:r>
        <w:t>The evidentiary base is weakest, but potentially most consequential, with respect to information personnel. Abubakar (2022) demonstrates that insecurity-induced closure of educat</w:t>
      </w:r>
      <w:r>
        <w:t>ional institutions has destabilised teaching and learning environments in the North-West and North-Central zones. Because librarians and information specialists are institutionally embedded within those environments, the disruption plausibly extends to the</w:t>
      </w:r>
      <w:r>
        <w:t>ir employment continuity, deployment, professional practice and willingness to remain in insecure locations.</w:t>
      </w:r>
    </w:p>
    <w:p>
      <w:pPr>
        <w:pStyle w:val="style0"/>
        <w:ind w:firstLine="432"/>
        <w:jc w:val="both"/>
        <w:rPr/>
      </w:pPr>
      <w:r>
        <w:t>However, the reviewed corpus contains limited direct, library-specific measurement of staff displacement attributable to terrorism. Broader displac</w:t>
      </w:r>
      <w:r>
        <w:t xml:space="preserve">ement reports and studies of damaged </w:t>
      </w:r>
      <w:r>
        <w:t>educational infrastructure strongly imply parallel consequences for library workers, but inference should not be mistaken for direct evidence. This distinction is important because professional human capital is not read</w:t>
      </w:r>
      <w:r>
        <w:t>ily replaceable. The departure of a trained librarian may simultaneously diminish cataloguing competence, digital-resource management, local institutional memory, user education and continuity of specialist services.</w:t>
      </w:r>
    </w:p>
    <w:p>
      <w:pPr>
        <w:pStyle w:val="style0"/>
        <w:ind w:firstLine="432"/>
        <w:jc w:val="both"/>
        <w:rPr/>
      </w:pPr>
      <w:r>
        <w:t>The gap creates a priority for future r</w:t>
      </w:r>
      <w:r>
        <w:t>esearch: the scale, spatial pattern, professional consequences and recovery trajectory of library-personnel displacement should be measured directly across the North-East, North-West and North-Central geopolitical zones. Until such data exist, claims regar</w:t>
      </w:r>
      <w:r>
        <w:t>ding personnel loss must remain carefully qualified.</w:t>
      </w:r>
    </w:p>
    <w:p>
      <w:pPr>
        <w:pStyle w:val="style0"/>
        <w:keepNext/>
        <w:spacing w:before="100" w:after="60"/>
        <w:rPr/>
      </w:pPr>
      <w:r>
        <w:rPr>
          <w:b/>
        </w:rPr>
        <w:t>4.5 Inadequacy of security and disaster-preparedness measures</w:t>
      </w:r>
    </w:p>
    <w:p>
      <w:pPr>
        <w:pStyle w:val="style0"/>
        <w:ind w:firstLine="432"/>
        <w:jc w:val="both"/>
        <w:rPr/>
      </w:pPr>
      <w:r>
        <w:t>Across the evidence base, inadequate preparedness remains the most recurrent institutional weakness, although recent evidence introduces grea</w:t>
      </w:r>
      <w:r>
        <w:t>ter methodological precision. Makinde and Maimako (2026; first published online 2025) surveyed 428 personnel in federal university libraries across North-East Nigeria and found that provision and adequacy of disaster-control measures were at moderate level</w:t>
      </w:r>
      <w:r>
        <w:t>s while accessibility remained low; availability and awareness jointly influenced use of the measures. This recent large-sample evidence complements earlier Nigerian findings identifying absent or outdated security policies, limited training, weak continui</w:t>
      </w:r>
      <w:r>
        <w:t>ty planning and insufficient disaster infrastructure (Echezona, Asogwa &amp; Chigbu, 2016; Nwokedi, Panle &amp; Samuel, 2017; Iroeze, 2021; Esse et al., 2022). The cumulative picture is therefore not one of absolute institutional absence, but of partial capability</w:t>
      </w:r>
      <w:r>
        <w:t xml:space="preserve"> that remains insufficiently accessible, routinised and conflict-sensitive.</w:t>
      </w:r>
    </w:p>
    <w:p>
      <w:pPr>
        <w:pStyle w:val="style0"/>
        <w:ind w:firstLine="432"/>
        <w:jc w:val="both"/>
        <w:rPr/>
      </w:pPr>
      <w:r>
        <w:t xml:space="preserve">The significance of the Northern Nigerian context lies in the interaction between ordinary institutional unpreparedness and extraordinary conflict exposure. A library that lacks a </w:t>
      </w:r>
      <w:r>
        <w:t>plan for fire or flood is unlikely to possess the more complex arrangements required for armed attack, evacuation, prolonged closure, staff displacement, data protection, mobile service continuity or post-conflict restoration. Garnett (2019) therefore prov</w:t>
      </w:r>
      <w:r>
        <w:t>ides an especially useful interpretive bridge by reframing disaster management as resilience-building rather than episodic emergency response.</w:t>
      </w:r>
    </w:p>
    <w:p>
      <w:pPr>
        <w:pStyle w:val="style0"/>
        <w:ind w:firstLine="432"/>
        <w:jc w:val="both"/>
        <w:rPr/>
      </w:pPr>
      <w:r>
        <w:t>The synthesis indicates that a conflict-sensitive resilience architecture should contain at least six components:</w:t>
      </w:r>
      <w:r>
        <w:t xml:space="preserve"> risk assessment; written emergency and continuity plans; staff training and role allocation; redundant physical and digital preservation systems; formal partnerships with parent institutions, security agencies and humanitarian actors; and post-event recov</w:t>
      </w:r>
      <w:r>
        <w:t>ery protocols. The absence of these elements transforms predictable vulnerability into institutional fragility.</w:t>
      </w:r>
    </w:p>
    <w:p>
      <w:pPr>
        <w:pStyle w:val="style0"/>
        <w:keepNext/>
        <w:spacing w:before="100" w:after="60"/>
        <w:rPr/>
      </w:pPr>
      <w:r>
        <w:rPr>
          <w:b/>
        </w:rPr>
        <w:t>4.6 Libraries as instruments of counter-terrorism, civic resilience and recovery</w:t>
      </w:r>
    </w:p>
    <w:p>
      <w:pPr>
        <w:pStyle w:val="style0"/>
        <w:ind w:firstLine="432"/>
        <w:jc w:val="both"/>
        <w:rPr/>
      </w:pPr>
      <w:r>
        <w:t>The literature also produces a significant counter-narrative in</w:t>
      </w:r>
      <w:r>
        <w:t xml:space="preserve"> which libraries are conceptualised not merely as casualties of insecurity but as potential infrastructures of informational resilience. Ossai-Ugbah (2013) and Ogugua and Ikeagwuani (2024) emphasise information dissemination, civic education and community </w:t>
      </w:r>
      <w:r>
        <w:t>outreach, while Nsirim, Clement-Abraham and Ajie (2024) similarly position libraries as hubs for accurate information, critical thinking, countering extremist propaganda and community resilience. Ifijeh et al. (2018) extend this logic into the humanitarian</w:t>
      </w:r>
      <w:r>
        <w:t xml:space="preserve"> domain by linking public-library provision for displaced populations with the wider struggle against </w:t>
      </w:r>
      <w:r>
        <w:t xml:space="preserve">terrorism. The evidentiary caution is important: these studies establish plausible functions and policy rationales rather than demonstrating that library </w:t>
      </w:r>
      <w:r>
        <w:t>interventions independently reduce insurgency incidence. The defensible conclusion is therefore that libraries possess potentially security-relevant informational capabilities whose causal effect requires empirical evaluation.</w:t>
      </w:r>
    </w:p>
    <w:p>
      <w:pPr>
        <w:pStyle w:val="style0"/>
        <w:ind w:firstLine="432"/>
        <w:jc w:val="both"/>
        <w:rPr/>
      </w:pPr>
      <w:r>
        <w:t xml:space="preserve">This role should be </w:t>
      </w:r>
      <w:r>
        <w:t>interpreted with professional caution. Libraries are not security agencies, and their credibility depends upon intellectual freedom, privacy, inclusion and public trust. Their contribution is therefore primarily preventive and developmental rather than coe</w:t>
      </w:r>
      <w:r>
        <w:t>rcive. By strengthening access to credible information, supporting educational continuity, developing media and information literacy, preserving community memory and providing spaces for informed civic engagement, libraries can contribute to the informatio</w:t>
      </w:r>
      <w:r>
        <w:t>nal conditions associated with resilient communities.</w:t>
      </w:r>
    </w:p>
    <w:p>
      <w:pPr>
        <w:pStyle w:val="style0"/>
        <w:ind w:firstLine="432"/>
        <w:jc w:val="both"/>
        <w:rPr/>
      </w:pPr>
      <w:r>
        <w:t>The synthesis consequently identifies a dual institutional identity: libraries are both vulnerable infrastructure and potential resilience infrastructure. Policy that recognises only the first dimension</w:t>
      </w:r>
      <w:r>
        <w:t xml:space="preserve"> will focus on protection without utilisation; policy that recognises only the second may romanticise the sector while ignoring its material vulnerability. A credible strategy must do both.</w:t>
      </w:r>
    </w:p>
    <w:p>
      <w:pPr>
        <w:pStyle w:val="style0"/>
        <w:spacing w:before="100" w:after="60"/>
        <w:rPr/>
      </w:pPr>
      <w:r>
        <w:rPr>
          <w:b/>
        </w:rPr>
        <w:t>4.7 Geopolitical comparative synthesis: North-East, North-West and</w:t>
      </w:r>
      <w:r>
        <w:rPr>
          <w:b/>
        </w:rPr>
        <w:t xml:space="preserve"> North-Central</w:t>
      </w:r>
    </w:p>
    <w:p>
      <w:pPr>
        <w:pStyle w:val="style0"/>
        <w:jc w:val="both"/>
        <w:rPr/>
      </w:pPr>
      <w:r>
        <w:t xml:space="preserve">The geographical breadth implied by the expression Northern Nigeria requires explicit recognition of evidentiary asymmetry across the three northern geopolitical zones. The North-East possesses the most extensive general literature on </w:t>
      </w:r>
      <w:r>
        <w:t>insurgency-related destruction of educational infrastructure and socio-economic disruption, particularly in Borno and Adamawa, but comparatively little of that scholarship isolates libraries as an autonomous unit of analysis. The North-West provides some o</w:t>
      </w:r>
      <w:r>
        <w:t>f the clearest direct library evidence through work on public-library disaster readiness, while the North-Central contributes institution-specific evidence from the University of Jos and insecurity-related ICT disruption. The result is a literature base th</w:t>
      </w:r>
      <w:r>
        <w:t>at is regionally suggestive but not uniformly library-specific.</w:t>
      </w:r>
    </w:p>
    <w:p>
      <w:pPr>
        <w:pStyle w:val="style0"/>
        <w:jc w:val="both"/>
        <w:rPr/>
      </w:pPr>
      <w:r>
        <w:t>This asymmetry is analytically consequential. It means that the article can defensibly identify a northern pattern of vulnerability while remaining cautious about claims of equivalent severity</w:t>
      </w:r>
      <w:r>
        <w:t>, mechanism or institutional response across all zones. A future field-based study should therefore adopt a deliberately comparative design capable of separating zone-specific threat configurations from cross-regional structural weaknesses such as underfun</w:t>
      </w:r>
      <w:r>
        <w:t>ding, weak continuity planning and inadequate digital redundancy.</w:t>
      </w:r>
    </w:p>
    <w:p>
      <w:pPr>
        <w:pStyle w:val="style0"/>
        <w:spacing w:before="60" w:after="40" w:lineRule="auto" w:line="240"/>
        <w:jc w:val="center"/>
        <w:rPr/>
      </w:pPr>
      <w:r>
        <w:rPr>
          <w:i/>
          <w:sz w:val="20"/>
        </w:rPr>
        <w:t>Table 3. Comparative evidentiary profile of library and information systems vulnerability across Northern Nigeria.</w:t>
      </w:r>
    </w:p>
    <w:tbl>
      <w:tblPr>
        <w:tblStyle w:val="style154"/>
        <w:tblW w:w="0" w:type="auto"/>
        <w:jc w:val="center"/>
        <w:tblLook w:val="04A0" w:firstRow="1" w:lastRow="0" w:firstColumn="1" w:lastColumn="0" w:noHBand="0" w:noVBand="1"/>
      </w:tblPr>
      <w:tblGrid>
        <w:gridCol w:w="1237"/>
        <w:gridCol w:w="2015"/>
        <w:gridCol w:w="2155"/>
        <w:gridCol w:w="2233"/>
        <w:gridCol w:w="2227"/>
      </w:tblGrid>
      <w:tr>
        <w:trPr>
          <w:tblHeader/>
          <w:jc w:val="center"/>
        </w:trPr>
        <w:tc>
          <w:tcPr>
            <w:tcW w:w="1440" w:type="dxa"/>
            <w:tcBorders/>
            <w:tcMar>
              <w:top w:w="55" w:type="dxa"/>
              <w:left w:w="55" w:type="dxa"/>
              <w:bottom w:w="55" w:type="dxa"/>
              <w:right w:w="55" w:type="dxa"/>
            </w:tcMar>
            <w:vAlign w:val="center"/>
          </w:tcPr>
          <w:p>
            <w:pPr>
              <w:pStyle w:val="style0"/>
              <w:spacing w:after="0" w:lineRule="auto" w:line="240"/>
              <w:rPr/>
            </w:pPr>
            <w:r>
              <w:rPr>
                <w:b/>
                <w:color w:val="000000"/>
                <w:sz w:val="14"/>
              </w:rPr>
              <w:t>Geopolitical zone</w:t>
            </w:r>
          </w:p>
        </w:tc>
        <w:tc>
          <w:tcPr>
            <w:tcW w:w="2376" w:type="dxa"/>
            <w:tcBorders/>
            <w:tcMar>
              <w:top w:w="55" w:type="dxa"/>
              <w:left w:w="55" w:type="dxa"/>
              <w:bottom w:w="55" w:type="dxa"/>
              <w:right w:w="55" w:type="dxa"/>
            </w:tcMar>
            <w:vAlign w:val="center"/>
          </w:tcPr>
          <w:p>
            <w:pPr>
              <w:pStyle w:val="style0"/>
              <w:spacing w:after="0" w:lineRule="auto" w:line="240"/>
              <w:rPr/>
            </w:pPr>
            <w:r>
              <w:rPr>
                <w:b/>
                <w:color w:val="000000"/>
                <w:sz w:val="14"/>
              </w:rPr>
              <w:t>Dominant conflict context represented in reviewed literat</w:t>
            </w:r>
            <w:r>
              <w:rPr>
                <w:b/>
                <w:color w:val="000000"/>
                <w:sz w:val="14"/>
              </w:rPr>
              <w:t>ure</w:t>
            </w:r>
          </w:p>
        </w:tc>
        <w:tc>
          <w:tcPr>
            <w:tcW w:w="2448" w:type="dxa"/>
            <w:tcBorders/>
            <w:tcMar>
              <w:top w:w="55" w:type="dxa"/>
              <w:left w:w="55" w:type="dxa"/>
              <w:bottom w:w="55" w:type="dxa"/>
              <w:right w:w="55" w:type="dxa"/>
            </w:tcMar>
            <w:vAlign w:val="center"/>
          </w:tcPr>
          <w:p>
            <w:pPr>
              <w:pStyle w:val="style0"/>
              <w:spacing w:after="0" w:lineRule="auto" w:line="240"/>
              <w:rPr/>
            </w:pPr>
            <w:r>
              <w:rPr>
                <w:b/>
                <w:color w:val="000000"/>
                <w:sz w:val="14"/>
              </w:rPr>
              <w:t>Strongest evidence presently available</w:t>
            </w:r>
          </w:p>
        </w:tc>
        <w:tc>
          <w:tcPr>
            <w:tcW w:w="2880" w:type="dxa"/>
            <w:tcBorders/>
            <w:tcMar>
              <w:top w:w="55" w:type="dxa"/>
              <w:left w:w="55" w:type="dxa"/>
              <w:bottom w:w="55" w:type="dxa"/>
              <w:right w:w="55" w:type="dxa"/>
            </w:tcMar>
            <w:vAlign w:val="center"/>
          </w:tcPr>
          <w:p>
            <w:pPr>
              <w:pStyle w:val="style0"/>
              <w:spacing w:after="0" w:lineRule="auto" w:line="240"/>
              <w:rPr/>
            </w:pPr>
            <w:r>
              <w:rPr>
                <w:b/>
                <w:color w:val="000000"/>
                <w:sz w:val="14"/>
              </w:rPr>
              <w:t>Major LIS inference / implication</w:t>
            </w:r>
          </w:p>
        </w:tc>
        <w:tc>
          <w:tcPr>
            <w:tcW w:w="2880" w:type="dxa"/>
            <w:tcBorders/>
            <w:tcMar>
              <w:top w:w="55" w:type="dxa"/>
              <w:left w:w="55" w:type="dxa"/>
              <w:bottom w:w="55" w:type="dxa"/>
              <w:right w:w="55" w:type="dxa"/>
            </w:tcMar>
            <w:vAlign w:val="center"/>
          </w:tcPr>
          <w:p>
            <w:pPr>
              <w:pStyle w:val="style0"/>
              <w:spacing w:after="0" w:lineRule="auto" w:line="240"/>
              <w:rPr/>
            </w:pPr>
            <w:r>
              <w:rPr>
                <w:b/>
                <w:color w:val="000000"/>
                <w:sz w:val="14"/>
              </w:rPr>
              <w:t>Priority evidence gap</w:t>
            </w:r>
          </w:p>
        </w:tc>
      </w:tr>
      <w:tr>
        <w:tblPrEx/>
        <w:trPr>
          <w:jc w:val="center"/>
        </w:trPr>
        <w:tc>
          <w:tcPr>
            <w:tcW w:w="1440" w:type="dxa"/>
            <w:tcBorders/>
            <w:tcMar>
              <w:top w:w="55" w:type="dxa"/>
              <w:left w:w="55" w:type="dxa"/>
              <w:bottom w:w="55" w:type="dxa"/>
              <w:right w:w="55" w:type="dxa"/>
            </w:tcMar>
            <w:vAlign w:val="center"/>
          </w:tcPr>
          <w:p>
            <w:pPr>
              <w:pStyle w:val="style0"/>
              <w:spacing w:after="0" w:lineRule="auto" w:line="240"/>
              <w:rPr/>
            </w:pPr>
            <w:r>
              <w:rPr>
                <w:color w:val="000000"/>
                <w:sz w:val="14"/>
              </w:rPr>
              <w:t>North-East</w:t>
            </w:r>
          </w:p>
        </w:tc>
        <w:tc>
          <w:tcPr>
            <w:tcW w:w="2376" w:type="dxa"/>
            <w:tcBorders/>
            <w:tcMar>
              <w:top w:w="55" w:type="dxa"/>
              <w:left w:w="55" w:type="dxa"/>
              <w:bottom w:w="55" w:type="dxa"/>
              <w:right w:w="55" w:type="dxa"/>
            </w:tcMar>
            <w:vAlign w:val="center"/>
          </w:tcPr>
          <w:p>
            <w:pPr>
              <w:pStyle w:val="style0"/>
              <w:spacing w:after="0" w:lineRule="auto" w:line="240"/>
              <w:rPr/>
            </w:pPr>
            <w:r>
              <w:rPr>
                <w:color w:val="000000"/>
                <w:sz w:val="14"/>
              </w:rPr>
              <w:t>Boko Haram/ISWAP insurgency and prolonged displacement; 2,333,190 IDPs recorded by IOM DTM in October 2025.</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Direct 2025 evidence of library-infra</w:t>
            </w:r>
            <w:r>
              <w:rPr>
                <w:color w:val="000000"/>
                <w:sz w:val="14"/>
              </w:rPr>
              <w:t>structure/collection destruction; recent 428-personnel disaster-control study; extensive adjacent education evidence.</w:t>
            </w:r>
          </w:p>
        </w:tc>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Strongest current basis for direct conflict–LIS impact claims, but effects remain heterogeneous across states and library types.</w:t>
            </w:r>
          </w:p>
        </w:tc>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Direct mu</w:t>
            </w:r>
            <w:r>
              <w:rPr>
                <w:color w:val="000000"/>
                <w:sz w:val="14"/>
              </w:rPr>
              <w:t>lti-site data on libraries, collections, staff displacement and displaced-user information access</w:t>
            </w:r>
          </w:p>
        </w:tc>
      </w:tr>
      <w:tr>
        <w:tblPrEx/>
        <w:trPr>
          <w:jc w:val="center"/>
        </w:trPr>
        <w:tc>
          <w:tcPr>
            <w:tcW w:w="1440" w:type="dxa"/>
            <w:tcBorders/>
            <w:tcMar>
              <w:top w:w="55" w:type="dxa"/>
              <w:left w:w="55" w:type="dxa"/>
              <w:bottom w:w="55" w:type="dxa"/>
              <w:right w:w="55" w:type="dxa"/>
            </w:tcMar>
            <w:vAlign w:val="center"/>
          </w:tcPr>
          <w:p>
            <w:pPr>
              <w:pStyle w:val="style0"/>
              <w:spacing w:after="0" w:lineRule="auto" w:line="240"/>
              <w:rPr/>
            </w:pPr>
            <w:r>
              <w:rPr>
                <w:color w:val="000000"/>
                <w:sz w:val="14"/>
              </w:rPr>
              <w:t>North-West</w:t>
            </w:r>
          </w:p>
        </w:tc>
        <w:tc>
          <w:tcPr>
            <w:tcW w:w="2376" w:type="dxa"/>
            <w:tcBorders/>
            <w:tcMar>
              <w:top w:w="55" w:type="dxa"/>
              <w:left w:w="55" w:type="dxa"/>
              <w:bottom w:w="55" w:type="dxa"/>
              <w:right w:w="55" w:type="dxa"/>
            </w:tcMar>
            <w:vAlign w:val="center"/>
          </w:tcPr>
          <w:p>
            <w:pPr>
              <w:pStyle w:val="style0"/>
              <w:spacing w:after="0" w:lineRule="auto" w:line="240"/>
              <w:rPr/>
            </w:pPr>
            <w:r>
              <w:rPr>
                <w:color w:val="000000"/>
                <w:sz w:val="14"/>
              </w:rPr>
              <w:t>Armed banditry/kidnapping and wider insecurity; part of the 1,378,124 IDPs recorded across North-Central/North-West in October 2025.</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Direct </w:t>
            </w:r>
            <w:r>
              <w:rPr>
                <w:color w:val="000000"/>
                <w:sz w:val="14"/>
              </w:rPr>
              <w:t>public-library disaster-readiness evidence and insecurity-related ICT disruption.</w:t>
            </w:r>
          </w:p>
        </w:tc>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Clear preparedness and continuity vulnerabilities; terrorism-only terminology is insufficient for this zone.</w:t>
            </w:r>
          </w:p>
        </w:tc>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Comparative state-level measurement of damage, closure duration, </w:t>
            </w:r>
            <w:r>
              <w:rPr>
                <w:color w:val="000000"/>
                <w:sz w:val="14"/>
              </w:rPr>
              <w:t>recovery cost and service substitution</w:t>
            </w:r>
          </w:p>
        </w:tc>
      </w:tr>
      <w:tr>
        <w:tblPrEx/>
        <w:trPr>
          <w:jc w:val="center"/>
        </w:trPr>
        <w:tc>
          <w:tcPr>
            <w:tcW w:w="1440" w:type="dxa"/>
            <w:tcBorders/>
            <w:tcMar>
              <w:top w:w="55" w:type="dxa"/>
              <w:left w:w="55" w:type="dxa"/>
              <w:bottom w:w="55" w:type="dxa"/>
              <w:right w:w="55" w:type="dxa"/>
            </w:tcMar>
            <w:vAlign w:val="center"/>
          </w:tcPr>
          <w:p>
            <w:pPr>
              <w:pStyle w:val="style0"/>
              <w:spacing w:after="0" w:lineRule="auto" w:line="240"/>
              <w:rPr/>
            </w:pPr>
            <w:r>
              <w:rPr>
                <w:color w:val="000000"/>
                <w:sz w:val="14"/>
              </w:rPr>
              <w:t>North-Central</w:t>
            </w:r>
          </w:p>
        </w:tc>
        <w:tc>
          <w:tcPr>
            <w:tcW w:w="2376"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Farmer-herder and communal </w:t>
            </w:r>
            <w:r>
              <w:rPr>
                <w:color w:val="000000"/>
                <w:sz w:val="14"/>
              </w:rPr>
              <w:t>violence, kidnapping and recurrent insecurity; included in the 2025 North-Central/North-West displacement assessment.</w:t>
            </w:r>
          </w:p>
        </w:tc>
        <w:tc>
          <w:tcPr>
            <w:tcW w:w="2448"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University of Jos preparedness </w:t>
            </w:r>
            <w:r>
              <w:rPr>
                <w:color w:val="000000"/>
                <w:sz w:val="14"/>
              </w:rPr>
              <w:t>evidence, IDP information-</w:t>
            </w:r>
            <w:r>
              <w:rPr>
                <w:color w:val="000000"/>
                <w:sz w:val="14"/>
              </w:rPr>
              <w:t>service evidence and insecurity-related ICT constraints.</w:t>
            </w:r>
          </w:p>
        </w:tc>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Service continuity and information-</w:t>
            </w:r>
            <w:r>
              <w:rPr>
                <w:color w:val="000000"/>
                <w:sz w:val="14"/>
              </w:rPr>
              <w:t>exclusion questions are especially salient; direct conflict-damage evidence remains thinner than in the North-East.</w:t>
            </w:r>
          </w:p>
        </w:tc>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Broader multi-institution evidence </w:t>
            </w:r>
            <w:r>
              <w:rPr>
                <w:color w:val="000000"/>
                <w:sz w:val="14"/>
              </w:rPr>
              <w:t>linking speci</w:t>
            </w:r>
            <w:r>
              <w:rPr>
                <w:color w:val="000000"/>
                <w:sz w:val="14"/>
              </w:rPr>
              <w:t>fic conflict episodes to LIS developmental outcomes</w:t>
            </w:r>
          </w:p>
        </w:tc>
      </w:tr>
    </w:tbl>
    <w:p>
      <w:pPr>
        <w:pStyle w:val="style0"/>
        <w:keepNext/>
        <w:spacing w:before="100" w:after="60"/>
        <w:rPr/>
      </w:pPr>
      <w:r>
        <w:t>4.8 Strategic synthesis of terrorism- and insecurity-related impacts on library and information systems</w:t>
      </w:r>
    </w:p>
    <w:tbl>
      <w:tblPr>
        <w:tblStyle w:val="style154"/>
        <w:tblW w:w="0" w:type="auto"/>
        <w:jc w:val="center"/>
        <w:tblLook w:val="04A0" w:firstRow="1" w:lastRow="0" w:firstColumn="1" w:lastColumn="0" w:noHBand="0" w:noVBand="1"/>
      </w:tblPr>
      <w:tblGrid>
        <w:gridCol w:w="2412"/>
        <w:gridCol w:w="2412"/>
        <w:gridCol w:w="2412"/>
        <w:gridCol w:w="2412"/>
      </w:tblGrid>
      <w:tr>
        <w:trPr>
          <w:tblHeader/>
          <w:jc w:val="center"/>
        </w:trPr>
        <w:tc>
          <w:tcPr>
            <w:tcW w:w="2412" w:type="dxa"/>
            <w:tcBorders/>
            <w:tcMar>
              <w:top w:w="55" w:type="dxa"/>
              <w:left w:w="55" w:type="dxa"/>
              <w:bottom w:w="55" w:type="dxa"/>
              <w:right w:w="55" w:type="dxa"/>
            </w:tcMar>
            <w:vAlign w:val="center"/>
          </w:tcPr>
          <w:p>
            <w:pPr>
              <w:pStyle w:val="style0"/>
              <w:spacing w:after="0" w:lineRule="auto" w:line="240"/>
              <w:jc w:val="center"/>
              <w:rPr/>
            </w:pPr>
            <w:r>
              <w:rPr>
                <w:b/>
                <w:color w:val="000000"/>
                <w:sz w:val="15"/>
              </w:rPr>
              <w:t>Thematic domain</w:t>
            </w:r>
          </w:p>
        </w:tc>
        <w:tc>
          <w:tcPr>
            <w:tcW w:w="2412" w:type="dxa"/>
            <w:tcBorders/>
            <w:tcMar>
              <w:top w:w="55" w:type="dxa"/>
              <w:left w:w="55" w:type="dxa"/>
              <w:bottom w:w="55" w:type="dxa"/>
              <w:right w:w="55" w:type="dxa"/>
            </w:tcMar>
            <w:vAlign w:val="center"/>
          </w:tcPr>
          <w:p>
            <w:pPr>
              <w:pStyle w:val="style0"/>
              <w:spacing w:after="0" w:lineRule="auto" w:line="240"/>
              <w:jc w:val="center"/>
              <w:rPr/>
            </w:pPr>
            <w:r>
              <w:rPr>
                <w:b/>
                <w:color w:val="000000"/>
                <w:sz w:val="15"/>
              </w:rPr>
              <w:t>Manifestation in the literature</w:t>
            </w:r>
          </w:p>
        </w:tc>
        <w:tc>
          <w:tcPr>
            <w:tcW w:w="2412" w:type="dxa"/>
            <w:tcBorders/>
            <w:tcMar>
              <w:top w:w="55" w:type="dxa"/>
              <w:left w:w="55" w:type="dxa"/>
              <w:bottom w:w="55" w:type="dxa"/>
              <w:right w:w="55" w:type="dxa"/>
            </w:tcMar>
            <w:vAlign w:val="center"/>
          </w:tcPr>
          <w:p>
            <w:pPr>
              <w:pStyle w:val="style0"/>
              <w:spacing w:after="0" w:lineRule="auto" w:line="240"/>
              <w:jc w:val="center"/>
              <w:rPr/>
            </w:pPr>
            <w:r>
              <w:rPr>
                <w:b/>
                <w:color w:val="000000"/>
                <w:sz w:val="15"/>
              </w:rPr>
              <w:t>Developmental implication</w:t>
            </w:r>
          </w:p>
        </w:tc>
        <w:tc>
          <w:tcPr>
            <w:tcW w:w="2412" w:type="dxa"/>
            <w:tcBorders/>
            <w:tcMar>
              <w:top w:w="55" w:type="dxa"/>
              <w:left w:w="55" w:type="dxa"/>
              <w:bottom w:w="55" w:type="dxa"/>
              <w:right w:w="55" w:type="dxa"/>
            </w:tcMar>
            <w:vAlign w:val="center"/>
          </w:tcPr>
          <w:p>
            <w:pPr>
              <w:pStyle w:val="style0"/>
              <w:spacing w:after="0" w:lineRule="auto" w:line="240"/>
              <w:jc w:val="center"/>
              <w:rPr/>
            </w:pPr>
            <w:r>
              <w:rPr>
                <w:b/>
                <w:color w:val="000000"/>
                <w:sz w:val="15"/>
              </w:rPr>
              <w:t>Priority institutional re</w:t>
            </w:r>
            <w:r>
              <w:rPr>
                <w:b/>
                <w:color w:val="000000"/>
                <w:sz w:val="15"/>
              </w:rPr>
              <w:t>sponse</w:t>
            </w:r>
          </w:p>
        </w:tc>
      </w:tr>
      <w:tr>
        <w:tblPrEx/>
        <w:trPr>
          <w:jc w:val="center"/>
        </w:trPr>
        <w:tc>
          <w:tcPr>
            <w:tcW w:w="2412" w:type="dxa"/>
            <w:tcBorders/>
            <w:tcMar>
              <w:top w:w="55" w:type="dxa"/>
              <w:left w:w="55" w:type="dxa"/>
              <w:bottom w:w="55" w:type="dxa"/>
              <w:right w:w="55" w:type="dxa"/>
            </w:tcMar>
          </w:tcPr>
          <w:p>
            <w:pPr>
              <w:pStyle w:val="style0"/>
              <w:spacing w:after="0" w:lineRule="auto" w:line="240"/>
              <w:rPr/>
            </w:pPr>
            <w:r>
              <w:rPr>
                <w:color w:val="000000"/>
                <w:sz w:val="15"/>
              </w:rPr>
              <w:t>Infrastructure and collections</w:t>
            </w:r>
          </w:p>
        </w:tc>
        <w:tc>
          <w:tcPr>
            <w:tcW w:w="2412" w:type="dxa"/>
            <w:tcBorders/>
            <w:tcMar>
              <w:top w:w="55" w:type="dxa"/>
              <w:left w:w="55" w:type="dxa"/>
              <w:bottom w:w="55" w:type="dxa"/>
              <w:right w:w="55" w:type="dxa"/>
            </w:tcMar>
          </w:tcPr>
          <w:p>
            <w:pPr>
              <w:pStyle w:val="style0"/>
              <w:spacing w:after="0" w:lineRule="auto" w:line="240"/>
              <w:rPr/>
            </w:pPr>
            <w:r>
              <w:rPr>
                <w:color w:val="000000"/>
                <w:sz w:val="15"/>
              </w:rPr>
              <w:t>Damage or destruction of buildings, collections and institutional assets; weak recovery capacity.</w:t>
            </w:r>
          </w:p>
        </w:tc>
        <w:tc>
          <w:tcPr>
            <w:tcW w:w="2412" w:type="dxa"/>
            <w:tcBorders/>
            <w:tcMar>
              <w:top w:w="55" w:type="dxa"/>
              <w:left w:w="55" w:type="dxa"/>
              <w:bottom w:w="55" w:type="dxa"/>
              <w:right w:w="55" w:type="dxa"/>
            </w:tcMar>
          </w:tcPr>
          <w:p>
            <w:pPr>
              <w:pStyle w:val="style0"/>
              <w:spacing w:after="0" w:lineRule="auto" w:line="240"/>
              <w:rPr/>
            </w:pPr>
            <w:r>
              <w:rPr>
                <w:color w:val="000000"/>
                <w:sz w:val="15"/>
              </w:rPr>
              <w:t>Loss of documentary resources, prolonged closures and increased replacement costs.</w:t>
            </w:r>
          </w:p>
        </w:tc>
        <w:tc>
          <w:tcPr>
            <w:tcW w:w="2412" w:type="dxa"/>
            <w:tcBorders/>
            <w:tcMar>
              <w:top w:w="55" w:type="dxa"/>
              <w:left w:w="55" w:type="dxa"/>
              <w:bottom w:w="55" w:type="dxa"/>
              <w:right w:w="55" w:type="dxa"/>
            </w:tcMar>
          </w:tcPr>
          <w:p>
            <w:pPr>
              <w:pStyle w:val="style0"/>
              <w:spacing w:after="0" w:lineRule="auto" w:line="240"/>
              <w:rPr/>
            </w:pPr>
            <w:r>
              <w:rPr>
                <w:color w:val="000000"/>
                <w:sz w:val="15"/>
              </w:rPr>
              <w:t xml:space="preserve">Conflict-sensitive disaster plans, </w:t>
            </w:r>
            <w:r>
              <w:rPr>
                <w:color w:val="000000"/>
                <w:sz w:val="15"/>
              </w:rPr>
              <w:t>collection protection, digital backup and recovery financing.</w:t>
            </w:r>
          </w:p>
        </w:tc>
      </w:tr>
      <w:tr>
        <w:tblPrEx/>
        <w:trPr>
          <w:jc w:val="center"/>
        </w:trPr>
        <w:tc>
          <w:tcPr>
            <w:tcW w:w="2412" w:type="dxa"/>
            <w:tcBorders/>
            <w:tcMar>
              <w:top w:w="55" w:type="dxa"/>
              <w:left w:w="55" w:type="dxa"/>
              <w:bottom w:w="55" w:type="dxa"/>
              <w:right w:w="55" w:type="dxa"/>
            </w:tcMar>
          </w:tcPr>
          <w:p>
            <w:pPr>
              <w:pStyle w:val="style0"/>
              <w:spacing w:after="0" w:lineRule="auto" w:line="240"/>
              <w:rPr/>
            </w:pPr>
            <w:r>
              <w:rPr>
                <w:color w:val="000000"/>
                <w:sz w:val="15"/>
              </w:rPr>
              <w:t>Information service delivery</w:t>
            </w:r>
          </w:p>
        </w:tc>
        <w:tc>
          <w:tcPr>
            <w:tcW w:w="2412" w:type="dxa"/>
            <w:tcBorders/>
            <w:tcMar>
              <w:top w:w="55" w:type="dxa"/>
              <w:left w:w="55" w:type="dxa"/>
              <w:bottom w:w="55" w:type="dxa"/>
              <w:right w:w="55" w:type="dxa"/>
            </w:tcMar>
          </w:tcPr>
          <w:p>
            <w:pPr>
              <w:pStyle w:val="style0"/>
              <w:spacing w:after="0" w:lineRule="auto" w:line="240"/>
              <w:rPr/>
            </w:pPr>
            <w:r>
              <w:rPr>
                <w:color w:val="000000"/>
                <w:sz w:val="15"/>
              </w:rPr>
              <w:t>Closure, unsafe mobility, weak remote alternatives and inadequate provision for IDPs.</w:t>
            </w:r>
          </w:p>
        </w:tc>
        <w:tc>
          <w:tcPr>
            <w:tcW w:w="2412" w:type="dxa"/>
            <w:tcBorders/>
            <w:tcMar>
              <w:top w:w="55" w:type="dxa"/>
              <w:left w:w="55" w:type="dxa"/>
              <w:bottom w:w="55" w:type="dxa"/>
              <w:right w:w="55" w:type="dxa"/>
            </w:tcMar>
          </w:tcPr>
          <w:p>
            <w:pPr>
              <w:pStyle w:val="style0"/>
              <w:spacing w:after="0" w:lineRule="auto" w:line="240"/>
              <w:rPr/>
            </w:pPr>
            <w:r>
              <w:rPr>
                <w:color w:val="000000"/>
                <w:sz w:val="15"/>
              </w:rPr>
              <w:t xml:space="preserve">Informational exclusion, interrupted learning and reduced access to civic and </w:t>
            </w:r>
            <w:r>
              <w:rPr>
                <w:color w:val="000000"/>
                <w:sz w:val="15"/>
              </w:rPr>
              <w:t>livelihood information.</w:t>
            </w:r>
          </w:p>
        </w:tc>
        <w:tc>
          <w:tcPr>
            <w:tcW w:w="2412" w:type="dxa"/>
            <w:tcBorders/>
            <w:tcMar>
              <w:top w:w="55" w:type="dxa"/>
              <w:left w:w="55" w:type="dxa"/>
              <w:bottom w:w="55" w:type="dxa"/>
              <w:right w:w="55" w:type="dxa"/>
            </w:tcMar>
          </w:tcPr>
          <w:p>
            <w:pPr>
              <w:pStyle w:val="style0"/>
              <w:spacing w:after="0" w:lineRule="auto" w:line="240"/>
              <w:rPr/>
            </w:pPr>
            <w:r>
              <w:rPr>
                <w:color w:val="000000"/>
                <w:sz w:val="15"/>
              </w:rPr>
              <w:t>Mobile and offline services, low-bandwidth digital access, humanitarian partnerships and remote reference.</w:t>
            </w:r>
          </w:p>
        </w:tc>
      </w:tr>
      <w:tr>
        <w:tblPrEx/>
        <w:trPr>
          <w:jc w:val="center"/>
        </w:trPr>
        <w:tc>
          <w:tcPr>
            <w:tcW w:w="2412" w:type="dxa"/>
            <w:tcBorders/>
            <w:tcMar>
              <w:top w:w="55" w:type="dxa"/>
              <w:left w:w="55" w:type="dxa"/>
              <w:bottom w:w="55" w:type="dxa"/>
              <w:right w:w="55" w:type="dxa"/>
            </w:tcMar>
          </w:tcPr>
          <w:p>
            <w:pPr>
              <w:pStyle w:val="style0"/>
              <w:spacing w:after="0" w:lineRule="auto" w:line="240"/>
              <w:rPr/>
            </w:pPr>
            <w:r>
              <w:rPr>
                <w:color w:val="000000"/>
                <w:sz w:val="15"/>
              </w:rPr>
              <w:t>Professional personnel</w:t>
            </w:r>
          </w:p>
        </w:tc>
        <w:tc>
          <w:tcPr>
            <w:tcW w:w="2412" w:type="dxa"/>
            <w:tcBorders/>
            <w:tcMar>
              <w:top w:w="55" w:type="dxa"/>
              <w:left w:w="55" w:type="dxa"/>
              <w:bottom w:w="55" w:type="dxa"/>
              <w:right w:w="55" w:type="dxa"/>
            </w:tcMar>
          </w:tcPr>
          <w:p>
            <w:pPr>
              <w:pStyle w:val="style0"/>
              <w:spacing w:after="0" w:lineRule="auto" w:line="240"/>
              <w:rPr/>
            </w:pPr>
            <w:r>
              <w:rPr>
                <w:color w:val="000000"/>
                <w:sz w:val="15"/>
              </w:rPr>
              <w:t>Institutional closures and displacement imply staff instability; direct library-specific evidence rem</w:t>
            </w:r>
            <w:r>
              <w:rPr>
                <w:color w:val="000000"/>
                <w:sz w:val="15"/>
              </w:rPr>
              <w:t>ains limited.</w:t>
            </w:r>
          </w:p>
        </w:tc>
        <w:tc>
          <w:tcPr>
            <w:tcW w:w="2412" w:type="dxa"/>
            <w:tcBorders/>
            <w:tcMar>
              <w:top w:w="55" w:type="dxa"/>
              <w:left w:w="55" w:type="dxa"/>
              <w:bottom w:w="55" w:type="dxa"/>
              <w:right w:w="55" w:type="dxa"/>
            </w:tcMar>
          </w:tcPr>
          <w:p>
            <w:pPr>
              <w:pStyle w:val="style0"/>
              <w:spacing w:after="0" w:lineRule="auto" w:line="240"/>
              <w:rPr/>
            </w:pPr>
            <w:r>
              <w:rPr>
                <w:color w:val="000000"/>
                <w:sz w:val="15"/>
              </w:rPr>
              <w:t>Loss of expertise, institutional memory and continuity of specialist services.</w:t>
            </w:r>
          </w:p>
        </w:tc>
        <w:tc>
          <w:tcPr>
            <w:tcW w:w="2412" w:type="dxa"/>
            <w:tcBorders/>
            <w:tcMar>
              <w:top w:w="55" w:type="dxa"/>
              <w:left w:w="55" w:type="dxa"/>
              <w:bottom w:w="55" w:type="dxa"/>
              <w:right w:w="55" w:type="dxa"/>
            </w:tcMar>
          </w:tcPr>
          <w:p>
            <w:pPr>
              <w:pStyle w:val="style0"/>
              <w:spacing w:after="0" w:lineRule="auto" w:line="240"/>
              <w:rPr/>
            </w:pPr>
            <w:r>
              <w:rPr>
                <w:color w:val="000000"/>
                <w:sz w:val="15"/>
              </w:rPr>
              <w:t>Staff safety protocols, relocation support, succession planning and direct workforce monitoring.</w:t>
            </w:r>
          </w:p>
        </w:tc>
      </w:tr>
      <w:tr>
        <w:tblPrEx/>
        <w:trPr>
          <w:jc w:val="center"/>
        </w:trPr>
        <w:tc>
          <w:tcPr>
            <w:tcW w:w="2412" w:type="dxa"/>
            <w:tcBorders/>
            <w:tcMar>
              <w:top w:w="55" w:type="dxa"/>
              <w:left w:w="55" w:type="dxa"/>
              <w:bottom w:w="55" w:type="dxa"/>
              <w:right w:w="55" w:type="dxa"/>
            </w:tcMar>
          </w:tcPr>
          <w:p>
            <w:pPr>
              <w:pStyle w:val="style0"/>
              <w:spacing w:after="0" w:lineRule="auto" w:line="240"/>
              <w:rPr/>
            </w:pPr>
            <w:r>
              <w:rPr>
                <w:color w:val="000000"/>
                <w:sz w:val="15"/>
              </w:rPr>
              <w:t>Preparedness and resilience</w:t>
            </w:r>
          </w:p>
        </w:tc>
        <w:tc>
          <w:tcPr>
            <w:tcW w:w="2412" w:type="dxa"/>
            <w:tcBorders/>
            <w:tcMar>
              <w:top w:w="55" w:type="dxa"/>
              <w:left w:w="55" w:type="dxa"/>
              <w:bottom w:w="55" w:type="dxa"/>
              <w:right w:w="55" w:type="dxa"/>
            </w:tcMar>
          </w:tcPr>
          <w:p>
            <w:pPr>
              <w:pStyle w:val="style0"/>
              <w:spacing w:after="0" w:lineRule="auto" w:line="240"/>
              <w:rPr/>
            </w:pPr>
            <w:r>
              <w:rPr>
                <w:color w:val="000000"/>
                <w:sz w:val="15"/>
              </w:rPr>
              <w:t>Absence of written plans, limited tra</w:t>
            </w:r>
            <w:r>
              <w:rPr>
                <w:color w:val="000000"/>
                <w:sz w:val="15"/>
              </w:rPr>
              <w:t>ining and weak security infrastructure.</w:t>
            </w:r>
          </w:p>
        </w:tc>
        <w:tc>
          <w:tcPr>
            <w:tcW w:w="2412" w:type="dxa"/>
            <w:tcBorders/>
            <w:tcMar>
              <w:top w:w="55" w:type="dxa"/>
              <w:left w:w="55" w:type="dxa"/>
              <w:bottom w:w="55" w:type="dxa"/>
              <w:right w:w="55" w:type="dxa"/>
            </w:tcMar>
          </w:tcPr>
          <w:p>
            <w:pPr>
              <w:pStyle w:val="style0"/>
              <w:spacing w:after="0" w:lineRule="auto" w:line="240"/>
              <w:rPr/>
            </w:pPr>
            <w:r>
              <w:rPr>
                <w:color w:val="000000"/>
                <w:sz w:val="15"/>
              </w:rPr>
              <w:t>Greater vulnerability to prolonged disruption and slower institutional recovery.</w:t>
            </w:r>
          </w:p>
        </w:tc>
        <w:tc>
          <w:tcPr>
            <w:tcW w:w="2412" w:type="dxa"/>
            <w:tcBorders/>
            <w:tcMar>
              <w:top w:w="55" w:type="dxa"/>
              <w:left w:w="55" w:type="dxa"/>
              <w:bottom w:w="55" w:type="dxa"/>
              <w:right w:w="55" w:type="dxa"/>
            </w:tcMar>
          </w:tcPr>
          <w:p>
            <w:pPr>
              <w:pStyle w:val="style0"/>
              <w:spacing w:after="0" w:lineRule="auto" w:line="240"/>
              <w:rPr/>
            </w:pPr>
            <w:r>
              <w:rPr>
                <w:color w:val="000000"/>
                <w:sz w:val="15"/>
              </w:rPr>
              <w:t>Risk assessment, practical emergency drills, continuity planning, partnerships and periodic resilience audits.</w:t>
            </w:r>
          </w:p>
        </w:tc>
      </w:tr>
      <w:tr>
        <w:tblPrEx/>
        <w:trPr>
          <w:jc w:val="center"/>
        </w:trPr>
        <w:tc>
          <w:tcPr>
            <w:tcW w:w="2412" w:type="dxa"/>
            <w:tcBorders/>
            <w:tcMar>
              <w:top w:w="55" w:type="dxa"/>
              <w:left w:w="55" w:type="dxa"/>
              <w:bottom w:w="55" w:type="dxa"/>
              <w:right w:w="55" w:type="dxa"/>
            </w:tcMar>
          </w:tcPr>
          <w:p>
            <w:pPr>
              <w:pStyle w:val="style0"/>
              <w:spacing w:after="0" w:lineRule="auto" w:line="240"/>
              <w:rPr/>
            </w:pPr>
            <w:r>
              <w:rPr>
                <w:color w:val="000000"/>
                <w:sz w:val="15"/>
              </w:rPr>
              <w:t xml:space="preserve">Counter-terrorism and </w:t>
            </w:r>
            <w:r>
              <w:rPr>
                <w:color w:val="000000"/>
                <w:sz w:val="15"/>
              </w:rPr>
              <w:t>recovery role</w:t>
            </w:r>
          </w:p>
        </w:tc>
        <w:tc>
          <w:tcPr>
            <w:tcW w:w="2412" w:type="dxa"/>
            <w:tcBorders/>
            <w:tcMar>
              <w:top w:w="55" w:type="dxa"/>
              <w:left w:w="55" w:type="dxa"/>
              <w:bottom w:w="55" w:type="dxa"/>
              <w:right w:w="55" w:type="dxa"/>
            </w:tcMar>
          </w:tcPr>
          <w:p>
            <w:pPr>
              <w:pStyle w:val="style0"/>
              <w:spacing w:after="0" w:lineRule="auto" w:line="240"/>
              <w:rPr/>
            </w:pPr>
            <w:r>
              <w:rPr>
                <w:color w:val="000000"/>
                <w:sz w:val="15"/>
              </w:rPr>
              <w:t>Libraries framed as channels for civic education, information literacy and community outreach.</w:t>
            </w:r>
          </w:p>
        </w:tc>
        <w:tc>
          <w:tcPr>
            <w:tcW w:w="2412" w:type="dxa"/>
            <w:tcBorders/>
            <w:tcMar>
              <w:top w:w="55" w:type="dxa"/>
              <w:left w:w="55" w:type="dxa"/>
              <w:bottom w:w="55" w:type="dxa"/>
              <w:right w:w="55" w:type="dxa"/>
            </w:tcMar>
          </w:tcPr>
          <w:p>
            <w:pPr>
              <w:pStyle w:val="style0"/>
              <w:spacing w:after="0" w:lineRule="auto" w:line="240"/>
              <w:rPr/>
            </w:pPr>
            <w:r>
              <w:rPr>
                <w:color w:val="000000"/>
                <w:sz w:val="15"/>
              </w:rPr>
              <w:t>Potential contribution to epistemic resilience, informed citizenship and post-conflict reconstruction.</w:t>
            </w:r>
          </w:p>
        </w:tc>
        <w:tc>
          <w:tcPr>
            <w:tcW w:w="2412" w:type="dxa"/>
            <w:tcBorders/>
            <w:tcMar>
              <w:top w:w="55" w:type="dxa"/>
              <w:left w:w="55" w:type="dxa"/>
              <w:bottom w:w="55" w:type="dxa"/>
              <w:right w:w="55" w:type="dxa"/>
            </w:tcMar>
          </w:tcPr>
          <w:p>
            <w:pPr>
              <w:pStyle w:val="style0"/>
              <w:spacing w:after="0" w:lineRule="auto" w:line="240"/>
              <w:rPr/>
            </w:pPr>
            <w:r>
              <w:rPr>
                <w:color w:val="000000"/>
                <w:sz w:val="15"/>
              </w:rPr>
              <w:t>Integrate libraries into peacebuilding, educ</w:t>
            </w:r>
            <w:r>
              <w:rPr>
                <w:color w:val="000000"/>
                <w:sz w:val="15"/>
              </w:rPr>
              <w:t>ation recovery and national information-resilience strategies.</w:t>
            </w:r>
          </w:p>
        </w:tc>
      </w:tr>
    </w:tbl>
    <w:p>
      <w:pPr>
        <w:pStyle w:val="style0"/>
        <w:spacing w:before="60" w:after="40" w:lineRule="auto" w:line="240"/>
        <w:jc w:val="center"/>
        <w:rPr/>
      </w:pPr>
      <w:r>
        <w:rPr>
          <w:i/>
          <w:sz w:val="20"/>
        </w:rPr>
        <w:t>Table 4. Strategic synthesis of terrorism- and insecurity-related impacts on library and information systems development.</w:t>
      </w:r>
    </w:p>
    <w:p>
      <w:pPr>
        <w:pStyle w:val="style0"/>
        <w:jc w:val="center"/>
        <w:rPr/>
      </w:pPr>
      <w:r>
        <w:rPr>
          <w:noProof/>
        </w:rPr>
        <w:drawing>
          <wp:inline distL="0" distT="0" distB="0" distR="0">
            <wp:extent cx="6035040" cy="3157548"/>
            <wp:effectExtent l="0" t="0" r="0" b="0"/>
            <wp:docPr id="1027"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0" t="0" r="0" b="0"/>
                    <a:stretch/>
                  </pic:blipFill>
                  <pic:spPr>
                    <a:xfrm rot="0">
                      <a:off x="0" y="0"/>
                      <a:ext cx="6035040" cy="3157548"/>
                    </a:xfrm>
                    <a:prstGeom prst="rect"/>
                  </pic:spPr>
                </pic:pic>
              </a:graphicData>
            </a:graphic>
          </wp:inline>
        </w:drawing>
      </w:r>
    </w:p>
    <w:p>
      <w:pPr>
        <w:pStyle w:val="style0"/>
        <w:spacing w:before="60" w:after="40" w:lineRule="auto" w:line="240"/>
        <w:jc w:val="center"/>
        <w:rPr/>
      </w:pPr>
      <w:r>
        <w:rPr>
          <w:i/>
          <w:sz w:val="20"/>
        </w:rPr>
        <w:t>Figure 2. Distribution of explicitly mobilised sources across themat</w:t>
      </w:r>
      <w:r>
        <w:rPr>
          <w:i/>
          <w:sz w:val="20"/>
        </w:rPr>
        <w:t>ic domains in the strengthened synthesis.</w:t>
      </w:r>
    </w:p>
    <w:p>
      <w:pPr>
        <w:pStyle w:val="style0"/>
        <w:spacing w:after="80" w:lineRule="auto" w:line="240"/>
        <w:jc w:val="both"/>
        <w:rPr/>
      </w:pPr>
      <w:r>
        <w:rPr>
          <w:i/>
          <w:sz w:val="19"/>
        </w:rPr>
        <w:t>Note: The bars are bibliographic source counts derived from the references explicitly mobilised within each thematic domain of this review. They are not respondent data, simulated observations, prevalence estimates</w:t>
      </w:r>
      <w:r>
        <w:rPr>
          <w:i/>
          <w:sz w:val="19"/>
        </w:rPr>
        <w:t>, effect sizes or measures of methodological quality. A single source may contribute to more than one domain; the figure is therefore a transparent visualisation of evidence concentration only.</w:t>
      </w:r>
    </w:p>
    <w:p>
      <w:pPr>
        <w:pStyle w:val="style0"/>
        <w:spacing w:before="100" w:after="60"/>
        <w:rPr/>
      </w:pPr>
      <w:r>
        <w:rPr>
          <w:b/>
        </w:rPr>
        <w:t>4.9 Evidence–Claim–Confidence synthesis</w:t>
      </w:r>
    </w:p>
    <w:p>
      <w:pPr>
        <w:pStyle w:val="style0"/>
        <w:jc w:val="both"/>
        <w:rPr/>
      </w:pPr>
      <w:r>
        <w:t xml:space="preserve">The principal purpose </w:t>
      </w:r>
      <w:r>
        <w:t>of the following matrix is epistemic discipline. Narrative reviews can inadvertently convert repeated citation into apparent certainty; Table 5 therefore separates the strength of the underlying evidence from the importance of the claim. High confidence do</w:t>
      </w:r>
      <w:r>
        <w:t>es not mean universal generalisability, and lower confidence does not mean that a proposition is unimportant. It indicates the degree to which the present corpus directly substantiates the statement.</w:t>
      </w:r>
    </w:p>
    <w:p>
      <w:pPr>
        <w:pStyle w:val="style0"/>
        <w:spacing w:before="60" w:after="40" w:lineRule="auto" w:line="240"/>
        <w:jc w:val="center"/>
        <w:rPr/>
      </w:pPr>
      <w:r>
        <w:rPr>
          <w:i/>
          <w:sz w:val="20"/>
        </w:rPr>
        <w:t>Table 5. Evidence–Claim–Confidence matrix for the princi</w:t>
      </w:r>
      <w:r>
        <w:rPr>
          <w:i/>
          <w:sz w:val="20"/>
        </w:rPr>
        <w:t>pal conclusions of the review.</w:t>
      </w:r>
    </w:p>
    <w:tbl>
      <w:tblPr>
        <w:tblStyle w:val="style154"/>
        <w:tblW w:w="0" w:type="auto"/>
        <w:jc w:val="center"/>
        <w:tblLook w:val="04A0" w:firstRow="1" w:lastRow="0" w:firstColumn="1" w:lastColumn="0" w:noHBand="0" w:noVBand="1"/>
      </w:tblPr>
      <w:tblGrid>
        <w:gridCol w:w="2193"/>
        <w:gridCol w:w="1779"/>
        <w:gridCol w:w="2209"/>
        <w:gridCol w:w="1350"/>
        <w:gridCol w:w="2336"/>
      </w:tblGrid>
      <w:tr>
        <w:trPr>
          <w:tblHeader/>
          <w:jc w:val="center"/>
        </w:trPr>
        <w:tc>
          <w:tcPr>
            <w:tcW w:w="2880" w:type="dxa"/>
            <w:tcBorders/>
            <w:tcMar>
              <w:top w:w="55" w:type="dxa"/>
              <w:left w:w="55" w:type="dxa"/>
              <w:bottom w:w="55" w:type="dxa"/>
              <w:right w:w="55" w:type="dxa"/>
            </w:tcMar>
            <w:vAlign w:val="center"/>
          </w:tcPr>
          <w:p>
            <w:pPr>
              <w:pStyle w:val="style0"/>
              <w:spacing w:after="0" w:lineRule="auto" w:line="240"/>
              <w:rPr/>
            </w:pPr>
            <w:r>
              <w:rPr>
                <w:b/>
                <w:color w:val="000000"/>
                <w:sz w:val="14"/>
              </w:rPr>
              <w:t>Principal claim</w:t>
            </w:r>
          </w:p>
        </w:tc>
        <w:tc>
          <w:tcPr>
            <w:tcW w:w="2232" w:type="dxa"/>
            <w:tcBorders/>
            <w:tcMar>
              <w:top w:w="55" w:type="dxa"/>
              <w:left w:w="55" w:type="dxa"/>
              <w:bottom w:w="55" w:type="dxa"/>
              <w:right w:w="55" w:type="dxa"/>
            </w:tcMar>
            <w:vAlign w:val="center"/>
          </w:tcPr>
          <w:p>
            <w:pPr>
              <w:pStyle w:val="style0"/>
              <w:spacing w:after="0" w:lineRule="auto" w:line="240"/>
              <w:rPr/>
            </w:pPr>
            <w:r>
              <w:rPr>
                <w:b/>
                <w:color w:val="000000"/>
                <w:sz w:val="14"/>
              </w:rPr>
              <w:t>Direct supporting evidence</w:t>
            </w:r>
          </w:p>
        </w:tc>
        <w:tc>
          <w:tcPr>
            <w:tcW w:w="2592" w:type="dxa"/>
            <w:tcBorders/>
            <w:tcMar>
              <w:top w:w="55" w:type="dxa"/>
              <w:left w:w="55" w:type="dxa"/>
              <w:bottom w:w="55" w:type="dxa"/>
              <w:right w:w="55" w:type="dxa"/>
            </w:tcMar>
            <w:vAlign w:val="center"/>
          </w:tcPr>
          <w:p>
            <w:pPr>
              <w:pStyle w:val="style0"/>
              <w:spacing w:after="0" w:lineRule="auto" w:line="240"/>
              <w:rPr/>
            </w:pPr>
            <w:r>
              <w:rPr>
                <w:b/>
                <w:color w:val="000000"/>
                <w:sz w:val="14"/>
              </w:rPr>
              <w:t>Adjacent / contextual support</w:t>
            </w:r>
          </w:p>
        </w:tc>
        <w:tc>
          <w:tcPr>
            <w:tcW w:w="1440" w:type="dxa"/>
            <w:tcBorders/>
            <w:tcMar>
              <w:top w:w="55" w:type="dxa"/>
              <w:left w:w="55" w:type="dxa"/>
              <w:bottom w:w="55" w:type="dxa"/>
              <w:right w:w="55" w:type="dxa"/>
            </w:tcMar>
            <w:vAlign w:val="center"/>
          </w:tcPr>
          <w:p>
            <w:pPr>
              <w:pStyle w:val="style0"/>
              <w:spacing w:after="0" w:lineRule="auto" w:line="240"/>
              <w:rPr/>
            </w:pPr>
            <w:r>
              <w:rPr>
                <w:b/>
                <w:color w:val="000000"/>
                <w:sz w:val="14"/>
              </w:rPr>
              <w:t>Confidence in present review</w:t>
            </w:r>
          </w:p>
        </w:tc>
        <w:tc>
          <w:tcPr>
            <w:tcW w:w="2952" w:type="dxa"/>
            <w:tcBorders/>
            <w:tcMar>
              <w:top w:w="55" w:type="dxa"/>
              <w:left w:w="55" w:type="dxa"/>
              <w:bottom w:w="55" w:type="dxa"/>
              <w:right w:w="55" w:type="dxa"/>
            </w:tcMar>
            <w:vAlign w:val="center"/>
          </w:tcPr>
          <w:p>
            <w:pPr>
              <w:pStyle w:val="style0"/>
              <w:spacing w:after="0" w:lineRule="auto" w:line="240"/>
              <w:rPr/>
            </w:pPr>
            <w:r>
              <w:rPr>
                <w:b/>
                <w:color w:val="000000"/>
                <w:sz w:val="14"/>
              </w:rPr>
              <w:t>Interpretive consequence</w:t>
            </w:r>
          </w:p>
        </w:tc>
      </w:tr>
      <w:tr>
        <w:tblPrEx/>
        <w:trPr>
          <w:jc w:val="center"/>
        </w:trPr>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Armed conflict has damaged library infrastructure and collections in parts of Northern Nigeria.</w:t>
            </w:r>
          </w:p>
        </w:tc>
        <w:tc>
          <w:tcPr>
            <w:tcW w:w="2232" w:type="dxa"/>
            <w:tcBorders/>
            <w:tcMar>
              <w:top w:w="55" w:type="dxa"/>
              <w:left w:w="55" w:type="dxa"/>
              <w:bottom w:w="55" w:type="dxa"/>
              <w:right w:w="55" w:type="dxa"/>
            </w:tcMar>
            <w:vAlign w:val="center"/>
          </w:tcPr>
          <w:p>
            <w:pPr>
              <w:pStyle w:val="style0"/>
              <w:spacing w:after="0" w:lineRule="auto" w:line="240"/>
              <w:rPr/>
            </w:pPr>
            <w:r>
              <w:rPr>
                <w:color w:val="000000"/>
                <w:sz w:val="14"/>
              </w:rPr>
              <w:t>Abdullahi, Garba &amp; Saad (2025); Esse et al. (2022)</w:t>
            </w:r>
          </w:p>
        </w:tc>
        <w:tc>
          <w:tcPr>
            <w:tcW w:w="2592" w:type="dxa"/>
            <w:tcBorders/>
            <w:tcMar>
              <w:top w:w="55" w:type="dxa"/>
              <w:left w:w="55" w:type="dxa"/>
              <w:bottom w:w="55" w:type="dxa"/>
              <w:right w:w="55" w:type="dxa"/>
            </w:tcMar>
            <w:vAlign w:val="center"/>
          </w:tcPr>
          <w:p>
            <w:pPr>
              <w:pStyle w:val="style0"/>
              <w:spacing w:after="0" w:lineRule="auto" w:line="240"/>
              <w:rPr/>
            </w:pPr>
            <w:r>
              <w:rPr>
                <w:color w:val="000000"/>
                <w:sz w:val="14"/>
              </w:rPr>
              <w:t>Abbas et al. (2023); Bilyaminu et al. (2017)</w:t>
            </w:r>
          </w:p>
        </w:tc>
        <w:tc>
          <w:tcPr>
            <w:tcW w:w="1440" w:type="dxa"/>
            <w:tcBorders/>
            <w:tcMar>
              <w:top w:w="55" w:type="dxa"/>
              <w:left w:w="55" w:type="dxa"/>
              <w:bottom w:w="55" w:type="dxa"/>
              <w:right w:w="55" w:type="dxa"/>
            </w:tcMar>
            <w:vAlign w:val="center"/>
          </w:tcPr>
          <w:p>
            <w:pPr>
              <w:pStyle w:val="style0"/>
              <w:spacing w:after="0" w:lineRule="auto" w:line="240"/>
              <w:rPr/>
            </w:pPr>
            <w:r>
              <w:rPr>
                <w:color w:val="000000"/>
                <w:sz w:val="14"/>
              </w:rPr>
              <w:t>Higher</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The claim is defensible, but prevalence and recovery cost across all northern states remain unknown.</w:t>
            </w:r>
          </w:p>
        </w:tc>
      </w:tr>
      <w:tr>
        <w:tblPrEx/>
        <w:trPr>
          <w:jc w:val="center"/>
        </w:trPr>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Preparedness and disaster-control capacity are insu</w:t>
            </w:r>
            <w:r>
              <w:rPr>
                <w:color w:val="000000"/>
                <w:sz w:val="14"/>
              </w:rPr>
              <w:t>fficient or uneven.</w:t>
            </w:r>
          </w:p>
        </w:tc>
        <w:tc>
          <w:tcPr>
            <w:tcW w:w="2232" w:type="dxa"/>
            <w:tcBorders/>
            <w:tcMar>
              <w:top w:w="55" w:type="dxa"/>
              <w:left w:w="55" w:type="dxa"/>
              <w:bottom w:w="55" w:type="dxa"/>
              <w:right w:w="55" w:type="dxa"/>
            </w:tcMar>
            <w:vAlign w:val="center"/>
          </w:tcPr>
          <w:p>
            <w:pPr>
              <w:pStyle w:val="style0"/>
              <w:spacing w:after="0" w:lineRule="auto" w:line="240"/>
              <w:rPr/>
            </w:pPr>
            <w:r>
              <w:rPr>
                <w:color w:val="000000"/>
                <w:sz w:val="14"/>
              </w:rPr>
              <w:t>Makinde &amp; Maimako (2026); Esse et al. (2022); Nwokedi et al. (2017); Echezona et al. (2016)</w:t>
            </w:r>
          </w:p>
        </w:tc>
        <w:tc>
          <w:tcPr>
            <w:tcW w:w="2592" w:type="dxa"/>
            <w:tcBorders/>
            <w:tcMar>
              <w:top w:w="55" w:type="dxa"/>
              <w:left w:w="55" w:type="dxa"/>
              <w:bottom w:w="55" w:type="dxa"/>
              <w:right w:w="55" w:type="dxa"/>
            </w:tcMar>
            <w:vAlign w:val="center"/>
          </w:tcPr>
          <w:p>
            <w:pPr>
              <w:pStyle w:val="style0"/>
              <w:spacing w:after="0" w:lineRule="auto" w:line="240"/>
              <w:rPr/>
            </w:pPr>
            <w:r>
              <w:rPr>
                <w:color w:val="000000"/>
                <w:sz w:val="14"/>
              </w:rPr>
              <w:t>Iroeze (2021); Ghanaian/international resilience literature</w:t>
            </w:r>
          </w:p>
        </w:tc>
        <w:tc>
          <w:tcPr>
            <w:tcW w:w="1440" w:type="dxa"/>
            <w:tcBorders/>
            <w:tcMar>
              <w:top w:w="55" w:type="dxa"/>
              <w:left w:w="55" w:type="dxa"/>
              <w:bottom w:w="55" w:type="dxa"/>
              <w:right w:w="55" w:type="dxa"/>
            </w:tcMar>
            <w:vAlign w:val="center"/>
          </w:tcPr>
          <w:p>
            <w:pPr>
              <w:pStyle w:val="style0"/>
              <w:spacing w:after="0" w:lineRule="auto" w:line="240"/>
              <w:rPr/>
            </w:pPr>
            <w:r>
              <w:rPr>
                <w:color w:val="000000"/>
                <w:sz w:val="14"/>
              </w:rPr>
              <w:t>Higher</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Policy recommendations for continuity planning and staff preparedness are str</w:t>
            </w:r>
            <w:r>
              <w:rPr>
                <w:color w:val="000000"/>
                <w:sz w:val="14"/>
              </w:rPr>
              <w:t>ongly supported.</w:t>
            </w:r>
          </w:p>
        </w:tc>
      </w:tr>
      <w:tr>
        <w:tblPrEx/>
        <w:trPr>
          <w:jc w:val="center"/>
        </w:trPr>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Conflict and displacement interrupt equitable information-service access.</w:t>
            </w:r>
          </w:p>
        </w:tc>
        <w:tc>
          <w:tcPr>
            <w:tcW w:w="2232" w:type="dxa"/>
            <w:tcBorders/>
            <w:tcMar>
              <w:top w:w="55" w:type="dxa"/>
              <w:left w:w="55" w:type="dxa"/>
              <w:bottom w:w="55" w:type="dxa"/>
              <w:right w:w="55" w:type="dxa"/>
            </w:tcMar>
            <w:vAlign w:val="center"/>
          </w:tcPr>
          <w:p>
            <w:pPr>
              <w:pStyle w:val="style0"/>
              <w:spacing w:after="0" w:lineRule="auto" w:line="240"/>
              <w:rPr/>
            </w:pPr>
            <w:r>
              <w:rPr>
                <w:color w:val="000000"/>
                <w:sz w:val="14"/>
              </w:rPr>
              <w:t>Lawal (2016); Eneasato &amp; Jidere (2024)</w:t>
            </w:r>
          </w:p>
        </w:tc>
        <w:tc>
          <w:tcPr>
            <w:tcW w:w="2592" w:type="dxa"/>
            <w:tcBorders/>
            <w:tcMar>
              <w:top w:w="55" w:type="dxa"/>
              <w:left w:w="55" w:type="dxa"/>
              <w:bottom w:w="55" w:type="dxa"/>
              <w:right w:w="55" w:type="dxa"/>
            </w:tcMar>
            <w:vAlign w:val="center"/>
          </w:tcPr>
          <w:p>
            <w:pPr>
              <w:pStyle w:val="style0"/>
              <w:spacing w:after="0" w:lineRule="auto" w:line="240"/>
              <w:rPr/>
            </w:pPr>
            <w:r>
              <w:rPr>
                <w:color w:val="000000"/>
                <w:sz w:val="14"/>
              </w:rPr>
              <w:t>Ifijeh et al. (2018); Abubakar (2022); IOM (2025a, 2025b)</w:t>
            </w:r>
          </w:p>
        </w:tc>
        <w:tc>
          <w:tcPr>
            <w:tcW w:w="1440" w:type="dxa"/>
            <w:tcBorders/>
            <w:tcMar>
              <w:top w:w="55" w:type="dxa"/>
              <w:left w:w="55" w:type="dxa"/>
              <w:bottom w:w="55" w:type="dxa"/>
              <w:right w:w="55" w:type="dxa"/>
            </w:tcMar>
            <w:vAlign w:val="center"/>
          </w:tcPr>
          <w:p>
            <w:pPr>
              <w:pStyle w:val="style0"/>
              <w:spacing w:after="0" w:lineRule="auto" w:line="240"/>
              <w:rPr/>
            </w:pPr>
            <w:r>
              <w:rPr>
                <w:color w:val="000000"/>
                <w:sz w:val="14"/>
              </w:rPr>
              <w:t>Moderate–higher</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The service deficit is credible, but closure </w:t>
            </w:r>
            <w:r>
              <w:rPr>
                <w:color w:val="000000"/>
                <w:sz w:val="14"/>
              </w:rPr>
              <w:t>duration, unmet-demand magnitude and comparative zone effects need direct measurement.</w:t>
            </w:r>
          </w:p>
        </w:tc>
      </w:tr>
      <w:tr>
        <w:tblPrEx/>
        <w:trPr>
          <w:jc w:val="center"/>
        </w:trPr>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Armed insecurity displaces or depletes library professional human capital.</w:t>
            </w:r>
          </w:p>
        </w:tc>
        <w:tc>
          <w:tcPr>
            <w:tcW w:w="2232" w:type="dxa"/>
            <w:tcBorders/>
            <w:tcMar>
              <w:top w:w="55" w:type="dxa"/>
              <w:left w:w="55" w:type="dxa"/>
              <w:bottom w:w="55" w:type="dxa"/>
              <w:right w:w="55" w:type="dxa"/>
            </w:tcMar>
            <w:vAlign w:val="center"/>
          </w:tcPr>
          <w:p>
            <w:pPr>
              <w:pStyle w:val="style0"/>
              <w:spacing w:after="0" w:lineRule="auto" w:line="240"/>
              <w:rPr/>
            </w:pPr>
            <w:r>
              <w:rPr>
                <w:color w:val="000000"/>
                <w:sz w:val="14"/>
              </w:rPr>
              <w:t>Limited direct measurement in reviewed corpus</w:t>
            </w:r>
          </w:p>
        </w:tc>
        <w:tc>
          <w:tcPr>
            <w:tcW w:w="2592" w:type="dxa"/>
            <w:tcBorders/>
            <w:tcMar>
              <w:top w:w="55" w:type="dxa"/>
              <w:left w:w="55" w:type="dxa"/>
              <w:bottom w:w="55" w:type="dxa"/>
              <w:right w:w="55" w:type="dxa"/>
            </w:tcMar>
            <w:vAlign w:val="center"/>
          </w:tcPr>
          <w:p>
            <w:pPr>
              <w:pStyle w:val="style0"/>
              <w:spacing w:after="0" w:lineRule="auto" w:line="240"/>
              <w:rPr/>
            </w:pPr>
            <w:r>
              <w:rPr>
                <w:color w:val="000000"/>
                <w:sz w:val="14"/>
              </w:rPr>
              <w:t>Education-sector displacement evidence; IOM dis</w:t>
            </w:r>
            <w:r>
              <w:rPr>
                <w:color w:val="000000"/>
                <w:sz w:val="14"/>
              </w:rPr>
              <w:t>placement context</w:t>
            </w:r>
          </w:p>
        </w:tc>
        <w:tc>
          <w:tcPr>
            <w:tcW w:w="1440" w:type="dxa"/>
            <w:tcBorders/>
            <w:tcMar>
              <w:top w:w="55" w:type="dxa"/>
              <w:left w:w="55" w:type="dxa"/>
              <w:bottom w:w="55" w:type="dxa"/>
              <w:right w:w="55" w:type="dxa"/>
            </w:tcMar>
            <w:vAlign w:val="center"/>
          </w:tcPr>
          <w:p>
            <w:pPr>
              <w:pStyle w:val="style0"/>
              <w:spacing w:after="0" w:lineRule="auto" w:line="240"/>
              <w:rPr/>
            </w:pPr>
            <w:r>
              <w:rPr>
                <w:color w:val="000000"/>
                <w:sz w:val="14"/>
              </w:rPr>
              <w:t>Lower–moderate</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The proposition is plausible and important but must be stated cautiously and prioritised for primary research.</w:t>
            </w:r>
          </w:p>
        </w:tc>
      </w:tr>
      <w:tr>
        <w:tblPrEx/>
        <w:trPr>
          <w:jc w:val="center"/>
        </w:trPr>
        <w:tc>
          <w:tcPr>
            <w:tcW w:w="2880" w:type="dxa"/>
            <w:tcBorders/>
            <w:tcMar>
              <w:top w:w="55" w:type="dxa"/>
              <w:left w:w="55" w:type="dxa"/>
              <w:bottom w:w="55" w:type="dxa"/>
              <w:right w:w="55" w:type="dxa"/>
            </w:tcMar>
            <w:vAlign w:val="center"/>
          </w:tcPr>
          <w:p>
            <w:pPr>
              <w:pStyle w:val="style0"/>
              <w:spacing w:after="0" w:lineRule="auto" w:line="240"/>
              <w:rPr/>
            </w:pPr>
            <w:r>
              <w:rPr>
                <w:color w:val="000000"/>
                <w:sz w:val="14"/>
              </w:rPr>
              <w:t>Libraries can contribute to counter-insurgency, peacebuilding and recovery.</w:t>
            </w:r>
          </w:p>
        </w:tc>
        <w:tc>
          <w:tcPr>
            <w:tcW w:w="2232" w:type="dxa"/>
            <w:tcBorders/>
            <w:tcMar>
              <w:top w:w="55" w:type="dxa"/>
              <w:left w:w="55" w:type="dxa"/>
              <w:bottom w:w="55" w:type="dxa"/>
              <w:right w:w="55" w:type="dxa"/>
            </w:tcMar>
            <w:vAlign w:val="center"/>
          </w:tcPr>
          <w:p>
            <w:pPr>
              <w:pStyle w:val="style0"/>
              <w:spacing w:after="0" w:lineRule="auto" w:line="240"/>
              <w:rPr/>
            </w:pPr>
            <w:r>
              <w:rPr>
                <w:color w:val="000000"/>
                <w:sz w:val="14"/>
              </w:rPr>
              <w:t>No causal outcome study identified</w:t>
            </w:r>
          </w:p>
        </w:tc>
        <w:tc>
          <w:tcPr>
            <w:tcW w:w="2592" w:type="dxa"/>
            <w:tcBorders/>
            <w:tcMar>
              <w:top w:w="55" w:type="dxa"/>
              <w:left w:w="55" w:type="dxa"/>
              <w:bottom w:w="55" w:type="dxa"/>
              <w:right w:w="55" w:type="dxa"/>
            </w:tcMar>
            <w:vAlign w:val="center"/>
          </w:tcPr>
          <w:p>
            <w:pPr>
              <w:pStyle w:val="style0"/>
              <w:spacing w:after="0" w:lineRule="auto" w:line="240"/>
              <w:rPr/>
            </w:pPr>
            <w:r>
              <w:rPr>
                <w:color w:val="000000"/>
                <w:sz w:val="14"/>
              </w:rPr>
              <w:t>Nsirim et al. (2024); Ogugua &amp; Ikeagwuani (2024); Ossai-Ugbah (2013); Ifijeh et al. (2018)</w:t>
            </w:r>
          </w:p>
        </w:tc>
        <w:tc>
          <w:tcPr>
            <w:tcW w:w="1440" w:type="dxa"/>
            <w:tcBorders/>
            <w:tcMar>
              <w:top w:w="55" w:type="dxa"/>
              <w:left w:w="55" w:type="dxa"/>
              <w:bottom w:w="55" w:type="dxa"/>
              <w:right w:w="55" w:type="dxa"/>
            </w:tcMar>
            <w:vAlign w:val="center"/>
          </w:tcPr>
          <w:p>
            <w:pPr>
              <w:pStyle w:val="style0"/>
              <w:spacing w:after="0" w:lineRule="auto" w:line="240"/>
              <w:rPr/>
            </w:pPr>
            <w:r>
              <w:rPr>
                <w:color w:val="000000"/>
                <w:sz w:val="14"/>
              </w:rPr>
              <w:t>Moderate for capability; low for causal effect</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Policy relevance is strong, but claims that libraries reduce terrorism should remain prospective until evaluated.</w:t>
            </w:r>
          </w:p>
        </w:tc>
      </w:tr>
    </w:tbl>
    <w:p>
      <w:pPr>
        <w:pStyle w:val="style0"/>
        <w:spacing w:after="80" w:lineRule="auto" w:line="240"/>
        <w:jc w:val="both"/>
        <w:rPr/>
      </w:pPr>
      <w:r>
        <w:rPr>
          <w:i/>
          <w:sz w:val="19"/>
        </w:rPr>
        <w:t>Not</w:t>
      </w:r>
      <w:r>
        <w:rPr>
          <w:i/>
          <w:sz w:val="19"/>
        </w:rPr>
        <w:t>e: Confidence judgements are qualitative and claim-specific. They are intended to prevent overstatement, not to substitute for a formal systematic-review risk-of-bias procedure.</w:t>
      </w:r>
    </w:p>
    <w:p>
      <w:pPr>
        <w:pStyle w:val="style0"/>
        <w:keepNext/>
        <w:spacing w:before="140" w:after="80"/>
        <w:rPr/>
      </w:pPr>
      <w:r>
        <w:rPr>
          <w:b/>
          <w:sz w:val="26"/>
        </w:rPr>
        <w:t>5. Discussion</w:t>
      </w:r>
    </w:p>
    <w:p>
      <w:pPr>
        <w:pStyle w:val="style0"/>
        <w:ind w:firstLine="432"/>
        <w:jc w:val="both"/>
        <w:rPr/>
      </w:pPr>
      <w:r>
        <w:t xml:space="preserve">The findings substantiate the proposition that terrorism and </w:t>
      </w:r>
      <w:r>
        <w:t>armed insecurity should be conceptualised as informational-developmental shocks rather than solely as security events. Its influence on library and information systems is transmitted through multiple, interdependent pathways: physical destruction reduces i</w:t>
      </w:r>
      <w:r>
        <w:t>nstitutional capacity; closure and unsafe mobility interrupt service access; weak ICT infrastructure constrains substitution; personnel instability erodes professional capability; and inadequate preparedness slows recovery. These mechanisms are mutually re</w:t>
      </w:r>
      <w:r>
        <w:t>inforcing and therefore more consequential in combination than in isolation.</w:t>
      </w:r>
    </w:p>
    <w:p>
      <w:pPr>
        <w:pStyle w:val="style0"/>
        <w:ind w:firstLine="432"/>
        <w:jc w:val="both"/>
        <w:rPr/>
      </w:pPr>
      <w:r>
        <w:t>Human Security Theory provides an especially powerful interpretation of this pattern. The loss of information access is not simply an organisational inconvenience. For displaced l</w:t>
      </w:r>
      <w:r>
        <w:t>earners, unemployed youths, researchers, parents, host communities and public-service users, information may shape access to education, livelihood opportunities, humanitarian assistance and civic rights. Terrorism therefore compounds insecurity when it sim</w:t>
      </w:r>
      <w:r>
        <w:t>ultaneously destroys material security and the informational resources required to navigate that insecurity. The library becomes relevant not because it is symbolically valuable, but because access to credible knowledge is itself an element of human capabi</w:t>
      </w:r>
      <w:r>
        <w:t>lity.</w:t>
      </w:r>
    </w:p>
    <w:p>
      <w:pPr>
        <w:pStyle w:val="style0"/>
        <w:ind w:firstLine="432"/>
        <w:jc w:val="both"/>
        <w:rPr/>
      </w:pPr>
      <w:r>
        <w:t>The evidence also exposes an important asymmetry between vulnerability and preparedness. Libraries in conflict-affected regions face risks that are more complex than those confronting many institutions in stable settings, yet the reviewed Nigerian li</w:t>
      </w:r>
      <w:r>
        <w:t xml:space="preserve">terature repeatedly describes weak formal preparedness. This suggests an institutional paradox: the environments with the greatest need for continuity planning may possess the least developed resilience architecture. Garnett's (2019) </w:t>
      </w:r>
      <w:r>
        <w:t>resilience perspective</w:t>
      </w:r>
      <w:r>
        <w:t xml:space="preserve"> is therefore more analytically useful than a narrow emergency-response model because it directs attention toward anticipation, redundancy, adaptation and recovery.</w:t>
      </w:r>
    </w:p>
    <w:p>
      <w:pPr>
        <w:pStyle w:val="style0"/>
        <w:ind w:firstLine="432"/>
        <w:jc w:val="both"/>
        <w:rPr/>
      </w:pPr>
      <w:r>
        <w:t xml:space="preserve">The bar chart in Figure 2 reinforces the evidentiary asymmetry disclosed by the confidence </w:t>
      </w:r>
      <w:r>
        <w:t>matrices. Preparedness and resilience attract the densest concentration of explicit sources, while professional displacement remains comparatively under-measured. The strengthened synthesis also increases the service-delivery and counter-terrorism evidence</w:t>
      </w:r>
      <w:r>
        <w:t xml:space="preserve"> base through recent work on IDP outreach and libraries’ national-security functions. Nevertheless, citation density must not be confused with evidentiary quality: a domain may contain many conceptual papers yet still lack direct causal or prevalence evide</w:t>
      </w:r>
      <w:r>
        <w:t>nce. The methodological implication is that future research should prioritise unanswered high-consequence questions rather than simply reproducing already crowded themes.</w:t>
      </w:r>
    </w:p>
    <w:p>
      <w:pPr>
        <w:pStyle w:val="style0"/>
        <w:ind w:firstLine="432"/>
        <w:jc w:val="both"/>
        <w:rPr/>
      </w:pPr>
      <w:r>
        <w:t>The counter-terrorism literature further enlarges the policy implications. If librari</w:t>
      </w:r>
      <w:r>
        <w:t>es are capable of supporting civic education, information literacy and community information, then protecting them should not be treated as an isolated cultural or educational obligation. Their resilience may contribute to wider societal resilience. Nevert</w:t>
      </w:r>
      <w:r>
        <w:t>heless, this argument requires conceptual restraint. Libraries should not be securitised in ways that compromise privacy, intellectual freedom or public trust. Their comparative advantage lies in trusted information provision, educational continuity and in</w:t>
      </w:r>
      <w:r>
        <w:t>clusive knowledge access, not surveillance or coercion.</w:t>
      </w:r>
    </w:p>
    <w:p>
      <w:pPr>
        <w:pStyle w:val="style0"/>
        <w:jc w:val="both"/>
        <w:rPr/>
      </w:pPr>
      <w:r>
        <w:t>The integrated framework advanced in Figure 1 adds a further explanatory proposition: the developmental effect of conflict exposure is mediated rather than mechanically deterministic. Conflict exposur</w:t>
      </w:r>
      <w:r>
        <w:t>e becomes institutionally catastrophic where it encounters low redundancy, weak professional retention, fragile digital infrastructure, insufficient planning and limited inter-organisational coordination. Conversely, resilience capacities can interrupt the</w:t>
      </w:r>
      <w:r>
        <w:t xml:space="preserve"> progression from exposure to prolonged informational deprivation. This proposition constitutes a testable bridge between Human Security Theory and library resilience: future empirical research can operationalise conflict exposure, resilience capacity and </w:t>
      </w:r>
      <w:r>
        <w:t>LIS developmental outcomes and examine the magnitude of their relationships across zones and institution types.</w:t>
      </w:r>
    </w:p>
    <w:p>
      <w:pPr>
        <w:pStyle w:val="style0"/>
        <w:ind w:firstLine="432"/>
        <w:jc w:val="both"/>
        <w:rPr/>
      </w:pPr>
      <w:r>
        <w:t>The synthesis thus advances a balanced interpretation of library development under insecurity. The immediate objective is institutional survival</w:t>
      </w:r>
      <w:r>
        <w:t xml:space="preserve"> and continuity, but the strategic objective is broader: to build information systems capable of sustaining knowledge access before, during and after disruptive events. Such development requires policy, funding, technology, professional competence and inte</w:t>
      </w:r>
      <w:r>
        <w:t>r-sectoral coordination. It cannot be achieved by isolated library managers operating without governmental and institutional support.</w:t>
      </w:r>
    </w:p>
    <w:p>
      <w:pPr>
        <w:pStyle w:val="style0"/>
        <w:spacing w:before="100" w:after="60"/>
        <w:rPr/>
      </w:pPr>
      <w:r>
        <w:rPr>
          <w:b/>
        </w:rPr>
        <w:t>5.1 Evidentiary limitations and interpretive safeguards</w:t>
      </w:r>
    </w:p>
    <w:p>
      <w:pPr>
        <w:pStyle w:val="style0"/>
        <w:jc w:val="both"/>
        <w:rPr/>
      </w:pPr>
      <w:r>
        <w:t>Three limitations delimit the conclusions of this review. First, t</w:t>
      </w:r>
      <w:r>
        <w:t>he underlying literature is geographically and methodologically uneven: North-East conflict exposure is now better represented by direct library evidence, but state-by-state coverage across the entire northern region remains incomplete. Second, several imp</w:t>
      </w:r>
      <w:r>
        <w:t xml:space="preserve">ortant claims—notably professional displacement and the causal contribution of libraries to counter-insurgency—are supported principally by adjacent, normative or plausibility evidence rather than direct outcome measurement. Third, because the </w:t>
      </w:r>
      <w:r>
        <w:t>review origi</w:t>
      </w:r>
      <w:r>
        <w:t>nated as an integrative narrative synthesis, it cannot retrospectively provide the complete duplicate-removal and screening audit trail expected of a prospectively registered systematic review. These limitations are treated as interpretive boundaries rathe</w:t>
      </w:r>
      <w:r>
        <w:t>r than concealed weaknesses: claims are calibrated to the level of evidence, current humanitarian statistics are used only for contextual exposure, and theoretical propositions are explicitly separated from empirically established findings.</w:t>
      </w:r>
    </w:p>
    <w:p>
      <w:pPr>
        <w:pStyle w:val="style0"/>
        <w:jc w:val="both"/>
        <w:rPr/>
      </w:pPr>
      <w:r>
        <w:t>The resulting s</w:t>
      </w:r>
      <w:r>
        <w:t>afeguard is a principle of evidentiary proportionality: the strength of the language used in the article should not exceed the strength of the evidence available for the specific claim. This principle is especially important in conflict research, where dra</w:t>
      </w:r>
      <w:r>
        <w:t>matic contextual statistics can create an unwarranted impression that every institutional consequence has been directly measured. The present review therefore distinguishes evidence of conflict prevalence from evidence of library impact and distinguishes e</w:t>
      </w:r>
      <w:r>
        <w:t>vidence of institutional capability from evidence of causal security outcomes.</w:t>
      </w:r>
    </w:p>
    <w:p>
      <w:pPr>
        <w:pStyle w:val="style0"/>
        <w:spacing w:before="140" w:after="80"/>
        <w:rPr/>
      </w:pPr>
      <w:r>
        <w:rPr>
          <w:b/>
          <w:sz w:val="26"/>
        </w:rPr>
        <w:t>6. Contribution to Knowledge</w:t>
      </w:r>
    </w:p>
    <w:p>
      <w:pPr>
        <w:pStyle w:val="style0"/>
        <w:jc w:val="both"/>
        <w:rPr/>
      </w:pPr>
      <w:r>
        <w:t xml:space="preserve">This review makes five interrelated contributions to the literature. First, it reconceptualises terrorism and armed insecurity as </w:t>
      </w:r>
      <w:r>
        <w:t>informational-developmental shocks whose consequences extend beyond physical security into the institutional conditions necessary for knowledge preservation, educational continuity, research support and civic capability. In doing so, it shifts library-sect</w:t>
      </w:r>
      <w:r>
        <w:t>or insecurity from the margins of educational-disruption discourse to a substantive problem of human security and development.</w:t>
      </w:r>
    </w:p>
    <w:p>
      <w:pPr>
        <w:pStyle w:val="style0"/>
        <w:jc w:val="both"/>
        <w:rPr/>
      </w:pPr>
      <w:r>
        <w:t>Second, the article consolidates previously fragmented evidence into a four-pathway explanatory architecture comprising infrastru</w:t>
      </w:r>
      <w:r>
        <w:t>cture and collection degradation, information-service discontinuity, professional human-capital erosion and institutional unpreparedness. The value of this synthesis lies not simply in grouping themes but in demonstrating their interdependence: destroyed o</w:t>
      </w:r>
      <w:r>
        <w:t>r inaccessible infrastructure constrains service delivery, weak digital substitution intensifies exclusion, personnel instability diminishes recovery capacity and inadequate preparedness prolongs disruption.</w:t>
      </w:r>
    </w:p>
    <w:p>
      <w:pPr>
        <w:pStyle w:val="style0"/>
        <w:jc w:val="both"/>
        <w:rPr/>
      </w:pPr>
      <w:r>
        <w:t>Third, the article advances the Integrated Confl</w:t>
      </w:r>
      <w:r>
        <w:t>ict–Information Systems Resilience Framework in Figure 1. The framework specifies the transmission mechanisms through which violent insecurity may obstruct LIS development, identifies the organisational capacities capable of moderating those effects and in</w:t>
      </w:r>
      <w:r>
        <w:t>corporates a recovery loop through which libraries can become resilience infrastructure. This provides a conceptually testable model for subsequent quantitative, qualitative and mixed-method inquiry rather than leaving the literature at the level of descri</w:t>
      </w:r>
      <w:r>
        <w:t>ptive association.</w:t>
      </w:r>
    </w:p>
    <w:p>
      <w:pPr>
        <w:pStyle w:val="style0"/>
        <w:jc w:val="both"/>
        <w:rPr/>
      </w:pPr>
      <w:r>
        <w:t>Fourth, the review identifies and names an evidentiary asymmetry that is itself a contribution to research design. Direct evidence is comparatively stronger for preparedness and selected infrastructure questions than for library-specific</w:t>
      </w:r>
      <w:r>
        <w:t xml:space="preserve"> professional displacement, displaced-user experience and zone-by-zone comparative impact. By distinguishing direct, adjacent and comparative evidence, the article clarifies where current conclusions are well-supported and where primary field data are urge</w:t>
      </w:r>
      <w:r>
        <w:t>ntly required.</w:t>
      </w:r>
    </w:p>
    <w:p>
      <w:pPr>
        <w:pStyle w:val="style0"/>
        <w:jc w:val="both"/>
        <w:rPr/>
      </w:pPr>
      <w:r>
        <w:t>Fifth, the article contributes two portable analytical devices: the Terrorism–Information Deprivation Nexus and the Evidence–Claim–Confidence matrix. The first identifies the mechanism through which security shocks can become developmental i</w:t>
      </w:r>
      <w:r>
        <w:t>nformation losses; the second imposes an explicit discipline on the relationship between argument and evidence. Together with the five theoretical propositions, these devices provide a researchable architecture that can be adapted to other conflict-affecte</w:t>
      </w:r>
      <w:r>
        <w:t>d information environments beyond Northern Nigeria.</w:t>
      </w:r>
    </w:p>
    <w:p>
      <w:pPr>
        <w:pStyle w:val="style0"/>
        <w:keepNext/>
        <w:spacing w:before="140" w:after="80"/>
        <w:rPr/>
      </w:pPr>
      <w:r>
        <w:rPr>
          <w:b/>
          <w:sz w:val="26"/>
        </w:rPr>
        <w:t>7. Conclusion and Recommendations</w:t>
      </w:r>
    </w:p>
    <w:p>
      <w:pPr>
        <w:pStyle w:val="style0"/>
        <w:ind w:firstLine="432"/>
        <w:jc w:val="both"/>
        <w:rPr/>
      </w:pPr>
      <w:r>
        <w:t xml:space="preserve">Terrorism, insurgency and related forms of armed insecurity have imposed substantial, though unevenly quantified, costs on library and information systems development in </w:t>
      </w:r>
      <w:r>
        <w:t>Northern Nigeria. The strengthened evidence base now includes direct conflict-affected library data from the North-East, recent large-sample evidence on disaster-control measures, empirical and policy scholarship on information provision to internally disp</w:t>
      </w:r>
      <w:r>
        <w:t>laced persons, and contemporary work on the national-security capabilities of libraries. Collectively, these sources support a differentiated conclusion: physical damage and preparedness deficits are well substantiated; service disruption is credibly suppo</w:t>
      </w:r>
      <w:r>
        <w:t>rted but still insufficiently quantified; professional displacement remains under-measured; and claims that libraries can reduce insurgency should be framed as plausible institutional capabilities rather than established causal effects.</w:t>
      </w:r>
    </w:p>
    <w:p>
      <w:pPr>
        <w:pStyle w:val="style0"/>
        <w:ind w:firstLine="432"/>
        <w:jc w:val="both"/>
        <w:rPr/>
      </w:pPr>
      <w:r>
        <w:t xml:space="preserve">The review further </w:t>
      </w:r>
      <w:r>
        <w:t>demonstrates that libraries possess a dual strategic significance. They are vulnerable knowledge infrastructures requiring protection, but they are also potential contributors to civic resilience, educational recovery, information literacy and post-conflic</w:t>
      </w:r>
      <w:r>
        <w:t>t reconstruction. Policy should therefore move beyond the narrow question of how to secure library buildings and address the wider question of how to sustain trusted information access under conditions of disruption.</w:t>
      </w:r>
    </w:p>
    <w:p>
      <w:pPr>
        <w:pStyle w:val="style0"/>
        <w:jc w:val="both"/>
        <w:rPr/>
      </w:pPr>
      <w:r>
        <w:t xml:space="preserve">To translate these conclusions into an </w:t>
      </w:r>
      <w:r>
        <w:t>implementable institutional agenda, Table 6 aligns the principal vulnerabilities identified in the review with responsible actors, implementation horizons and measurable indicators. The purpose is to move recommendations beyond declarative advocacy towards</w:t>
      </w:r>
      <w:r>
        <w:t xml:space="preserve"> monitorable resilience governance.</w:t>
      </w:r>
    </w:p>
    <w:p>
      <w:pPr>
        <w:pStyle w:val="style0"/>
        <w:spacing w:before="60" w:after="40" w:lineRule="auto" w:line="240"/>
        <w:jc w:val="center"/>
        <w:rPr/>
      </w:pPr>
      <w:r>
        <w:rPr>
          <w:i/>
          <w:sz w:val="20"/>
        </w:rPr>
        <w:t>Table 6. Integrated policy and resilience action framework.</w:t>
      </w:r>
    </w:p>
    <w:tbl>
      <w:tblPr>
        <w:tblStyle w:val="style154"/>
        <w:tblW w:w="0" w:type="auto"/>
        <w:jc w:val="center"/>
        <w:tblLook w:val="04A0" w:firstRow="1" w:lastRow="0" w:firstColumn="1" w:lastColumn="0" w:noHBand="0" w:noVBand="1"/>
      </w:tblPr>
      <w:tblGrid>
        <w:gridCol w:w="1658"/>
        <w:gridCol w:w="2435"/>
        <w:gridCol w:w="2177"/>
        <w:gridCol w:w="1444"/>
        <w:gridCol w:w="2152"/>
      </w:tblGrid>
      <w:tr>
        <w:trPr>
          <w:tblHeader/>
          <w:jc w:val="center"/>
        </w:trPr>
        <w:tc>
          <w:tcPr>
            <w:tcW w:w="1944" w:type="dxa"/>
            <w:tcBorders/>
            <w:tcMar>
              <w:top w:w="55" w:type="dxa"/>
              <w:left w:w="55" w:type="dxa"/>
              <w:bottom w:w="55" w:type="dxa"/>
              <w:right w:w="55" w:type="dxa"/>
            </w:tcMar>
            <w:vAlign w:val="center"/>
          </w:tcPr>
          <w:p>
            <w:pPr>
              <w:pStyle w:val="style0"/>
              <w:spacing w:after="0" w:lineRule="auto" w:line="240"/>
              <w:rPr/>
            </w:pPr>
            <w:r>
              <w:rPr>
                <w:b/>
                <w:color w:val="000000"/>
                <w:sz w:val="14"/>
              </w:rPr>
              <w:t>Priority problem</w:t>
            </w:r>
          </w:p>
        </w:tc>
        <w:tc>
          <w:tcPr>
            <w:tcW w:w="2952" w:type="dxa"/>
            <w:tcBorders/>
            <w:tcMar>
              <w:top w:w="55" w:type="dxa"/>
              <w:left w:w="55" w:type="dxa"/>
              <w:bottom w:w="55" w:type="dxa"/>
              <w:right w:w="55" w:type="dxa"/>
            </w:tcMar>
            <w:vAlign w:val="center"/>
          </w:tcPr>
          <w:p>
            <w:pPr>
              <w:pStyle w:val="style0"/>
              <w:spacing w:after="0" w:lineRule="auto" w:line="240"/>
              <w:rPr/>
            </w:pPr>
            <w:r>
              <w:rPr>
                <w:b/>
                <w:color w:val="000000"/>
                <w:sz w:val="14"/>
              </w:rPr>
              <w:t>Core intervention</w:t>
            </w:r>
          </w:p>
        </w:tc>
        <w:tc>
          <w:tcPr>
            <w:tcW w:w="2520" w:type="dxa"/>
            <w:tcBorders/>
            <w:tcMar>
              <w:top w:w="55" w:type="dxa"/>
              <w:left w:w="55" w:type="dxa"/>
              <w:bottom w:w="55" w:type="dxa"/>
              <w:right w:w="55" w:type="dxa"/>
            </w:tcMar>
            <w:vAlign w:val="center"/>
          </w:tcPr>
          <w:p>
            <w:pPr>
              <w:pStyle w:val="style0"/>
              <w:spacing w:after="0" w:lineRule="auto" w:line="240"/>
              <w:rPr/>
            </w:pPr>
            <w:r>
              <w:rPr>
                <w:b/>
                <w:color w:val="000000"/>
                <w:sz w:val="14"/>
              </w:rPr>
              <w:t>Lead / collaborating actors</w:t>
            </w:r>
          </w:p>
        </w:tc>
        <w:tc>
          <w:tcPr>
            <w:tcW w:w="1584" w:type="dxa"/>
            <w:tcBorders/>
            <w:tcMar>
              <w:top w:w="55" w:type="dxa"/>
              <w:left w:w="55" w:type="dxa"/>
              <w:bottom w:w="55" w:type="dxa"/>
              <w:right w:w="55" w:type="dxa"/>
            </w:tcMar>
            <w:vAlign w:val="center"/>
          </w:tcPr>
          <w:p>
            <w:pPr>
              <w:pStyle w:val="style0"/>
              <w:spacing w:after="0" w:lineRule="auto" w:line="240"/>
              <w:rPr/>
            </w:pPr>
            <w:r>
              <w:rPr>
                <w:b/>
                <w:color w:val="000000"/>
                <w:sz w:val="14"/>
              </w:rPr>
              <w:t>Implementation horizon</w:t>
            </w:r>
          </w:p>
        </w:tc>
        <w:tc>
          <w:tcPr>
            <w:tcW w:w="2520" w:type="dxa"/>
            <w:tcBorders/>
            <w:tcMar>
              <w:top w:w="55" w:type="dxa"/>
              <w:left w:w="55" w:type="dxa"/>
              <w:bottom w:w="55" w:type="dxa"/>
              <w:right w:w="55" w:type="dxa"/>
            </w:tcMar>
            <w:vAlign w:val="center"/>
          </w:tcPr>
          <w:p>
            <w:pPr>
              <w:pStyle w:val="style0"/>
              <w:spacing w:after="0" w:lineRule="auto" w:line="240"/>
              <w:rPr/>
            </w:pPr>
            <w:r>
              <w:rPr>
                <w:b/>
                <w:color w:val="000000"/>
                <w:sz w:val="14"/>
              </w:rPr>
              <w:t>Suggested monitoring indicator</w:t>
            </w:r>
          </w:p>
        </w:tc>
      </w:tr>
      <w:tr>
        <w:tblPrEx/>
        <w:trPr>
          <w:jc w:val="center"/>
        </w:trPr>
        <w:tc>
          <w:tcPr>
            <w:tcW w:w="1944"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Absence of conflict-sensitive continuity </w:t>
            </w:r>
            <w:r>
              <w:rPr>
                <w:color w:val="000000"/>
                <w:sz w:val="14"/>
              </w:rPr>
              <w:t>plans</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Develop, approve and periodically exercise library disaster, evacuation, continuity and recovery plans</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Library authorities; parent institutions; National Library; LRCN; state emergency/security structures</w:t>
            </w:r>
          </w:p>
        </w:tc>
        <w:tc>
          <w:tcPr>
            <w:tcW w:w="1584" w:type="dxa"/>
            <w:tcBorders/>
            <w:tcMar>
              <w:top w:w="55" w:type="dxa"/>
              <w:left w:w="55" w:type="dxa"/>
              <w:bottom w:w="55" w:type="dxa"/>
              <w:right w:w="55" w:type="dxa"/>
            </w:tcMar>
            <w:vAlign w:val="center"/>
          </w:tcPr>
          <w:p>
            <w:pPr>
              <w:pStyle w:val="style0"/>
              <w:spacing w:after="0" w:lineRule="auto" w:line="240"/>
              <w:rPr/>
            </w:pPr>
            <w:r>
              <w:rPr>
                <w:color w:val="000000"/>
                <w:sz w:val="14"/>
              </w:rPr>
              <w:t>Short term</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Proportion of major libraries in c</w:t>
            </w:r>
            <w:r>
              <w:rPr>
                <w:color w:val="000000"/>
                <w:sz w:val="14"/>
              </w:rPr>
              <w:t>onflict-exposed states with approved and tested continuity plans</w:t>
            </w:r>
          </w:p>
        </w:tc>
      </w:tr>
      <w:tr>
        <w:tblPrEx/>
        <w:trPr>
          <w:jc w:val="center"/>
        </w:trPr>
        <w:tc>
          <w:tcPr>
            <w:tcW w:w="1944" w:type="dxa"/>
            <w:tcBorders/>
            <w:tcMar>
              <w:top w:w="55" w:type="dxa"/>
              <w:left w:w="55" w:type="dxa"/>
              <w:bottom w:w="55" w:type="dxa"/>
              <w:right w:w="55" w:type="dxa"/>
            </w:tcMar>
            <w:vAlign w:val="center"/>
          </w:tcPr>
          <w:p>
            <w:pPr>
              <w:pStyle w:val="style0"/>
              <w:spacing w:after="0" w:lineRule="auto" w:line="240"/>
              <w:rPr/>
            </w:pPr>
            <w:r>
              <w:rPr>
                <w:color w:val="000000"/>
                <w:sz w:val="14"/>
              </w:rPr>
              <w:t>Fragile digital continuity</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Deploy redundant backups, offline repositories, low-bandwidth access and alternative reference/service channels</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Libraries; institutional ICT units; funders; </w:t>
            </w:r>
            <w:r>
              <w:rPr>
                <w:color w:val="000000"/>
                <w:sz w:val="14"/>
              </w:rPr>
              <w:t>telecom/technology partners</w:t>
            </w:r>
          </w:p>
        </w:tc>
        <w:tc>
          <w:tcPr>
            <w:tcW w:w="1584" w:type="dxa"/>
            <w:tcBorders/>
            <w:tcMar>
              <w:top w:w="55" w:type="dxa"/>
              <w:left w:w="55" w:type="dxa"/>
              <w:bottom w:w="55" w:type="dxa"/>
              <w:right w:w="55" w:type="dxa"/>
            </w:tcMar>
            <w:vAlign w:val="center"/>
          </w:tcPr>
          <w:p>
            <w:pPr>
              <w:pStyle w:val="style0"/>
              <w:spacing w:after="0" w:lineRule="auto" w:line="240"/>
              <w:rPr/>
            </w:pPr>
            <w:r>
              <w:rPr>
                <w:color w:val="000000"/>
                <w:sz w:val="14"/>
              </w:rPr>
              <w:t>Short to medium term</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Share of priority collections/data with geographically redundant backup and tested recovery procedures</w:t>
            </w:r>
          </w:p>
        </w:tc>
      </w:tr>
      <w:tr>
        <w:tblPrEx/>
        <w:trPr>
          <w:jc w:val="center"/>
        </w:trPr>
        <w:tc>
          <w:tcPr>
            <w:tcW w:w="1944" w:type="dxa"/>
            <w:tcBorders/>
            <w:tcMar>
              <w:top w:w="55" w:type="dxa"/>
              <w:left w:w="55" w:type="dxa"/>
              <w:bottom w:w="55" w:type="dxa"/>
              <w:right w:w="55" w:type="dxa"/>
            </w:tcMar>
            <w:vAlign w:val="center"/>
          </w:tcPr>
          <w:p>
            <w:pPr>
              <w:pStyle w:val="style0"/>
              <w:spacing w:after="0" w:lineRule="auto" w:line="240"/>
              <w:rPr/>
            </w:pPr>
            <w:r>
              <w:rPr>
                <w:color w:val="000000"/>
                <w:sz w:val="14"/>
              </w:rPr>
              <w:t>Professional vulnerability and skill deficits</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Institutionalise staff safety protocols, crisis communica</w:t>
            </w:r>
            <w:r>
              <w:rPr>
                <w:color w:val="000000"/>
                <w:sz w:val="14"/>
              </w:rPr>
              <w:t>tion, disaster-risk training and succession arrangements</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LIS schools; professional associations; employers; institutional security units</w:t>
            </w:r>
          </w:p>
        </w:tc>
        <w:tc>
          <w:tcPr>
            <w:tcW w:w="1584" w:type="dxa"/>
            <w:tcBorders/>
            <w:tcMar>
              <w:top w:w="55" w:type="dxa"/>
              <w:left w:w="55" w:type="dxa"/>
              <w:bottom w:w="55" w:type="dxa"/>
              <w:right w:w="55" w:type="dxa"/>
            </w:tcMar>
            <w:vAlign w:val="center"/>
          </w:tcPr>
          <w:p>
            <w:pPr>
              <w:pStyle w:val="style0"/>
              <w:spacing w:after="0" w:lineRule="auto" w:line="240"/>
              <w:rPr/>
            </w:pPr>
            <w:r>
              <w:rPr>
                <w:color w:val="000000"/>
                <w:sz w:val="14"/>
              </w:rPr>
              <w:t>Medium term</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Percentage of staff completing resilience/security training and institutions with documented staff-continui</w:t>
            </w:r>
            <w:r>
              <w:rPr>
                <w:color w:val="000000"/>
                <w:sz w:val="14"/>
              </w:rPr>
              <w:t>ty protocols</w:t>
            </w:r>
          </w:p>
        </w:tc>
      </w:tr>
      <w:tr>
        <w:tblPrEx/>
        <w:trPr>
          <w:jc w:val="center"/>
        </w:trPr>
        <w:tc>
          <w:tcPr>
            <w:tcW w:w="1944" w:type="dxa"/>
            <w:tcBorders/>
            <w:tcMar>
              <w:top w:w="55" w:type="dxa"/>
              <w:left w:w="55" w:type="dxa"/>
              <w:bottom w:w="55" w:type="dxa"/>
              <w:right w:w="55" w:type="dxa"/>
            </w:tcMar>
            <w:vAlign w:val="center"/>
          </w:tcPr>
          <w:p>
            <w:pPr>
              <w:pStyle w:val="style0"/>
              <w:spacing w:after="0" w:lineRule="auto" w:line="240"/>
              <w:rPr/>
            </w:pPr>
            <w:r>
              <w:rPr>
                <w:color w:val="000000"/>
                <w:sz w:val="14"/>
              </w:rPr>
              <w:t>Information exclusion among IDPs and host communities</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Create mobile, community-based and humanitarian information-service partnerships</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National Library; public libraries; humanitarian agencies; NGOs; local authorities</w:t>
            </w:r>
          </w:p>
        </w:tc>
        <w:tc>
          <w:tcPr>
            <w:tcW w:w="1584" w:type="dxa"/>
            <w:tcBorders/>
            <w:tcMar>
              <w:top w:w="55" w:type="dxa"/>
              <w:left w:w="55" w:type="dxa"/>
              <w:bottom w:w="55" w:type="dxa"/>
              <w:right w:w="55" w:type="dxa"/>
            </w:tcMar>
            <w:vAlign w:val="center"/>
          </w:tcPr>
          <w:p>
            <w:pPr>
              <w:pStyle w:val="style0"/>
              <w:spacing w:after="0" w:lineRule="auto" w:line="240"/>
              <w:rPr/>
            </w:pPr>
            <w:r>
              <w:rPr>
                <w:color w:val="000000"/>
                <w:sz w:val="14"/>
              </w:rPr>
              <w:t>Short to medium term</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Num</w:t>
            </w:r>
            <w:r>
              <w:rPr>
                <w:color w:val="000000"/>
                <w:sz w:val="14"/>
              </w:rPr>
              <w:t>ber and reach of conflict-affected communities receiving structured library/information support</w:t>
            </w:r>
          </w:p>
        </w:tc>
      </w:tr>
      <w:tr>
        <w:tblPrEx/>
        <w:trPr>
          <w:jc w:val="center"/>
        </w:trPr>
        <w:tc>
          <w:tcPr>
            <w:tcW w:w="1944" w:type="dxa"/>
            <w:tcBorders/>
            <w:tcMar>
              <w:top w:w="55" w:type="dxa"/>
              <w:left w:w="55" w:type="dxa"/>
              <w:bottom w:w="55" w:type="dxa"/>
              <w:right w:w="55" w:type="dxa"/>
            </w:tcMar>
            <w:vAlign w:val="center"/>
          </w:tcPr>
          <w:p>
            <w:pPr>
              <w:pStyle w:val="style0"/>
              <w:spacing w:after="0" w:lineRule="auto" w:line="240"/>
              <w:rPr/>
            </w:pPr>
            <w:r>
              <w:rPr>
                <w:color w:val="000000"/>
                <w:sz w:val="14"/>
              </w:rPr>
              <w:t>Peripheral role of libraries in recovery and peacebuilding</w:t>
            </w:r>
          </w:p>
        </w:tc>
        <w:tc>
          <w:tcPr>
            <w:tcW w:w="2952" w:type="dxa"/>
            <w:tcBorders/>
            <w:tcMar>
              <w:top w:w="55" w:type="dxa"/>
              <w:left w:w="55" w:type="dxa"/>
              <w:bottom w:w="55" w:type="dxa"/>
              <w:right w:w="55" w:type="dxa"/>
            </w:tcMar>
            <w:vAlign w:val="center"/>
          </w:tcPr>
          <w:p>
            <w:pPr>
              <w:pStyle w:val="style0"/>
              <w:spacing w:after="0" w:lineRule="auto" w:line="240"/>
              <w:rPr/>
            </w:pPr>
            <w:r>
              <w:rPr>
                <w:color w:val="000000"/>
                <w:sz w:val="14"/>
              </w:rPr>
              <w:t xml:space="preserve">Integrate ethical library-based information literacy, civic education and educational continuity </w:t>
            </w:r>
            <w:r>
              <w:rPr>
                <w:color w:val="000000"/>
                <w:sz w:val="14"/>
              </w:rPr>
              <w:t>into recovery frameworks</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Education and information ministries; libraries; professional bodies; civil-society partners</w:t>
            </w:r>
          </w:p>
        </w:tc>
        <w:tc>
          <w:tcPr>
            <w:tcW w:w="1584" w:type="dxa"/>
            <w:tcBorders/>
            <w:tcMar>
              <w:top w:w="55" w:type="dxa"/>
              <w:left w:w="55" w:type="dxa"/>
              <w:bottom w:w="55" w:type="dxa"/>
              <w:right w:w="55" w:type="dxa"/>
            </w:tcMar>
            <w:vAlign w:val="center"/>
          </w:tcPr>
          <w:p>
            <w:pPr>
              <w:pStyle w:val="style0"/>
              <w:spacing w:after="0" w:lineRule="auto" w:line="240"/>
              <w:rPr/>
            </w:pPr>
            <w:r>
              <w:rPr>
                <w:color w:val="000000"/>
                <w:sz w:val="14"/>
              </w:rPr>
              <w:t>Medium to long term</w:t>
            </w:r>
          </w:p>
        </w:tc>
        <w:tc>
          <w:tcPr>
            <w:tcW w:w="2520" w:type="dxa"/>
            <w:tcBorders/>
            <w:tcMar>
              <w:top w:w="55" w:type="dxa"/>
              <w:left w:w="55" w:type="dxa"/>
              <w:bottom w:w="55" w:type="dxa"/>
              <w:right w:w="55" w:type="dxa"/>
            </w:tcMar>
            <w:vAlign w:val="center"/>
          </w:tcPr>
          <w:p>
            <w:pPr>
              <w:pStyle w:val="style0"/>
              <w:spacing w:after="0" w:lineRule="auto" w:line="240"/>
              <w:rPr/>
            </w:pPr>
            <w:r>
              <w:rPr>
                <w:color w:val="000000"/>
                <w:sz w:val="14"/>
              </w:rPr>
              <w:t>Formal inclusion of LIS interventions in state/national recovery, DRR or peacebuilding plans</w:t>
            </w:r>
          </w:p>
        </w:tc>
      </w:tr>
    </w:tbl>
    <w:p>
      <w:pPr>
        <w:pStyle w:val="style0"/>
        <w:spacing w:after="80" w:lineRule="auto" w:line="240"/>
        <w:jc w:val="both"/>
        <w:rPr/>
      </w:pPr>
      <w:r>
        <w:rPr>
          <w:i/>
          <w:sz w:val="19"/>
        </w:rPr>
        <w:t xml:space="preserve">Note: Indicators are </w:t>
      </w:r>
      <w:r>
        <w:rPr>
          <w:i/>
          <w:sz w:val="19"/>
        </w:rPr>
        <w:t>proposed monitoring measures derived from the review and require adaptation to institutional mandates, baseline capacity and security conditions.</w:t>
      </w:r>
    </w:p>
    <w:p>
      <w:pPr>
        <w:pStyle w:val="style0"/>
        <w:ind w:firstLine="432"/>
        <w:jc w:val="both"/>
        <w:rPr/>
      </w:pPr>
      <w:r>
        <w:t>First, federal, state and institutional authorities should require conflict-sensitive disaster-preparedness an</w:t>
      </w:r>
      <w:r>
        <w:t xml:space="preserve">d continuity plans for public, academic and other major libraries in conflict-exposed areas. Such plans should specify staff responsibilities, evacuation procedures, collection protection, data backup, alternative service channels, emergency communication </w:t>
      </w:r>
      <w:r>
        <w:t>and post-event recovery arrangements.</w:t>
      </w:r>
    </w:p>
    <w:p>
      <w:pPr>
        <w:pStyle w:val="style0"/>
        <w:ind w:firstLine="432"/>
        <w:jc w:val="both"/>
        <w:rPr/>
      </w:pPr>
      <w:r>
        <w:t>Second, investment should prioritise resilient and proportionate digital infrastructure. Offline repositories, cloud or geographically redundant backups, low-bandwidth platforms, mobile library services and remote refe</w:t>
      </w:r>
      <w:r>
        <w:t>rence mechanisms can reduce the informational consequences of physical closure where connectivity and funding constraints are carefully considered.</w:t>
      </w:r>
    </w:p>
    <w:p>
      <w:pPr>
        <w:pStyle w:val="style0"/>
        <w:ind w:firstLine="432"/>
        <w:jc w:val="both"/>
        <w:rPr/>
      </w:pPr>
      <w:r>
        <w:t>Third, library and information science curricula and continuing professional-development programmes should i</w:t>
      </w:r>
      <w:r>
        <w:t>ncorporate disaster risk reduction, security awareness, crisis communication, digital continuity, humanitarian information provision and community resilience. Professional competence must extend beyond routine librarianship to the capacities required for o</w:t>
      </w:r>
      <w:r>
        <w:t>perating information institutions in fragile environments.</w:t>
      </w:r>
    </w:p>
    <w:p>
      <w:pPr>
        <w:pStyle w:val="style0"/>
        <w:ind w:firstLine="432"/>
        <w:jc w:val="both"/>
        <w:rPr/>
      </w:pPr>
      <w:r>
        <w:t>Fourth, the National Library of Nigeria, professional associations and humanitarian agencies should develop a coordinated framework for information services to internally displaced persons and host</w:t>
      </w:r>
      <w:r>
        <w:t xml:space="preserve"> communities. The framework should address education, health, livelihoods, legal rights, family information and other high-priority needs through partnerships with local libraries, schools, NGOs and community organisations.</w:t>
      </w:r>
    </w:p>
    <w:p>
      <w:pPr>
        <w:pStyle w:val="style0"/>
        <w:ind w:firstLine="432"/>
        <w:jc w:val="both"/>
        <w:rPr/>
      </w:pPr>
      <w:r>
        <w:t>Fifth, libraries should be incor</w:t>
      </w:r>
      <w:r>
        <w:t>porated into broader peacebuilding and national information-resilience strategies in a manner consistent with professional ethics. Their contribution should centre on credible information dissemination, media and information literacy, civic education, pres</w:t>
      </w:r>
      <w:r>
        <w:t>ervation of community memory and educational continuity rather than coercive security functions.</w:t>
      </w:r>
    </w:p>
    <w:p>
      <w:pPr>
        <w:pStyle w:val="style0"/>
        <w:jc w:val="both"/>
        <w:rPr/>
      </w:pPr>
      <w:r>
        <w:t>Sixth, future reviews and evidence syntheses in this domain should maintain an auditable search log from inception, including database-specific search strings,</w:t>
      </w:r>
      <w:r>
        <w:t xml:space="preserve"> search dates, duplicate removal, screening decisions and explicit source-quality appraisal. Such documentation would permit subsequent scholarship to progress from integrative narrative synthesis towards reproducible systematic review where the expansion </w:t>
      </w:r>
      <w:r>
        <w:t>of the evidence base makes that transition methodologically appropriate.</w:t>
      </w:r>
    </w:p>
    <w:p>
      <w:pPr>
        <w:pStyle w:val="style0"/>
        <w:ind w:firstLine="432"/>
        <w:jc w:val="both"/>
        <w:rPr/>
      </w:pPr>
      <w:r>
        <w:t>Finally, future empirical research should directly measure the dimensions that the current literature leaves unresolved. Cross-sectional and mixed-method studies across the North-East</w:t>
      </w:r>
      <w:r>
        <w:t>, North-West and North-Central zones should examine personnel displacement, institutional closure, service interruption, user information needs, digital continuity and recovery experience among librarians, information officers, IDPs and host-community user</w:t>
      </w:r>
      <w:r>
        <w:t>s. Such field-based evidence is necessary to move the discourse from plausible inference to measurable policy intelligence.</w:t>
      </w:r>
    </w:p>
    <w:p>
      <w:pPr>
        <w:pStyle w:val="style0"/>
        <w:keepNext/>
        <w:spacing w:before="140" w:after="80"/>
        <w:rPr/>
      </w:pPr>
      <w:r>
        <w:rPr>
          <w:b/>
          <w:sz w:val="26"/>
        </w:rPr>
        <w:t>References</w:t>
      </w:r>
    </w:p>
    <w:p>
      <w:pPr>
        <w:pStyle w:val="style0"/>
        <w:spacing w:after="80" w:lineRule="auto" w:line="240"/>
        <w:ind w:left="360" w:hanging="360"/>
        <w:rPr/>
      </w:pPr>
      <w:r>
        <w:rPr>
          <w:sz w:val="21"/>
        </w:rPr>
        <w:t>Abbas, A. I., Wakili, S. G., &amp; Raji, R. B. (2023). The impacts of Boko Haram insurgency on educational infrastructure and</w:t>
      </w:r>
      <w:r>
        <w:rPr>
          <w:sz w:val="21"/>
        </w:rPr>
        <w:t xml:space="preserve"> facilities in North-East Nigeria. Global Journal of Arts Humanity and Social Sciences, 3(3), 217–225.</w:t>
      </w:r>
    </w:p>
    <w:p>
      <w:pPr>
        <w:pStyle w:val="style0"/>
        <w:spacing w:after="80" w:lineRule="auto" w:line="240"/>
        <w:ind w:left="360" w:hanging="360"/>
        <w:rPr/>
      </w:pPr>
      <w:r>
        <w:rPr>
          <w:sz w:val="21"/>
        </w:rPr>
        <w:t>Abdullahi, M. A., Garba, S. M., &amp; Saad, A. K. (2025). Evaluating the extent of destruction to library infrastructures and collections in conflict affecte</w:t>
      </w:r>
      <w:r>
        <w:rPr>
          <w:sz w:val="21"/>
        </w:rPr>
        <w:t>d areas of North East Nigeria. Library and Information Management Forum, 27(1&amp;2), 303–312.</w:t>
      </w:r>
    </w:p>
    <w:p>
      <w:pPr>
        <w:pStyle w:val="style0"/>
        <w:spacing w:after="80" w:lineRule="auto" w:line="240"/>
        <w:ind w:left="360" w:hanging="360"/>
        <w:rPr/>
      </w:pPr>
      <w:r>
        <w:rPr>
          <w:sz w:val="21"/>
        </w:rPr>
        <w:t>Abubakar, B. M. (2013). Poverty alleviation through strategic public library services in Nigeria in the 21st century: A model. IFLA Journal, 39(1), 4–14.</w:t>
      </w:r>
    </w:p>
    <w:p>
      <w:pPr>
        <w:pStyle w:val="style0"/>
        <w:spacing w:after="80" w:lineRule="auto" w:line="240"/>
        <w:ind w:left="360" w:hanging="360"/>
        <w:rPr/>
      </w:pPr>
      <w:r>
        <w:rPr>
          <w:sz w:val="21"/>
        </w:rPr>
        <w:t>Abubakar, M</w:t>
      </w:r>
      <w:r>
        <w:rPr>
          <w:sz w:val="21"/>
        </w:rPr>
        <w:t>. K. (2022). Identifying an analytical framework to assess the determinants of ICT adoption in libraries and its implications for teaching and learning during insecurity. Library Philosophy and Practice, 7446.</w:t>
      </w:r>
    </w:p>
    <w:p>
      <w:pPr>
        <w:pStyle w:val="style0"/>
        <w:spacing w:after="80" w:lineRule="auto" w:line="240"/>
        <w:ind w:left="360" w:hanging="360"/>
        <w:rPr/>
      </w:pPr>
      <w:r>
        <w:rPr>
          <w:sz w:val="21"/>
        </w:rPr>
        <w:t xml:space="preserve">Ahenkorah-Marfo, M., &amp; Borteye, E. M. (2010). </w:t>
      </w:r>
      <w:r>
        <w:rPr>
          <w:sz w:val="21"/>
        </w:rPr>
        <w:t>Disaster preparedness in academic libraries: The case of the Kwame Nkrumah University of Science and Technology Library, Kumasi, Ghana. Library &amp; Archival Security, 23(2), 117–136. https://doi.org/10.1080/01960075.2010.501417</w:t>
      </w:r>
    </w:p>
    <w:p>
      <w:pPr>
        <w:pStyle w:val="style0"/>
        <w:spacing w:after="80" w:lineRule="auto" w:line="240"/>
        <w:ind w:left="360" w:hanging="360"/>
        <w:rPr/>
      </w:pPr>
      <w:r>
        <w:rPr>
          <w:sz w:val="21"/>
        </w:rPr>
        <w:t xml:space="preserve">Aromataris, E., Lockwood, C., </w:t>
      </w:r>
      <w:r>
        <w:rPr>
          <w:sz w:val="21"/>
        </w:rPr>
        <w:t>Porritt, K., Pilla, B., &amp; Jordan, Z. (Eds.). (2024). JBI Manual for Evidence Synthesis. JBI.</w:t>
      </w:r>
    </w:p>
    <w:p>
      <w:pPr>
        <w:pStyle w:val="style0"/>
        <w:spacing w:after="80" w:lineRule="auto" w:line="240"/>
        <w:ind w:left="360" w:hanging="360"/>
        <w:rPr/>
      </w:pPr>
      <w:r>
        <w:rPr>
          <w:sz w:val="21"/>
        </w:rPr>
        <w:t>Ayoung, A. D., Boatbil, C. S., &amp; Baada, F. N. (2021). Disaster preparedness of libraries: Insights from polytechnic librarians in Ghana. Information Development, 3</w:t>
      </w:r>
      <w:r>
        <w:rPr>
          <w:sz w:val="21"/>
        </w:rPr>
        <w:t>7(2).</w:t>
      </w:r>
    </w:p>
    <w:p>
      <w:pPr>
        <w:pStyle w:val="style0"/>
        <w:spacing w:after="80" w:lineRule="auto" w:line="240"/>
        <w:ind w:left="360" w:hanging="360"/>
        <w:rPr/>
      </w:pPr>
      <w:r>
        <w:rPr>
          <w:sz w:val="21"/>
        </w:rPr>
        <w:t>Bilyaminu, M., Iya, I. B., &amp; Purokayo, S. G. (2017). Analysis of the impact of Boko Haram insurgency on education in Adamawa State, Nigeria. International Journal of Academic Research and Reflection, 5(6), 45–56.</w:t>
      </w:r>
    </w:p>
    <w:p>
      <w:pPr>
        <w:pStyle w:val="style0"/>
        <w:spacing w:after="80" w:lineRule="auto" w:line="240"/>
        <w:ind w:left="360" w:hanging="360"/>
        <w:rPr/>
      </w:pPr>
      <w:r>
        <w:rPr>
          <w:sz w:val="21"/>
        </w:rPr>
        <w:t xml:space="preserve">Echezona, R., Asogwa, B. E., &amp; </w:t>
      </w:r>
      <w:r>
        <w:rPr>
          <w:sz w:val="21"/>
        </w:rPr>
        <w:t>Chigbu, E. (2016). Level of preparedness for prevention against terrorism in libraries: Implications for librarians in Nigeria. Injury Prevention, 22(Suppl. 2), A287.3–A288. https://doi.org/10.1136/injuryprev-2016-042156.804</w:t>
      </w:r>
    </w:p>
    <w:p>
      <w:pPr>
        <w:pStyle w:val="style0"/>
        <w:spacing w:after="80" w:lineRule="auto" w:line="240"/>
        <w:ind w:left="360" w:hanging="360"/>
        <w:rPr/>
      </w:pPr>
      <w:r>
        <w:t xml:space="preserve">Emmanuel, J., Yusufari, A. G., </w:t>
      </w:r>
      <w:r>
        <w:t>&amp; Chuga, J. F. (2025). Impact of Boko Haram insurgency on governance and socio-economic development in Borno State, Nigeria. International Journal of Education, Culture, and Society, 3(2), 510–522. https://doi.org/10.58578/ijecs.v3i2.5573</w:t>
      </w:r>
    </w:p>
    <w:p>
      <w:pPr>
        <w:pStyle w:val="style0"/>
        <w:spacing w:after="80" w:lineRule="auto" w:line="240"/>
        <w:ind w:left="360" w:hanging="360"/>
        <w:rPr/>
      </w:pPr>
      <w:r>
        <w:rPr>
          <w:sz w:val="21"/>
        </w:rPr>
        <w:t xml:space="preserve">Eneasato, O. E., </w:t>
      </w:r>
      <w:r>
        <w:rPr>
          <w:sz w:val="21"/>
        </w:rPr>
        <w:t>&amp; Jidere, U. J. (2024). Library services to the internally displaced persons (IDPs) in Nigeria between years 2010–2020: Advocacy for inclusion of outreach programs. International Journal of Information Resource Management, 1(1), 1–14.</w:t>
      </w:r>
    </w:p>
    <w:p>
      <w:pPr>
        <w:pStyle w:val="style0"/>
        <w:spacing w:after="80" w:lineRule="auto" w:line="240"/>
        <w:ind w:left="360" w:hanging="360"/>
        <w:rPr/>
      </w:pPr>
      <w:r>
        <w:rPr>
          <w:sz w:val="21"/>
        </w:rPr>
        <w:t>Esse, U. C., Fagbohun</w:t>
      </w:r>
      <w:r>
        <w:rPr>
          <w:sz w:val="21"/>
        </w:rPr>
        <w:t>, M. O., Youngharry, I., Furfuri, I. M. M., Ilo, P. I., &amp; Omeje, M. (2022). Public libraries in danger: An investigation into disaster management readiness among public libraries in North West Nigeria. Biblios, 84, 13–31. https://doi.org/10.5195/biblios.20</w:t>
      </w:r>
      <w:r>
        <w:rPr>
          <w:sz w:val="21"/>
        </w:rPr>
        <w:t>22.1022</w:t>
      </w:r>
    </w:p>
    <w:p>
      <w:pPr>
        <w:pStyle w:val="style0"/>
        <w:spacing w:after="80" w:lineRule="auto" w:line="240"/>
        <w:ind w:left="360" w:hanging="360"/>
        <w:rPr/>
      </w:pPr>
      <w:r>
        <w:rPr>
          <w:sz w:val="21"/>
        </w:rPr>
        <w:t>Garnett, J. (2019). Academic libraries—changing the approach: Resilience building against disruptive events and contribution to Disaster Risk Reduction Framework. New Review of Academic Librarianship. https://doi.org/10.1080/13614533.2019.1703767</w:t>
      </w:r>
    </w:p>
    <w:p>
      <w:pPr>
        <w:pStyle w:val="style0"/>
        <w:spacing w:after="80" w:lineRule="auto" w:line="240"/>
        <w:ind w:left="360" w:hanging="360"/>
        <w:rPr/>
      </w:pPr>
      <w:r>
        <w:rPr>
          <w:sz w:val="21"/>
        </w:rPr>
        <w:t>I</w:t>
      </w:r>
      <w:r>
        <w:rPr>
          <w:sz w:val="21"/>
        </w:rPr>
        <w:t>fijeh, G., Idiegbeyan-Ose, J., Iwu-James, J., &amp; Esse, U. (2018). Supporting the fight against terrorism: A proposal for public library services provision for internally displaced persons in North-East Nigeria. Public Library Quarterly. https://doi.org/10.1</w:t>
      </w:r>
      <w:r>
        <w:rPr>
          <w:sz w:val="21"/>
        </w:rPr>
        <w:t>080/01616846.2018.1513288</w:t>
      </w:r>
    </w:p>
    <w:p>
      <w:pPr>
        <w:pStyle w:val="style0"/>
        <w:spacing w:after="80" w:lineRule="auto" w:line="240"/>
        <w:ind w:left="360" w:hanging="360"/>
        <w:rPr/>
      </w:pPr>
      <w:r>
        <w:rPr>
          <w:sz w:val="21"/>
        </w:rPr>
        <w:t>Institute for Economics &amp; Peace. (2024). Global Terrorism Index 2024: Measuring the impact of terrorism. Institute for Economics &amp; Peace.</w:t>
      </w:r>
    </w:p>
    <w:p>
      <w:pPr>
        <w:pStyle w:val="style0"/>
        <w:spacing w:after="80" w:lineRule="auto" w:line="240"/>
        <w:ind w:left="360" w:hanging="360"/>
        <w:rPr/>
      </w:pPr>
      <w:r>
        <w:rPr>
          <w:sz w:val="21"/>
        </w:rPr>
        <w:t>International Organization for Migration. (2025a). Nigeria—North-East Displacement Report, R</w:t>
      </w:r>
      <w:r>
        <w:rPr>
          <w:sz w:val="21"/>
        </w:rPr>
        <w:t>ound 51 (October 2025). Displacement Tracking Matrix.</w:t>
      </w:r>
    </w:p>
    <w:p>
      <w:pPr>
        <w:pStyle w:val="style0"/>
        <w:spacing w:after="80" w:lineRule="auto" w:line="240"/>
        <w:ind w:left="360" w:hanging="360"/>
        <w:rPr/>
      </w:pPr>
      <w:r>
        <w:rPr>
          <w:sz w:val="21"/>
        </w:rPr>
        <w:t>International Organization for Migration. (2025b). Nigeria—North-Central and North-West Zones Site Assessment, Round 18 (October 2025). Displacement Tracking Matrix.</w:t>
      </w:r>
    </w:p>
    <w:p>
      <w:pPr>
        <w:pStyle w:val="style0"/>
        <w:spacing w:after="80" w:lineRule="auto" w:line="240"/>
        <w:ind w:left="360" w:hanging="360"/>
        <w:rPr/>
      </w:pPr>
      <w:r>
        <w:rPr>
          <w:sz w:val="21"/>
        </w:rPr>
        <w:t>Iroeze, P. C. (2021). Level of disas</w:t>
      </w:r>
      <w:r>
        <w:rPr>
          <w:sz w:val="21"/>
        </w:rPr>
        <w:t>ter management preparedness by library staff in academic libraries: The experience of academic libraries in South Eastern State, Nigeria. Library Philosophy and Practice, 6689.</w:t>
      </w:r>
    </w:p>
    <w:p>
      <w:pPr>
        <w:pStyle w:val="style0"/>
        <w:spacing w:after="80" w:lineRule="auto" w:line="240"/>
        <w:ind w:left="360" w:hanging="360"/>
        <w:rPr/>
      </w:pPr>
      <w:r>
        <w:rPr>
          <w:sz w:val="21"/>
        </w:rPr>
        <w:t>Kostagiolas, P., Araka, I., Theodorou, R., &amp; Bokos, G. (2011). Disaster managem</w:t>
      </w:r>
      <w:r>
        <w:rPr>
          <w:sz w:val="21"/>
        </w:rPr>
        <w:t>ent approaches for academic libraries: An issue not to be neglected in Greece. Library Management, 32(8/9), 516–530. https://doi.org/10.1108/01435121111187888</w:t>
      </w:r>
    </w:p>
    <w:p>
      <w:pPr>
        <w:pStyle w:val="style0"/>
        <w:spacing w:after="80" w:lineRule="auto" w:line="240"/>
        <w:ind w:left="360" w:hanging="360"/>
        <w:rPr/>
      </w:pPr>
      <w:r>
        <w:rPr>
          <w:sz w:val="21"/>
        </w:rPr>
        <w:t>Lawal, V. (2016). Library services to internally displaced persons (IDPs): Strategies for more pr</w:t>
      </w:r>
      <w:r>
        <w:rPr>
          <w:sz w:val="21"/>
        </w:rPr>
        <w:t>oactive approach by public libraries in Nigeria. In Perspectives on Libraries as Institutions of Human Rights and Social Justice (Advances in Librarianship, Vol. 41, pp. 93–117). Emerald Group Publishing. https://doi.org/10.1108/S0065-283020160000041005</w:t>
      </w:r>
    </w:p>
    <w:p>
      <w:pPr>
        <w:pStyle w:val="style0"/>
        <w:spacing w:after="80" w:lineRule="auto" w:line="240"/>
        <w:ind w:left="360" w:hanging="360"/>
        <w:rPr/>
      </w:pPr>
      <w:r>
        <w:rPr>
          <w:sz w:val="21"/>
        </w:rPr>
        <w:t>Ma</w:t>
      </w:r>
      <w:r>
        <w:rPr>
          <w:sz w:val="21"/>
        </w:rPr>
        <w:t>kinde, O. B., &amp; Maimako, D. (2026). Availability, awareness and the use of disaster control measures by the staff of federal university libraries in north-east Nigeria. Journal of Librarianship and Information Science, 58(2). https://doi.org/10.1177/096100</w:t>
      </w:r>
      <w:r>
        <w:rPr>
          <w:sz w:val="21"/>
        </w:rPr>
        <w:t>06251335024</w:t>
      </w:r>
    </w:p>
    <w:p>
      <w:pPr>
        <w:pStyle w:val="style0"/>
        <w:spacing w:after="80" w:lineRule="auto" w:line="240"/>
        <w:ind w:left="360" w:hanging="360"/>
        <w:rPr/>
      </w:pPr>
      <w:r>
        <w:rPr>
          <w:sz w:val="21"/>
        </w:rPr>
        <w:t>Mngutyo, J., Angbande, D. P., &amp; Gbuushi, J. A. (2020). Engaging the government in library services for sustainable national development: The case of public library and information systems in Nigeria. International Journal of Research and Innova</w:t>
      </w:r>
      <w:r>
        <w:rPr>
          <w:sz w:val="21"/>
        </w:rPr>
        <w:t>tion in Social Science, 4(9), 70–74.</w:t>
      </w:r>
    </w:p>
    <w:p>
      <w:pPr>
        <w:pStyle w:val="style0"/>
        <w:spacing w:after="80" w:lineRule="auto" w:line="240"/>
        <w:ind w:left="360" w:hanging="360"/>
        <w:rPr/>
      </w:pPr>
      <w:r>
        <w:rPr>
          <w:sz w:val="21"/>
        </w:rPr>
        <w:t>Nsirim, O., Clement-Abraham, C., &amp; Ajie, A. (2024). Enhancing national security and combating insurgency in Nigeria: The role of the library. Southern African Journal of Security, 2, 1–16. https://doi.org/10.25159/3005-</w:t>
      </w:r>
      <w:r>
        <w:rPr>
          <w:sz w:val="21"/>
        </w:rPr>
        <w:t>4222/15742</w:t>
      </w:r>
    </w:p>
    <w:p>
      <w:pPr>
        <w:pStyle w:val="style0"/>
        <w:spacing w:after="80" w:lineRule="auto" w:line="240"/>
        <w:ind w:left="360" w:hanging="360"/>
        <w:rPr/>
      </w:pPr>
      <w:r>
        <w:rPr>
          <w:sz w:val="21"/>
        </w:rPr>
        <w:t>Nwokedi, G. I., Panle, P. P., &amp; Samuel, N. (2017). Disaster management and preparedness: A case study of University of Jos Library. Library Philosophy &amp; Practice, 1–23.</w:t>
      </w:r>
    </w:p>
    <w:p>
      <w:pPr>
        <w:pStyle w:val="style0"/>
        <w:spacing w:after="80" w:lineRule="auto" w:line="240"/>
        <w:ind w:left="360" w:hanging="360"/>
        <w:rPr/>
      </w:pPr>
      <w:r>
        <w:rPr>
          <w:sz w:val="21"/>
        </w:rPr>
        <w:t xml:space="preserve">Ogugua, U. J., &amp; Ikeagwuani, J. A. (2024). Combating terrorism to promote </w:t>
      </w:r>
      <w:r>
        <w:rPr>
          <w:sz w:val="21"/>
        </w:rPr>
        <w:t>national security in Nigeria: Libraries. Library Philosophy and Practice, 8185.</w:t>
      </w:r>
    </w:p>
    <w:p>
      <w:pPr>
        <w:pStyle w:val="style0"/>
        <w:spacing w:after="80" w:lineRule="auto" w:line="240"/>
        <w:ind w:left="360" w:hanging="360"/>
        <w:rPr/>
      </w:pPr>
      <w:r>
        <w:rPr>
          <w:sz w:val="21"/>
        </w:rPr>
        <w:t>Ossai-Ugbah, N. B. (2013). The role of the library and librarians in promoting national security in Nigeria. Academic Journal of Interdisciplinary Studies, 2(2), 99. https://do</w:t>
      </w:r>
      <w:r>
        <w:rPr>
          <w:sz w:val="21"/>
        </w:rPr>
        <w:t>i.org/10.5901/ajis.2013.v2n2p99</w:t>
      </w:r>
    </w:p>
    <w:p>
      <w:pPr>
        <w:pStyle w:val="style0"/>
        <w:spacing w:after="80" w:lineRule="auto" w:line="240"/>
        <w:ind w:left="360" w:hanging="360"/>
        <w:rPr/>
      </w:pPr>
      <w:r>
        <w:rPr>
          <w:sz w:val="21"/>
        </w:rPr>
        <w:t>Page, M. J., McKenzie, J. E., Bossuyt, P. M., Boutron, I., Hoffmann, T. C., Mulrow, C. D., Shamseer, L., Tetzlaff, J. M., Akl, E. A., Brennan, S. E., Chou, R., Glanville, J., Grimshaw, J. M., Hróbjartsson, A., Lalu, M. M., L</w:t>
      </w:r>
      <w:r>
        <w:rPr>
          <w:sz w:val="21"/>
        </w:rPr>
        <w:t>i, T., Loder, E. W., Mayo-Wilson, E., McDonald, S., … Moher, D. (2021). The PRISMA 2020 statement: An updated guideline for reporting systematic reviews. BMJ, 372, n71. https://doi.org/10.1136/bmj.n71</w:t>
      </w:r>
    </w:p>
    <w:p>
      <w:pPr>
        <w:pStyle w:val="style0"/>
        <w:spacing w:after="80" w:lineRule="auto" w:line="240"/>
        <w:ind w:left="360" w:hanging="360"/>
        <w:rPr/>
      </w:pPr>
      <w:r>
        <w:rPr>
          <w:sz w:val="21"/>
        </w:rPr>
        <w:t>United Nations Development Programme. (1994). Human Dev</w:t>
      </w:r>
      <w:r>
        <w:rPr>
          <w:sz w:val="21"/>
        </w:rPr>
        <w:t>elopment Report 1994: New Dimensions of Human Security. Oxford University Press.</w:t>
      </w:r>
    </w:p>
    <w:sectPr>
      <w:footerReference w:type="default" r:id="rId4"/>
      <w:pgSz w:w="12240" w:h="15840" w:orient="portrait"/>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MS Mincho">
    <w:altName w:val="MS Gothic"/>
    <w:panose1 w:val="02020609040002080304"/>
    <w:charset w:val="80"/>
    <w:family w:val="roman"/>
    <w:pitch w:val="fixed"/>
    <w:sig w:usb0="00000000" w:usb1="08070000" w:usb2="00000010" w:usb3="00000000" w:csb0="00020000" w:csb1="00000000"/>
  </w:font>
  <w:font w:name="Calibri">
    <w:altName w:val="Calibri"/>
    <w:panose1 w:val="020f0502020002030204"/>
    <w:charset w:val="00"/>
    <w:family w:val="swiss"/>
    <w:pitch w:val="variable"/>
    <w:sig w:usb0="E4002EFF" w:usb1="C000247B" w:usb2="00000009" w:usb3="00000000" w:csb0="000001FF" w:csb1="00000000"/>
  </w:font>
  <w:font w:name="MS Gothic">
    <w:altName w:val="ＭＳ ゴシック"/>
    <w:panose1 w:val="020b0609070002080204"/>
    <w:charset w:val="80"/>
    <w:family w:val="modern"/>
    <w:pitch w:val="fixed"/>
    <w:sig w:usb0="E00002FF" w:usb1="6AC7FDFB" w:usb2="08000012" w:usb3="00000000" w:csb0="0002009F" w:csb1="00000000"/>
  </w:font>
  <w:font w:name="Courier">
    <w:altName w:val="Courier"/>
    <w:panose1 w:val="02070409020002020404"/>
    <w:charset w:val="00"/>
    <w:family w:val="modern"/>
    <w:pitch w:val="fixed"/>
    <w:sig w:usb0="00000003" w:usb1="00000000" w:usb2="00000000" w:usb3="00000000" w:csb0="00000001" w:csb1="00000000"/>
  </w:font>
  <w:font w:name="ＭＳ 明朝">
    <w:altName w:val=""/>
    <w:panose1 w:val="00000000000000000000"/>
    <w:charset w:val="00"/>
    <w:family w:val="auto"/>
    <w:pitch w:val="default"/>
    <w:sig w:usb0="E0002AFF" w:usb1="C0007841" w:usb2="00000009" w:usb3="00000000" w:csb0="000001FF" w:csb1="00000000"/>
  </w:font>
  <w:font w:name="ＭＳ ゴシック">
    <w:altName w:val=""/>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PAGE</w:instrText>
    </w:r>
    <w:r>
      <w:rPr/>
      <w:fldChar w:fldCharType="separate"/>
    </w:r>
    <w:r>
      <w:rPr>
        <w:noProof/>
      </w:rPr>
      <w:t>1</w:t>
    </w:r>
    <w:r>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120"/>
    </w:pPr>
    <w:rPr>
      <w:rFonts w:ascii="Times New Roman" w:eastAsia="Times New Roman" w:hAnsi="Times New Roman"/>
      <w:sz w:val="24"/>
    </w:rPr>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23ee1c1-a9f8-4ffe-9691-0fce0be213a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164faad-6fc3-4bdc-a82a-2908cee86048"/>
    <w:basedOn w:val="style65"/>
    <w:next w:val="style4098"/>
    <w:link w:val="style32"/>
    <w:uiPriority w:val="99"/>
  </w:style>
  <w:style w:type="paragraph" w:styleId="style157">
    <w:name w:val="No Spacing"/>
    <w:next w:val="style157"/>
    <w:qFormat/>
    <w:uiPriority w:val="1"/>
    <w:pPr>
      <w:spacing w:after="0" w:lineRule="auto" w:line="240"/>
    </w:pPr>
    <w:rPr/>
  </w:style>
  <w:style w:type="character" w:customStyle="1" w:styleId="style4099">
    <w:name w:val="Heading 1 Char_3a99cfb7-f60a-4817-8925-7c03bd568501"/>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3834d7f4-8775-43dd-b836-8b8012d42756"/>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e4e4e2f9-cb9c-430f-a676-42ed5f6ea3c9"/>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14e6be6d-795a-44f1-b4ef-e6e9dfdcbcd6"/>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ind w:left="360"/>
      <w:contextualSpacing/>
    </w:pPr>
    <w:rPr/>
  </w:style>
  <w:style w:type="paragraph" w:styleId="style69">
    <w:name w:val="List Continue 2"/>
    <w:basedOn w:val="style0"/>
    <w:next w:val="style69"/>
    <w:uiPriority w:val="99"/>
    <w:pPr>
      <w:ind w:left="720"/>
      <w:contextualSpacing/>
    </w:pPr>
    <w:rPr/>
  </w:style>
  <w:style w:type="paragraph" w:styleId="style70">
    <w:name w:val="List Continue 3"/>
    <w:basedOn w:val="style0"/>
    <w:next w:val="style70"/>
    <w:uiPriority w:val="99"/>
    <w:pPr>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0ca269e1-462b-43d5-a42c-3cf71a2024f0"/>
    <w:basedOn w:val="style65"/>
    <w:next w:val="style4108"/>
    <w:link w:val="style180"/>
    <w:uiPriority w:val="29"/>
    <w:rPr>
      <w:i/>
      <w:iCs/>
      <w:color w:val="000000"/>
    </w:rPr>
  </w:style>
  <w:style w:type="character" w:customStyle="1" w:styleId="style4109">
    <w:name w:val="Heading 4 Char_c83b9f50-788f-4f5c-939f-760f04265fb3"/>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12bc4344-61b5-4b59-bb9d-eb8f34f0a234"/>
    <w:basedOn w:val="style65"/>
    <w:next w:val="style4110"/>
    <w:link w:val="style5"/>
    <w:uiPriority w:val="9"/>
    <w:rPr>
      <w:rFonts w:ascii="Calibri" w:cs="宋体" w:eastAsia="ＭＳ ゴシック" w:hAnsi="Calibri"/>
      <w:color w:val="243f60"/>
    </w:rPr>
  </w:style>
  <w:style w:type="character" w:customStyle="1" w:styleId="style4111">
    <w:name w:val="Heading 6 Char_01f06ac4-e295-46aa-b973-b9d8afeb0ddb"/>
    <w:basedOn w:val="style65"/>
    <w:next w:val="style4111"/>
    <w:link w:val="style6"/>
    <w:uiPriority w:val="9"/>
    <w:rPr>
      <w:rFonts w:ascii="Calibri" w:cs="宋体" w:eastAsia="ＭＳ ゴシック" w:hAnsi="Calibri"/>
      <w:i/>
      <w:iCs/>
      <w:color w:val="243f60"/>
    </w:rPr>
  </w:style>
  <w:style w:type="character" w:customStyle="1" w:styleId="style4112">
    <w:name w:val="Heading 7 Char_24918a93-39b9-4604-814e-f8c2d3f5d419"/>
    <w:basedOn w:val="style65"/>
    <w:next w:val="style4112"/>
    <w:link w:val="style7"/>
    <w:uiPriority w:val="9"/>
    <w:rPr>
      <w:rFonts w:ascii="Calibri" w:cs="宋体" w:eastAsia="ＭＳ ゴシック" w:hAnsi="Calibri"/>
      <w:i/>
      <w:iCs/>
      <w:color w:val="404040"/>
    </w:rPr>
  </w:style>
  <w:style w:type="character" w:customStyle="1" w:styleId="style4113">
    <w:name w:val="Heading 8 Char_5f4f3183-de47-4a6f-ad8f-9aae079225f7"/>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d29417e4-70bf-4458-b393-4136c68615ec"/>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111d84fb-497e-4743-89fd-62bb6ce5017c"/>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Borders>
        <w:top w:val="single" w:sz="8" w:space="0" w:color="4f81bd"/>
        <w:bottom w:val="single" w:sz="8" w:space="0" w:color="4f81bd"/>
      </w:tblBorders>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Borders>
        <w:top w:val="single" w:sz="8" w:space="0" w:color="c0504d"/>
        <w:bottom w:val="single" w:sz="8" w:space="0" w:color="c0504d"/>
      </w:tblBorders>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Borders>
        <w:top w:val="single" w:sz="8" w:space="0" w:color="9bbb59"/>
        <w:bottom w:val="single" w:sz="8" w:space="0" w:color="9bbb59"/>
      </w:tblBorders>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Borders>
        <w:top w:val="single" w:sz="8" w:space="0" w:color="8064a2"/>
        <w:bottom w:val="single" w:sz="8" w:space="0" w:color="8064a2"/>
      </w:tblBorders>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Borders>
        <w:top w:val="single" w:sz="8" w:space="0" w:color="4bacc6"/>
        <w:bottom w:val="single" w:sz="8" w:space="0" w:color="4bacc6"/>
      </w:tblBorders>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Borders>
        <w:top w:val="single" w:sz="8" w:space="0" w:color="f79646"/>
        <w:bottom w:val="single" w:sz="8" w:space="0" w:color="f79646"/>
      </w:tblBorders>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shd w:val="clear" w:color="auto" w:fill="000000"/>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shd w:val="clear" w:color="auto" w:fill="4f81b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shd w:val="clear" w:color="auto" w:fill="c0504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shd w:val="clear" w:color="auto" w:fill="9bbb59"/>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shd w:val="clear" w:color="auto" w:fill="8064a2"/>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shd w:val="clear" w:color="auto" w:fill="4bacc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shd w:val="clear" w:color="auto" w:fill="f7964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shd w:val="clear" w:color="auto" w:fill="e6e6e6"/>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shd w:val="clear" w:color="auto" w:fill="edf2f8"/>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shd w:val="clear" w:color="auto" w:fill="f8eded"/>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shd w:val="clear" w:color="auto" w:fill="f5f8ee"/>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shd w:val="clear" w:color="auto" w:fill="f2eff6"/>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shd w:val="clear" w:color="auto" w:fill="edf6f9"/>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shd w:val="clear" w:color="auto" w:fill="fef4ec"/>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9B9AC-8897-4ED3-AF68-D5D634DB5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10019</Words>
  <Pages>23</Pages>
  <Characters>71170</Characters>
  <Application>WPS Office</Application>
  <DocSecurity>0</DocSecurity>
  <Paragraphs>439</Paragraphs>
  <ScaleCrop>false</ScaleCrop>
  <LinksUpToDate>false</LinksUpToDate>
  <CharactersWithSpaces>80758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2026-08-11T15:04:00Z</dcterms:created>
  <dc:creator>python-docx</dc:creator>
  <dc:description>generated by python-docx</dc:description>
  <lastModifiedBy>SM-A135F</lastModifiedBy>
  <dcterms:modified xsi:type="dcterms:W3CDTF">2026-10-11T18:37:29Z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29687ccc5ed14abf992c2bb4b13d6335</vt:lpwstr>
  </property>
</Properties>
</file>