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mc:Ignorable="w14 wp14 ">
  <w:body>
    <w:p w14:paraId="00000001">
      <w:pPr>
        <w:pStyle w:val="Heading1"/>
        <w:spacing w:line="360" w:lineRule="auto"/>
        <w:jc w:val="center"/>
        <w:rPr>
          <w:rFonts w:ascii="Times New Roman" w:cs="Times New Roman" w:hAnsi="Times New Roman"/>
          <w:sz w:val="24"/>
          <w:szCs w:val="24"/>
        </w:rPr>
      </w:pPr>
      <w:bookmarkStart w:id="0" w:name="X6d79ae65afa5d49ae68fd9d1ee42dd3d67ccb78"/>
      <w:r>
        <w:rPr>
          <w:rFonts w:ascii="Times New Roman" w:cs="Times New Roman" w:hAnsi="Times New Roman"/>
          <w:sz w:val="24"/>
          <w:szCs w:val="24"/>
        </w:rPr>
        <w:t>Challenges Faced by Lecturers and Students in Accessing and Using Open Access Materials in Colleges of Education in Osun State, Nigeria</w:t>
      </w:r>
    </w:p>
    <w:p w14:paraId="00000002">
      <w:pPr>
        <w:pStyle w:val="FirstParagraph"/>
        <w:spacing w:line="360" w:lineRule="auto"/>
        <w:jc w:val="center"/>
        <w:rPr>
          <w:rFonts w:ascii="Times New Roman" w:cs="Times New Roman" w:hAnsi="Times New Roman"/>
        </w:rPr>
      </w:pPr>
      <w:r>
        <w:rPr>
          <w:rFonts w:ascii="Times New Roman" w:cs="Times New Roman" w:hAnsi="Times New Roman"/>
        </w:rPr>
        <w:t>Salami Ayo</w:t>
      </w:r>
      <w:r>
        <w:rPr>
          <w:rFonts w:ascii="Times New Roman" w:cs="Times New Roman" w:hAnsi="Times New Roman"/>
        </w:rPr>
        <w:t>,</w:t>
      </w:r>
      <w:r>
        <w:rPr>
          <w:rFonts w:ascii="Times New Roman" w:cs="Times New Roman" w:hAnsi="Times New Roman"/>
        </w:rPr>
        <w:t xml:space="preserve"> </w:t>
      </w:r>
      <w:r>
        <w:rPr>
          <w:rFonts w:ascii="Times New Roman" w:cs="Times New Roman" w:hAnsi="Times New Roman"/>
        </w:rPr>
        <w:t>Okediji</w:t>
      </w:r>
      <w:r>
        <w:rPr>
          <w:rFonts w:ascii="Times New Roman" w:cs="Times New Roman" w:hAnsi="Times New Roman"/>
        </w:rPr>
        <w:t xml:space="preserve"> </w:t>
      </w:r>
      <w:r>
        <w:rPr>
          <w:rFonts w:ascii="Times New Roman" w:cs="Times New Roman" w:hAnsi="Times New Roman"/>
        </w:rPr>
        <w:t>Oyekanmi</w:t>
      </w:r>
      <w:r>
        <w:rPr>
          <w:rFonts w:ascii="Times New Roman" w:cs="Times New Roman" w:hAnsi="Times New Roman"/>
        </w:rPr>
        <w:br w:type="textWrapping"/>
      </w:r>
      <w:r>
        <w:rPr>
          <w:rFonts w:ascii="Times New Roman" w:cs="Times New Roman" w:hAnsi="Times New Roman"/>
        </w:rPr>
        <w:t>Library and Information Science</w:t>
      </w:r>
      <w:r>
        <w:rPr>
          <w:rFonts w:ascii="Times New Roman" w:cs="Times New Roman" w:hAnsi="Times New Roman"/>
        </w:rPr>
        <w:t xml:space="preserve"> Unit</w:t>
      </w:r>
      <w:r>
        <w:rPr>
          <w:rFonts w:ascii="Times New Roman" w:cs="Times New Roman" w:hAnsi="Times New Roman"/>
        </w:rPr>
        <w:t>, Federal College of Education, Iwo, Osun State, Nigeria</w:t>
      </w:r>
    </w:p>
    <w:p w14:paraId="00000003">
      <w:pPr>
        <w:pStyle w:val="BodyText"/>
        <w:spacing w:line="360" w:lineRule="auto"/>
        <w:jc w:val="center"/>
        <w:rPr>
          <w:rFonts w:ascii="Times New Roman" w:cs="Times New Roman" w:hAnsi="Times New Roman"/>
        </w:rPr>
      </w:pPr>
      <w:bookmarkStart w:id="1" w:name="_GoBack"/>
      <w:bookmarkEnd w:id="1"/>
      <w:r>
        <w:rPr>
          <w:rFonts w:ascii="Times New Roman" w:cs="Times New Roman" w:hAnsi="Times New Roman"/>
          <w:i/>
          <w:iCs/>
        </w:rPr>
        <w:t>C</w:t>
      </w:r>
      <w:r>
        <w:rPr>
          <w:rFonts w:ascii="Times New Roman" w:cs="Times New Roman" w:hAnsi="Times New Roman"/>
          <w:i/>
          <w:iCs/>
        </w:rPr>
        <w:t>orresponding Author: salamia@fceiwo.edu.ng</w:t>
      </w:r>
    </w:p>
    <w:p w14:paraId="00000004">
      <w:pPr>
        <w:spacing w:line="360" w:lineRule="auto"/>
        <w:rPr>
          <w:rFonts w:ascii="Times New Roman" w:cs="Times New Roman" w:hAnsi="Times New Roman"/>
        </w:rPr>
      </w:pPr>
    </w:p>
    <w:p w14:paraId="00000005">
      <w:pPr>
        <w:pStyle w:val="Heading2"/>
        <w:spacing w:line="360" w:lineRule="auto"/>
        <w:rPr>
          <w:rFonts w:ascii="Times New Roman" w:cs="Times New Roman" w:hAnsi="Times New Roman"/>
          <w:sz w:val="24"/>
          <w:szCs w:val="24"/>
        </w:rPr>
      </w:pPr>
      <w:bookmarkStart w:id="2" w:name="abstract"/>
      <w:r>
        <w:rPr>
          <w:rFonts w:ascii="Times New Roman" w:cs="Times New Roman" w:hAnsi="Times New Roman"/>
          <w:sz w:val="24"/>
          <w:szCs w:val="24"/>
        </w:rPr>
        <w:t>ABSTRACT</w:t>
      </w:r>
    </w:p>
    <w:p w14:paraId="00000006">
      <w:pPr>
        <w:pStyle w:val="FirstParagraph"/>
        <w:spacing w:before="0"/>
        <w:jc w:val="both"/>
        <w:rPr>
          <w:rFonts w:ascii="Times New Roman" w:cs="Times New Roman" w:hAnsi="Times New Roman"/>
        </w:rPr>
      </w:pPr>
      <w:r>
        <w:rPr>
          <w:rFonts w:ascii="Times New Roman" w:cs="Times New Roman" w:hAnsi="Times New Roman"/>
        </w:rPr>
        <w:t xml:space="preserve">Open Access (OA) has become a paradigm shift in terms of scholarly communication because it does not require subscription fees or makes academic content more accessible to scholars. The use of Open Access materials in the Nigerian Colleges of Education is less than ideal though it was adopted on a global basis. In this research, the researcher attempts to explore the problems associated with accessing and using Open Access materials by lecturers and students in some Colleges of Education within Osun State, Nigeria. The research design that was adopted was a descriptive survey research design, whereby structured questionnaires, interviews, and observation were to be used. Four hundred and twenty respondents (420) including lecturers and students of five NCCE-approved Colleges of Education were used to collect data. The quantitative data were analyzed using descriptive statistics and the qualitative data were analyzed using </w:t>
      </w:r>
      <w:r>
        <w:rPr>
          <w:rFonts w:ascii="Times New Roman" w:cs="Times New Roman" w:hAnsi="Times New Roman"/>
        </w:rPr>
        <w:t>thematics</w:t>
      </w:r>
      <w:r>
        <w:rPr>
          <w:rFonts w:ascii="Times New Roman" w:cs="Times New Roman" w:hAnsi="Times New Roman"/>
        </w:rPr>
        <w:t>. The results showed that there was moderate knowledge of OA resources, a poor ICT infrastructure, weak internet connectivity, low digital literacy, and wrong beliefs about the credibility of OA publications as key problems. The paper concludes by arguing that although Open Access materials have a great potential in enhancing teaching, learning and research, barriers in their implementation are encountered at the institutional and infrastructural level. Strategies suggested are; improving ICT infrastructure, better user education and drafting institutional Open Access policies to encou</w:t>
      </w:r>
      <w:r>
        <w:rPr>
          <w:rFonts w:ascii="Times New Roman" w:cs="Times New Roman" w:hAnsi="Times New Roman"/>
        </w:rPr>
        <w:t>rage sustainable access and use</w:t>
      </w:r>
      <w:r>
        <w:rPr>
          <w:rFonts w:ascii="Times New Roman" w:cs="Times New Roman" w:hAnsi="Times New Roman"/>
        </w:rPr>
        <w:t>.</w:t>
      </w:r>
    </w:p>
    <w:p w14:paraId="00000007">
      <w:pPr>
        <w:pStyle w:val="BodyText"/>
        <w:spacing w:line="360" w:lineRule="auto"/>
        <w:rPr>
          <w:rFonts w:ascii="Times New Roman" w:cs="Times New Roman" w:hAnsi="Times New Roman"/>
        </w:rPr>
      </w:pPr>
      <w:r>
        <w:rPr>
          <w:rFonts w:ascii="Times New Roman" w:cs="Times New Roman" w:hAnsi="Times New Roman"/>
          <w:b/>
          <w:bCs/>
        </w:rPr>
        <w:t>Keywords:</w:t>
      </w:r>
      <w:r>
        <w:rPr>
          <w:rFonts w:ascii="Times New Roman" w:cs="Times New Roman" w:hAnsi="Times New Roman"/>
        </w:rPr>
        <w:t xml:space="preserve"> Open Access, Academic Libraries, Digital Literacy, Colleges of Education, Nigeria</w:t>
      </w:r>
    </w:p>
    <w:p w14:paraId="00000008">
      <w:pPr>
        <w:pStyle w:val="Heading2"/>
        <w:spacing w:line="360" w:lineRule="auto"/>
        <w:rPr>
          <w:rFonts w:ascii="Times New Roman" w:cs="Times New Roman" w:hAnsi="Times New Roman"/>
          <w:sz w:val="24"/>
          <w:szCs w:val="24"/>
        </w:rPr>
      </w:pPr>
      <w:bookmarkEnd w:id="2"/>
      <w:bookmarkStart w:id="3" w:name="background-of-the-study"/>
      <w:r>
        <w:rPr>
          <w:rFonts w:ascii="Times New Roman" w:cs="Times New Roman" w:hAnsi="Times New Roman"/>
          <w:sz w:val="24"/>
          <w:szCs w:val="24"/>
        </w:rPr>
        <w:t>1. Background of the Study</w:t>
      </w:r>
    </w:p>
    <w:p w14:paraId="00000009">
      <w:pPr>
        <w:pStyle w:val="BodyText"/>
        <w:spacing w:line="360" w:lineRule="auto"/>
        <w:jc w:val="both"/>
        <w:rPr>
          <w:rFonts w:ascii="Times New Roman" w:cs="Times New Roman" w:hAnsi="Times New Roman"/>
        </w:rPr>
      </w:pPr>
      <w:r>
        <w:rPr>
          <w:rFonts w:ascii="Times New Roman" w:cs="Times New Roman" w:hAnsi="Times New Roman"/>
        </w:rPr>
        <w:t>The rapid pace of the development of information and communication technologies (ICTs) has significantly changed the context of academic communication, transforming the process of academic knowledge creation, distribution, and accessibility on the global level (</w:t>
      </w:r>
      <w:r>
        <w:rPr>
          <w:rFonts w:ascii="Times New Roman" w:cs="Times New Roman" w:hAnsi="Times New Roman"/>
        </w:rPr>
        <w:t>Suber</w:t>
      </w:r>
      <w:r>
        <w:rPr>
          <w:rFonts w:ascii="Times New Roman" w:cs="Times New Roman" w:hAnsi="Times New Roman"/>
        </w:rPr>
        <w:t xml:space="preserve">, 2012; </w:t>
      </w:r>
      <w:r>
        <w:rPr>
          <w:rFonts w:ascii="Times New Roman" w:cs="Times New Roman" w:hAnsi="Times New Roman"/>
        </w:rPr>
        <w:t>Tenopir</w:t>
      </w:r>
      <w:r>
        <w:rPr>
          <w:rFonts w:ascii="Times New Roman" w:cs="Times New Roman" w:hAnsi="Times New Roman"/>
        </w:rPr>
        <w:t xml:space="preserve"> et al., 2017). One of the main outcomes of this development is the Open Access (OA) movement that promotes the provision of free, unrestricted online access to scholarly literature free of monetary, legal, or technical barriers. As the world grows to increase the volume of research and the associated rise in journal subscription costs, the need to access credible </w:t>
      </w:r>
      <w:r>
        <w:rPr>
          <w:rFonts w:ascii="Times New Roman" w:cs="Times New Roman" w:hAnsi="Times New Roman"/>
        </w:rPr>
        <w:t>academic materials fairly has become even more acute, especially in developing countries with limited access to institutional funds (Chan et al., 2019). Although Open Access claims to be more visible, inclusivity and speedy sharing of knowledge, its adoption and successful use by many African higher-education institutions has not been uniform enough hence raising an issue of inequality in access and research marginalization (</w:t>
      </w:r>
      <w:r>
        <w:rPr>
          <w:rFonts w:ascii="Times New Roman" w:cs="Times New Roman" w:hAnsi="Times New Roman"/>
        </w:rPr>
        <w:t>Ezema</w:t>
      </w:r>
      <w:r>
        <w:rPr>
          <w:rFonts w:ascii="Times New Roman" w:cs="Times New Roman" w:hAnsi="Times New Roman"/>
        </w:rPr>
        <w:t>, </w:t>
      </w:r>
      <w:r>
        <w:rPr>
          <w:rFonts w:ascii="Times New Roman" w:cs="Times New Roman" w:hAnsi="Times New Roman"/>
        </w:rPr>
        <w:t xml:space="preserve">2013; </w:t>
      </w:r>
      <w:r>
        <w:rPr>
          <w:rFonts w:ascii="Times New Roman" w:cs="Times New Roman" w:hAnsi="Times New Roman"/>
        </w:rPr>
        <w:t>Akpojotor</w:t>
      </w:r>
      <w:r>
        <w:rPr>
          <w:rFonts w:ascii="Times New Roman" w:cs="Times New Roman" w:hAnsi="Times New Roman"/>
        </w:rPr>
        <w:t> &amp; </w:t>
      </w:r>
      <w:r>
        <w:rPr>
          <w:rFonts w:ascii="Times New Roman" w:cs="Times New Roman" w:hAnsi="Times New Roman"/>
        </w:rPr>
        <w:t>Ekuerhare</w:t>
      </w:r>
      <w:r>
        <w:rPr>
          <w:rFonts w:ascii="Times New Roman" w:cs="Times New Roman" w:hAnsi="Times New Roman"/>
        </w:rPr>
        <w:t>, 2024).</w:t>
      </w:r>
    </w:p>
    <w:p w14:paraId="0000000A">
      <w:pPr>
        <w:pStyle w:val="BodyText"/>
        <w:spacing w:line="360" w:lineRule="auto"/>
        <w:jc w:val="both"/>
        <w:rPr>
          <w:rFonts w:ascii="Times New Roman" w:cs="Times New Roman" w:hAnsi="Times New Roman"/>
        </w:rPr>
      </w:pPr>
      <w:r>
        <w:rPr>
          <w:rFonts w:ascii="Times New Roman" w:cs="Times New Roman" w:hAnsi="Times New Roman"/>
        </w:rPr>
        <w:t xml:space="preserve">Open Access is a term that describes the free, instant, and unlimited access to scholarly research work on the open internet allowing users to read, download, copy, share, and re-use the content on the condition that proper reference is made (Budapest Open Access Initiative, 2002; </w:t>
      </w:r>
      <w:r>
        <w:rPr>
          <w:rFonts w:ascii="Times New Roman" w:cs="Times New Roman" w:hAnsi="Times New Roman"/>
        </w:rPr>
        <w:t>Suber</w:t>
      </w:r>
      <w:r>
        <w:rPr>
          <w:rFonts w:ascii="Times New Roman" w:cs="Times New Roman" w:hAnsi="Times New Roman"/>
        </w:rPr>
        <w:t>, 2012). In educational institutions, more so Colleges of Education, OA plays a central strategic role in supporting curriculum development, evidence-based pedagogy, and research. The faculty members use modern academic publications to update the instructional materials and to increase the productivity of the research, while students use the academic resources to complete the coursework, projects, and independent learning. The existing evidence suggests that the efficient use of Open Access resources contributes to an increase in research visibility, higher academic productivity, the reduction of costs on education, and the distribution of knowledge on the global level (</w:t>
      </w:r>
      <w:r>
        <w:rPr>
          <w:rFonts w:ascii="Times New Roman" w:cs="Times New Roman" w:hAnsi="Times New Roman"/>
        </w:rPr>
        <w:t>Piwowar</w:t>
      </w:r>
      <w:r>
        <w:rPr>
          <w:rFonts w:ascii="Times New Roman" w:cs="Times New Roman" w:hAnsi="Times New Roman"/>
        </w:rPr>
        <w:t xml:space="preserve"> et al., 2018; </w:t>
      </w:r>
      <w:r>
        <w:rPr>
          <w:rFonts w:ascii="Times New Roman" w:cs="Times New Roman" w:hAnsi="Times New Roman"/>
        </w:rPr>
        <w:t>Akpojotor</w:t>
      </w:r>
      <w:r>
        <w:rPr>
          <w:rFonts w:ascii="Times New Roman" w:cs="Times New Roman" w:hAnsi="Times New Roman"/>
        </w:rPr>
        <w:t xml:space="preserve"> and </w:t>
      </w:r>
      <w:r>
        <w:rPr>
          <w:rFonts w:ascii="Times New Roman" w:cs="Times New Roman" w:hAnsi="Times New Roman"/>
        </w:rPr>
        <w:t>Ekuerhare</w:t>
      </w:r>
      <w:r>
        <w:rPr>
          <w:rFonts w:ascii="Times New Roman" w:cs="Times New Roman" w:hAnsi="Times New Roman"/>
        </w:rPr>
        <w:t>, 2024). However, these strengths are conditional on the availability of sufficient infrastructure, knowledge,</w:t>
      </w:r>
      <w:r>
        <w:rPr>
          <w:rFonts w:ascii="Times New Roman" w:cs="Times New Roman" w:hAnsi="Times New Roman"/>
        </w:rPr>
        <w:t xml:space="preserve"> and computer literacy of users</w:t>
      </w:r>
      <w:r>
        <w:rPr>
          <w:rFonts w:ascii="Times New Roman" w:cs="Times New Roman" w:hAnsi="Times New Roman"/>
        </w:rPr>
        <w:t>.</w:t>
      </w:r>
    </w:p>
    <w:p w14:paraId="0000000B">
      <w:pPr>
        <w:pStyle w:val="BodyText"/>
        <w:spacing w:line="360" w:lineRule="auto"/>
        <w:jc w:val="both"/>
        <w:rPr>
          <w:rFonts w:ascii="Times New Roman" w:cs="Times New Roman" w:hAnsi="Times New Roman"/>
        </w:rPr>
      </w:pPr>
      <w:r>
        <w:rPr>
          <w:rFonts w:ascii="Times New Roman" w:cs="Times New Roman" w:hAnsi="Times New Roman"/>
        </w:rPr>
        <w:t xml:space="preserve">In spite of its potential, several empirical reports indicate the existence of a myriad of obstacles that limit Open Access (OA) implementation in Nigerian institutions of higher learning. According to </w:t>
      </w:r>
      <w:r>
        <w:rPr>
          <w:rFonts w:ascii="Times New Roman" w:cs="Times New Roman" w:hAnsi="Times New Roman"/>
        </w:rPr>
        <w:t>Ezema</w:t>
      </w:r>
      <w:r>
        <w:rPr>
          <w:rFonts w:ascii="Times New Roman" w:cs="Times New Roman" w:hAnsi="Times New Roman"/>
        </w:rPr>
        <w:t xml:space="preserve"> and </w:t>
      </w:r>
      <w:r>
        <w:rPr>
          <w:rFonts w:ascii="Times New Roman" w:cs="Times New Roman" w:hAnsi="Times New Roman"/>
        </w:rPr>
        <w:t>Eze</w:t>
      </w:r>
      <w:r>
        <w:rPr>
          <w:rFonts w:ascii="Times New Roman" w:cs="Times New Roman" w:hAnsi="Times New Roman"/>
        </w:rPr>
        <w:t xml:space="preserve"> (2024), the main obstacles to the use of OA include poor internet connectivity, inadequate and bad information and communication technology (ICT) infrastructure, and lack of institutional support. On the same note, </w:t>
      </w:r>
      <w:r>
        <w:rPr>
          <w:rFonts w:ascii="Times New Roman" w:cs="Times New Roman" w:hAnsi="Times New Roman"/>
        </w:rPr>
        <w:t>Osisanwo</w:t>
      </w:r>
      <w:r>
        <w:rPr>
          <w:rFonts w:ascii="Times New Roman" w:cs="Times New Roman" w:hAnsi="Times New Roman"/>
        </w:rPr>
        <w:t xml:space="preserve">, </w:t>
      </w:r>
      <w:r>
        <w:rPr>
          <w:rFonts w:ascii="Times New Roman" w:cs="Times New Roman" w:hAnsi="Times New Roman"/>
        </w:rPr>
        <w:t>Simisaye</w:t>
      </w:r>
      <w:r>
        <w:rPr>
          <w:rFonts w:ascii="Times New Roman" w:cs="Times New Roman" w:hAnsi="Times New Roman"/>
        </w:rPr>
        <w:t xml:space="preserve">, and </w:t>
      </w:r>
      <w:r>
        <w:rPr>
          <w:rFonts w:ascii="Times New Roman" w:cs="Times New Roman" w:hAnsi="Times New Roman"/>
        </w:rPr>
        <w:t>Idowu</w:t>
      </w:r>
      <w:r>
        <w:rPr>
          <w:rFonts w:ascii="Times New Roman" w:cs="Times New Roman" w:hAnsi="Times New Roman"/>
        </w:rPr>
        <w:t xml:space="preserve"> (2023) note that poor faculty and student digital literacy significantly hinders the use of OA resources. Along with the infrastructural limitations, the issues of credibility and quality of OA publications, which are further aggravated by the spread of predatory journals, have only contributed to the distrust of OA resources, which, in turn, has deterred academic usage (Shen and Bjork, 2015; </w:t>
      </w:r>
      <w:r>
        <w:rPr>
          <w:rFonts w:ascii="Times New Roman" w:cs="Times New Roman" w:hAnsi="Times New Roman"/>
        </w:rPr>
        <w:t>Espen</w:t>
      </w:r>
      <w:r>
        <w:rPr>
          <w:rFonts w:ascii="Times New Roman" w:cs="Times New Roman" w:hAnsi="Times New Roman"/>
        </w:rPr>
        <w:t xml:space="preserve"> and Henrik, 2024). Even though such studies are insightful, they largely focus on universities; there is a contextual gap as far as Colleges of Education are concerned.</w:t>
      </w:r>
    </w:p>
    <w:p w14:paraId="0000000C">
      <w:pPr>
        <w:pStyle w:val="BodyText"/>
        <w:spacing w:line="360" w:lineRule="auto"/>
        <w:jc w:val="both"/>
        <w:rPr>
          <w:rFonts w:ascii="Times New Roman" w:cs="Times New Roman" w:hAnsi="Times New Roman"/>
        </w:rPr>
      </w:pPr>
      <w:r>
        <w:rPr>
          <w:rFonts w:ascii="Times New Roman" w:cs="Times New Roman" w:hAnsi="Times New Roman"/>
        </w:rPr>
        <w:t>This research addresses the gap identified by methodically exploring the problems of accessing and using OA materials by lecturers and students in Colleges of Education in Osun State Nigeria. The research methodology utilizes the descriptive survey which incorporates the quantitative and qualitative data to assess the level of awareness, infrastructural limitations and digital literacy skills and credibility perception towards OA resources. This inquiry focuses on Colleges of Education, which are the central institutions in teacher preparation and national educational development, and thus widens the current OA scholarship beyond the dominant view of the university (</w:t>
      </w:r>
      <w:r>
        <w:rPr>
          <w:rFonts w:ascii="Times New Roman" w:cs="Times New Roman" w:hAnsi="Times New Roman"/>
        </w:rPr>
        <w:t>Nashwan</w:t>
      </w:r>
      <w:r>
        <w:rPr>
          <w:rFonts w:ascii="Times New Roman" w:cs="Times New Roman" w:hAnsi="Times New Roman"/>
        </w:rPr>
        <w:t>, 2023).</w:t>
      </w:r>
    </w:p>
    <w:p w14:paraId="0000000D">
      <w:pPr>
        <w:pStyle w:val="BodyText"/>
        <w:spacing w:line="360" w:lineRule="auto"/>
        <w:jc w:val="both"/>
        <w:rPr>
          <w:rFonts w:ascii="Times New Roman" w:cs="Times New Roman" w:hAnsi="Times New Roman"/>
        </w:rPr>
      </w:pPr>
      <w:r>
        <w:rPr>
          <w:rFonts w:ascii="Times New Roman" w:cs="Times New Roman" w:hAnsi="Times New Roman"/>
        </w:rPr>
        <w:t xml:space="preserve">The current study provides value to the literature on OA and academic libraries in a number of key dimensions. Theoretically, it pushes the conceptual comprehension of OA adoption by meaning access and utilization within institutional realities of teacher education institutions. Empirically, it provides situation-specific proofs in regard to the infrastructural, technological as well as perceptual obstacles faced by both lecturers and students. In practice, the results are provided in viable recommendations to policy-makers, college administrators, and academic librarians to strengthen ICT infrastructure, improve digital literacy, and develop sustainable </w:t>
      </w:r>
      <w:r>
        <w:rPr>
          <w:rFonts w:ascii="Times New Roman" w:cs="Times New Roman" w:hAnsi="Times New Roman"/>
        </w:rPr>
        <w:t>policies</w:t>
      </w:r>
      <w:r>
        <w:rPr>
          <w:rFonts w:ascii="Times New Roman" w:cs="Times New Roman" w:hAnsi="Times New Roman"/>
        </w:rPr>
        <w:t xml:space="preserve"> on OA.</w:t>
      </w:r>
      <w:r>
        <w:rPr>
          <w:rFonts w:ascii="Times New Roman" w:cs="Times New Roman" w:hAnsi="Times New Roman"/>
        </w:rPr>
        <w:t xml:space="preserve"> </w:t>
      </w:r>
      <w:r>
        <w:rPr>
          <w:rFonts w:ascii="Times New Roman" w:cs="Times New Roman" w:hAnsi="Times New Roman"/>
        </w:rPr>
        <w:t>Finally, the paper highlights the significance of inclusive access to scholarly knowledge as one of the foundation blocks of advancing pedagogical quality, increasing research productivity, and advancin</w:t>
      </w:r>
      <w:r>
        <w:rPr>
          <w:rFonts w:ascii="Times New Roman" w:cs="Times New Roman" w:hAnsi="Times New Roman"/>
        </w:rPr>
        <w:t>g educational equity in Nigeria</w:t>
      </w:r>
      <w:r>
        <w:rPr>
          <w:rFonts w:ascii="Times New Roman" w:cs="Times New Roman" w:hAnsi="Times New Roman"/>
        </w:rPr>
        <w:t>.</w:t>
      </w:r>
    </w:p>
    <w:p w14:paraId="0000000E">
      <w:pPr>
        <w:pStyle w:val="Heading2"/>
        <w:spacing w:line="360" w:lineRule="auto"/>
        <w:rPr>
          <w:rFonts w:ascii="Times New Roman" w:cs="Times New Roman" w:hAnsi="Times New Roman"/>
          <w:sz w:val="24"/>
          <w:szCs w:val="24"/>
        </w:rPr>
      </w:pPr>
      <w:bookmarkEnd w:id="3"/>
      <w:bookmarkStart w:id="4" w:name="related-works"/>
      <w:r>
        <w:rPr>
          <w:rFonts w:ascii="Times New Roman" w:cs="Times New Roman" w:hAnsi="Times New Roman"/>
          <w:sz w:val="24"/>
          <w:szCs w:val="24"/>
        </w:rPr>
        <w:t>2. Re</w:t>
      </w:r>
      <w:r>
        <w:rPr>
          <w:rFonts w:ascii="Times New Roman" w:cs="Times New Roman" w:hAnsi="Times New Roman"/>
          <w:sz w:val="24"/>
          <w:szCs w:val="24"/>
        </w:rPr>
        <w:t>lated Works</w:t>
      </w:r>
    </w:p>
    <w:p w14:paraId="0000000F">
      <w:pPr>
        <w:pStyle w:val="BodyText"/>
        <w:spacing w:line="360" w:lineRule="auto"/>
        <w:jc w:val="both"/>
        <w:rPr>
          <w:rFonts w:ascii="Times New Roman" w:cs="Times New Roman" w:hAnsi="Times New Roman"/>
        </w:rPr>
      </w:pPr>
      <w:r>
        <w:rPr>
          <w:rFonts w:ascii="Times New Roman" w:cs="Times New Roman" w:hAnsi="Times New Roman"/>
        </w:rPr>
        <w:t>The available body of research on the Open Access (OA) in higher education has been exploring in great detail the awareness, access, and usage of Open Access materials, highlighting the potential transformational capability of OA and outlining the unresolved barriers to the adoption of OA. Early international studies found that OA has a statistically significant positive effect on the visibility of research, its impact on citations, and dissemination of knowledge, especially in the case of scholars in developing countries (</w:t>
      </w:r>
      <w:r>
        <w:rPr>
          <w:rFonts w:ascii="Times New Roman" w:cs="Times New Roman" w:hAnsi="Times New Roman"/>
        </w:rPr>
        <w:t>Suber</w:t>
      </w:r>
      <w:r>
        <w:rPr>
          <w:rFonts w:ascii="Times New Roman" w:cs="Times New Roman" w:hAnsi="Times New Roman"/>
        </w:rPr>
        <w:t xml:space="preserve">, 2012; Swan, 2010; </w:t>
      </w:r>
      <w:r>
        <w:rPr>
          <w:rFonts w:ascii="Times New Roman" w:cs="Times New Roman" w:hAnsi="Times New Roman"/>
        </w:rPr>
        <w:t>Piwowar</w:t>
      </w:r>
      <w:r>
        <w:rPr>
          <w:rFonts w:ascii="Times New Roman" w:cs="Times New Roman" w:hAnsi="Times New Roman"/>
        </w:rPr>
        <w:t xml:space="preserve"> et al., 2018). Later empirical studies, however, show that the benefits of OA are not equally </w:t>
      </w:r>
      <w:r>
        <w:rPr>
          <w:rFonts w:ascii="Times New Roman" w:cs="Times New Roman" w:hAnsi="Times New Roman"/>
        </w:rPr>
        <w:t>realised</w:t>
      </w:r>
      <w:r>
        <w:rPr>
          <w:rFonts w:ascii="Times New Roman" w:cs="Times New Roman" w:hAnsi="Times New Roman"/>
        </w:rPr>
        <w:t xml:space="preserve"> on an institutional level and this depends on a combination of infrastructural, </w:t>
      </w:r>
      <w:r>
        <w:rPr>
          <w:rFonts w:ascii="Times New Roman" w:cs="Times New Roman" w:hAnsi="Times New Roman"/>
        </w:rPr>
        <w:t>organisational</w:t>
      </w:r>
      <w:r>
        <w:rPr>
          <w:rFonts w:ascii="Times New Roman" w:cs="Times New Roman" w:hAnsi="Times New Roman"/>
        </w:rPr>
        <w:t>, and human environments.</w:t>
      </w:r>
    </w:p>
    <w:p w14:paraId="00000010">
      <w:pPr>
        <w:pStyle w:val="BodyText"/>
        <w:spacing w:line="360" w:lineRule="auto"/>
        <w:jc w:val="both"/>
        <w:rPr>
          <w:rFonts w:ascii="Times New Roman" w:cs="Times New Roman" w:hAnsi="Times New Roman"/>
        </w:rPr>
      </w:pPr>
    </w:p>
    <w:p w14:paraId="00000011">
      <w:pPr>
        <w:pStyle w:val="BodyText"/>
        <w:spacing w:line="360" w:lineRule="auto"/>
        <w:jc w:val="both"/>
        <w:rPr>
          <w:rFonts w:ascii="Times New Roman" w:cs="Times New Roman" w:hAnsi="Times New Roman"/>
        </w:rPr>
      </w:pPr>
      <w:r>
        <w:rPr>
          <w:rFonts w:ascii="Times New Roman" w:cs="Times New Roman" w:hAnsi="Times New Roman"/>
        </w:rPr>
        <w:t xml:space="preserve">The results of the empirical studies carried out in the African and other developing-country scenarios are invariably moderate to low on the awareness of the students and the academic staff about OA resources. </w:t>
      </w:r>
      <w:r>
        <w:rPr>
          <w:rFonts w:ascii="Times New Roman" w:cs="Times New Roman" w:hAnsi="Times New Roman"/>
        </w:rPr>
        <w:t>Fabunmi</w:t>
      </w:r>
      <w:r>
        <w:rPr>
          <w:rFonts w:ascii="Times New Roman" w:cs="Times New Roman" w:hAnsi="Times New Roman"/>
        </w:rPr>
        <w:t xml:space="preserve"> and Umar (2023) found that the Nigerian university students have very little knowledge of Open Educational and Open Access resources which they mostly attribute to limited exposure and poor library-based </w:t>
      </w:r>
      <w:r>
        <w:rPr>
          <w:rFonts w:ascii="Times New Roman" w:cs="Times New Roman" w:hAnsi="Times New Roman"/>
        </w:rPr>
        <w:t>sensitisation</w:t>
      </w:r>
      <w:r>
        <w:rPr>
          <w:rFonts w:ascii="Times New Roman" w:cs="Times New Roman" w:hAnsi="Times New Roman"/>
        </w:rPr>
        <w:t xml:space="preserve"> </w:t>
      </w:r>
      <w:r>
        <w:rPr>
          <w:rFonts w:ascii="Times New Roman" w:cs="Times New Roman" w:hAnsi="Times New Roman"/>
        </w:rPr>
        <w:t>programmes</w:t>
      </w:r>
      <w:r>
        <w:rPr>
          <w:rFonts w:ascii="Times New Roman" w:cs="Times New Roman" w:hAnsi="Times New Roman"/>
        </w:rPr>
        <w:t xml:space="preserve">. Similar results were registered by </w:t>
      </w:r>
      <w:r>
        <w:rPr>
          <w:rFonts w:ascii="Times New Roman" w:cs="Times New Roman" w:hAnsi="Times New Roman"/>
        </w:rPr>
        <w:t>Nwagwu</w:t>
      </w:r>
      <w:r>
        <w:rPr>
          <w:rFonts w:ascii="Times New Roman" w:cs="Times New Roman" w:hAnsi="Times New Roman"/>
        </w:rPr>
        <w:t xml:space="preserve"> (2013) and </w:t>
      </w:r>
      <w:r>
        <w:rPr>
          <w:rFonts w:ascii="Times New Roman" w:cs="Times New Roman" w:hAnsi="Times New Roman"/>
        </w:rPr>
        <w:t>Dulle</w:t>
      </w:r>
      <w:r>
        <w:rPr>
          <w:rFonts w:ascii="Times New Roman" w:cs="Times New Roman" w:hAnsi="Times New Roman"/>
        </w:rPr>
        <w:t xml:space="preserve">, </w:t>
      </w:r>
      <w:r>
        <w:rPr>
          <w:rFonts w:ascii="Times New Roman" w:cs="Times New Roman" w:hAnsi="Times New Roman"/>
        </w:rPr>
        <w:t>Minishi-Majanja</w:t>
      </w:r>
      <w:r>
        <w:rPr>
          <w:rFonts w:ascii="Times New Roman" w:cs="Times New Roman" w:hAnsi="Times New Roman"/>
        </w:rPr>
        <w:t xml:space="preserve">, and </w:t>
      </w:r>
      <w:r>
        <w:rPr>
          <w:rFonts w:ascii="Times New Roman" w:cs="Times New Roman" w:hAnsi="Times New Roman"/>
        </w:rPr>
        <w:t>Cloete</w:t>
      </w:r>
      <w:r>
        <w:rPr>
          <w:rFonts w:ascii="Times New Roman" w:cs="Times New Roman" w:hAnsi="Times New Roman"/>
        </w:rPr>
        <w:t xml:space="preserve"> (2010) who stated that ineffective advocacy activities and insufficient incorporation of OA resources in the academic processes significantly impede the successful use of the said materials.</w:t>
      </w:r>
    </w:p>
    <w:p w14:paraId="00000012">
      <w:pPr>
        <w:pStyle w:val="BodyText"/>
        <w:spacing w:line="360" w:lineRule="auto"/>
        <w:jc w:val="both"/>
        <w:rPr>
          <w:rFonts w:ascii="Times New Roman" w:cs="Times New Roman" w:hAnsi="Times New Roman"/>
        </w:rPr>
      </w:pPr>
    </w:p>
    <w:p w14:paraId="00000013">
      <w:pPr>
        <w:pStyle w:val="BodyText"/>
        <w:spacing w:line="360" w:lineRule="auto"/>
        <w:jc w:val="both"/>
        <w:rPr>
          <w:rFonts w:ascii="Times New Roman" w:cs="Times New Roman" w:hAnsi="Times New Roman"/>
        </w:rPr>
      </w:pPr>
      <w:r>
        <w:rPr>
          <w:rFonts w:ascii="Times New Roman" w:cs="Times New Roman" w:hAnsi="Times New Roman"/>
        </w:rPr>
        <w:t xml:space="preserve">The concept of digital literacy becomes one of the most important factors that determine the OA adoption. </w:t>
      </w:r>
      <w:r>
        <w:rPr>
          <w:rFonts w:ascii="Times New Roman" w:cs="Times New Roman" w:hAnsi="Times New Roman"/>
        </w:rPr>
        <w:t>Tenya</w:t>
      </w:r>
      <w:r>
        <w:rPr>
          <w:rFonts w:ascii="Times New Roman" w:cs="Times New Roman" w:hAnsi="Times New Roman"/>
        </w:rPr>
        <w:t xml:space="preserve">, </w:t>
      </w:r>
      <w:r>
        <w:rPr>
          <w:rFonts w:ascii="Times New Roman" w:cs="Times New Roman" w:hAnsi="Times New Roman"/>
        </w:rPr>
        <w:t>Maina</w:t>
      </w:r>
      <w:r>
        <w:rPr>
          <w:rFonts w:ascii="Times New Roman" w:cs="Times New Roman" w:hAnsi="Times New Roman"/>
        </w:rPr>
        <w:t xml:space="preserve">, and </w:t>
      </w:r>
      <w:r>
        <w:rPr>
          <w:rFonts w:ascii="Times New Roman" w:cs="Times New Roman" w:hAnsi="Times New Roman"/>
        </w:rPr>
        <w:t>Awuor</w:t>
      </w:r>
      <w:r>
        <w:rPr>
          <w:rFonts w:ascii="Times New Roman" w:cs="Times New Roman" w:hAnsi="Times New Roman"/>
        </w:rPr>
        <w:t xml:space="preserve"> (2024) established that low ICT competence and insufficient training were the primary factors limiting the use of OA among academic employees in universities based in East Africa. The complementary studies by </w:t>
      </w:r>
      <w:r>
        <w:rPr>
          <w:rFonts w:ascii="Times New Roman" w:cs="Times New Roman" w:hAnsi="Times New Roman"/>
        </w:rPr>
        <w:t>Okiki</w:t>
      </w:r>
      <w:r>
        <w:rPr>
          <w:rFonts w:ascii="Times New Roman" w:cs="Times New Roman" w:hAnsi="Times New Roman"/>
        </w:rPr>
        <w:t xml:space="preserve"> (2013), Manda and Backhouse (2016), and </w:t>
      </w:r>
      <w:r>
        <w:rPr>
          <w:rFonts w:ascii="Times New Roman" w:cs="Times New Roman" w:hAnsi="Times New Roman"/>
        </w:rPr>
        <w:t>Osisanwo</w:t>
      </w:r>
      <w:r>
        <w:rPr>
          <w:rFonts w:ascii="Times New Roman" w:cs="Times New Roman" w:hAnsi="Times New Roman"/>
        </w:rPr>
        <w:t xml:space="preserve"> et al. (2023) highlighted the close connection between the digital repertoire and the presence of institutional support structures on the one hand and the ability of lecturers and students to find, </w:t>
      </w:r>
      <w:r>
        <w:rPr>
          <w:rFonts w:ascii="Times New Roman" w:cs="Times New Roman" w:hAnsi="Times New Roman"/>
        </w:rPr>
        <w:t>assess</w:t>
      </w:r>
      <w:r>
        <w:rPr>
          <w:rFonts w:ascii="Times New Roman" w:cs="Times New Roman" w:hAnsi="Times New Roman"/>
        </w:rPr>
        <w:t xml:space="preserve">, and use OA resources on the other hand. All these findings imply that access is not necessarily followed by </w:t>
      </w:r>
      <w:r>
        <w:rPr>
          <w:rFonts w:ascii="Times New Roman" w:cs="Times New Roman" w:hAnsi="Times New Roman"/>
        </w:rPr>
        <w:t>utilisation</w:t>
      </w:r>
      <w:r>
        <w:rPr>
          <w:rFonts w:ascii="Times New Roman" w:cs="Times New Roman" w:hAnsi="Times New Roman"/>
        </w:rPr>
        <w:t>, and user competence acts as an intermediate between availability and actual engagement.</w:t>
      </w:r>
    </w:p>
    <w:p w14:paraId="00000014">
      <w:pPr>
        <w:pStyle w:val="BodyText"/>
        <w:spacing w:line="360" w:lineRule="auto"/>
        <w:jc w:val="both"/>
        <w:rPr>
          <w:rFonts w:ascii="Times New Roman" w:cs="Times New Roman" w:hAnsi="Times New Roman"/>
        </w:rPr>
      </w:pPr>
      <w:r>
        <w:rPr>
          <w:rFonts w:ascii="Times New Roman" w:cs="Times New Roman" w:hAnsi="Times New Roman"/>
        </w:rPr>
        <w:t xml:space="preserve">It has been suggested that institutional and infrastructural constraints are primary hindrances to OA access in the Nigerian higher education sector. According to </w:t>
      </w:r>
      <w:r>
        <w:rPr>
          <w:rFonts w:ascii="Times New Roman" w:cs="Times New Roman" w:hAnsi="Times New Roman"/>
        </w:rPr>
        <w:t>Ezema</w:t>
      </w:r>
      <w:r>
        <w:rPr>
          <w:rFonts w:ascii="Times New Roman" w:cs="Times New Roman" w:hAnsi="Times New Roman"/>
        </w:rPr>
        <w:t xml:space="preserve"> (2013) and </w:t>
      </w:r>
      <w:r>
        <w:rPr>
          <w:rFonts w:ascii="Times New Roman" w:cs="Times New Roman" w:hAnsi="Times New Roman"/>
        </w:rPr>
        <w:t>Ezema</w:t>
      </w:r>
      <w:r>
        <w:rPr>
          <w:rFonts w:ascii="Times New Roman" w:cs="Times New Roman" w:hAnsi="Times New Roman"/>
        </w:rPr>
        <w:t xml:space="preserve"> and </w:t>
      </w:r>
      <w:r>
        <w:rPr>
          <w:rFonts w:ascii="Times New Roman" w:cs="Times New Roman" w:hAnsi="Times New Roman"/>
        </w:rPr>
        <w:t>Eze</w:t>
      </w:r>
      <w:r>
        <w:rPr>
          <w:rFonts w:ascii="Times New Roman" w:cs="Times New Roman" w:hAnsi="Times New Roman"/>
        </w:rPr>
        <w:t xml:space="preserve"> (2024), lack of strong ICT infrastructure and inability to rely on the internet connection are critical limitatio</w:t>
      </w:r>
      <w:r>
        <w:rPr>
          <w:rFonts w:ascii="Times New Roman" w:cs="Times New Roman" w:hAnsi="Times New Roman"/>
        </w:rPr>
        <w:t>ns to OA practices</w:t>
      </w:r>
      <w:r>
        <w:rPr>
          <w:rFonts w:ascii="Times New Roman" w:cs="Times New Roman" w:hAnsi="Times New Roman"/>
        </w:rPr>
        <w:t xml:space="preserve">, irregular power supply, and weak institutional commitment severely limit the effectiveness of institutional repositories. Similar constraints were observed in studies by Christian (2008), </w:t>
      </w:r>
      <w:r>
        <w:rPr>
          <w:rFonts w:ascii="Times New Roman" w:cs="Times New Roman" w:hAnsi="Times New Roman"/>
        </w:rPr>
        <w:t>Agyen</w:t>
      </w:r>
      <w:r>
        <w:rPr>
          <w:rFonts w:ascii="Times New Roman" w:cs="Times New Roman" w:hAnsi="Times New Roman"/>
        </w:rPr>
        <w:t xml:space="preserve">-Gyasi et al. (2010), and </w:t>
      </w:r>
      <w:r>
        <w:rPr>
          <w:rFonts w:ascii="Times New Roman" w:cs="Times New Roman" w:hAnsi="Times New Roman"/>
        </w:rPr>
        <w:t>Quadri</w:t>
      </w:r>
      <w:r>
        <w:rPr>
          <w:rFonts w:ascii="Times New Roman" w:cs="Times New Roman" w:hAnsi="Times New Roman"/>
        </w:rPr>
        <w:t xml:space="preserve"> and </w:t>
      </w:r>
      <w:r>
        <w:rPr>
          <w:rFonts w:ascii="Times New Roman" w:cs="Times New Roman" w:hAnsi="Times New Roman"/>
        </w:rPr>
        <w:t>Idowu</w:t>
      </w:r>
      <w:r>
        <w:rPr>
          <w:rFonts w:ascii="Times New Roman" w:cs="Times New Roman" w:hAnsi="Times New Roman"/>
        </w:rPr>
        <w:t xml:space="preserve"> (2016), which highlighted the role of funding limitations and policy gaps in undermining OA initiatives in academic libraries.</w:t>
      </w:r>
    </w:p>
    <w:p w14:paraId="00000015">
      <w:pPr>
        <w:pStyle w:val="BodyText"/>
        <w:spacing w:line="360" w:lineRule="auto"/>
        <w:jc w:val="both"/>
        <w:rPr>
          <w:rFonts w:ascii="Times New Roman" w:cs="Times New Roman" w:hAnsi="Times New Roman"/>
        </w:rPr>
      </w:pPr>
      <w:r>
        <w:rPr>
          <w:rFonts w:ascii="Times New Roman" w:cs="Times New Roman" w:hAnsi="Times New Roman"/>
        </w:rPr>
        <w:t xml:space="preserve">Libraries and their librarians have been the topic of much research. </w:t>
      </w:r>
      <w:r>
        <w:rPr>
          <w:rFonts w:ascii="Times New Roman" w:cs="Times New Roman" w:hAnsi="Times New Roman"/>
        </w:rPr>
        <w:t>Osisanwo</w:t>
      </w:r>
      <w:r>
        <w:rPr>
          <w:rFonts w:ascii="Times New Roman" w:cs="Times New Roman" w:hAnsi="Times New Roman"/>
        </w:rPr>
        <w:t xml:space="preserve">, </w:t>
      </w:r>
      <w:r>
        <w:rPr>
          <w:rFonts w:ascii="Times New Roman" w:cs="Times New Roman" w:hAnsi="Times New Roman"/>
        </w:rPr>
        <w:t>Simisaye</w:t>
      </w:r>
      <w:r>
        <w:rPr>
          <w:rFonts w:ascii="Times New Roman" w:cs="Times New Roman" w:hAnsi="Times New Roman"/>
        </w:rPr>
        <w:t xml:space="preserve">, and </w:t>
      </w:r>
      <w:r>
        <w:rPr>
          <w:rFonts w:ascii="Times New Roman" w:cs="Times New Roman" w:hAnsi="Times New Roman"/>
        </w:rPr>
        <w:t>Idowu</w:t>
      </w:r>
      <w:r>
        <w:rPr>
          <w:rFonts w:ascii="Times New Roman" w:cs="Times New Roman" w:hAnsi="Times New Roman"/>
        </w:rPr>
        <w:t xml:space="preserve"> (2023) showed that ICT competencies of librarians, advocacy campaigns and institutional location play a great role in adopting open access (OA) in universities in Nigeria. The </w:t>
      </w:r>
      <w:r>
        <w:rPr>
          <w:rFonts w:ascii="Times New Roman" w:cs="Times New Roman" w:hAnsi="Times New Roman"/>
        </w:rPr>
        <w:t xml:space="preserve">Complementary studies by </w:t>
      </w:r>
      <w:r>
        <w:rPr>
          <w:rFonts w:ascii="Times New Roman" w:cs="Times New Roman" w:hAnsi="Times New Roman"/>
        </w:rPr>
        <w:t>Abrizah</w:t>
      </w:r>
      <w:r>
        <w:rPr>
          <w:rFonts w:ascii="Times New Roman" w:cs="Times New Roman" w:hAnsi="Times New Roman"/>
        </w:rPr>
        <w:t xml:space="preserve"> (2010), Xia et al. (2012), and Jain (2016) further highlighted the role of academic libraries as key facilitators of OA by creating awareness, training users and managing repositories. Lack of resources or inclusion in institutional decision-making also means that libraries continue to use little OA.  </w:t>
      </w:r>
    </w:p>
    <w:p w14:paraId="00000016">
      <w:pPr>
        <w:pStyle w:val="BodyText"/>
        <w:spacing w:line="360" w:lineRule="auto"/>
        <w:jc w:val="both"/>
        <w:rPr>
          <w:rFonts w:ascii="Times New Roman" w:cs="Times New Roman" w:hAnsi="Times New Roman"/>
        </w:rPr>
      </w:pPr>
    </w:p>
    <w:p w14:paraId="00000017">
      <w:pPr>
        <w:pStyle w:val="BodyText"/>
        <w:spacing w:line="360" w:lineRule="auto"/>
        <w:jc w:val="both"/>
        <w:rPr>
          <w:rFonts w:ascii="Times New Roman" w:cs="Times New Roman" w:hAnsi="Times New Roman"/>
        </w:rPr>
      </w:pPr>
      <w:r>
        <w:rPr>
          <w:rFonts w:ascii="Times New Roman" w:cs="Times New Roman" w:hAnsi="Times New Roman"/>
        </w:rPr>
        <w:t xml:space="preserve">The issue of quality and credibility of publications in OA has also received considerable coverage on the literature. </w:t>
      </w:r>
      <w:r>
        <w:rPr>
          <w:rFonts w:ascii="Times New Roman" w:cs="Times New Roman" w:hAnsi="Times New Roman"/>
        </w:rPr>
        <w:t>Njagi</w:t>
      </w:r>
      <w:r>
        <w:rPr>
          <w:rFonts w:ascii="Times New Roman" w:cs="Times New Roman" w:hAnsi="Times New Roman"/>
        </w:rPr>
        <w:t xml:space="preserve"> and </w:t>
      </w:r>
      <w:r>
        <w:rPr>
          <w:rFonts w:ascii="Times New Roman" w:cs="Times New Roman" w:hAnsi="Times New Roman"/>
        </w:rPr>
        <w:t>Njoroge</w:t>
      </w:r>
      <w:r>
        <w:rPr>
          <w:rFonts w:ascii="Times New Roman" w:cs="Times New Roman" w:hAnsi="Times New Roman"/>
        </w:rPr>
        <w:t xml:space="preserve"> (2024) noted that the misunderstandings surrounding OA as a low quality or non-peer reviewed research prevent scholars using sources in OA. This lack of trust is supported by the fact that predatory journals, which take advantage of the OA model and undermine the integrity of reputable OA publication, are growing (Shen and Bjork, 2015; Beall, 2016). </w:t>
      </w:r>
      <w:r>
        <w:rPr>
          <w:rFonts w:ascii="Times New Roman" w:cs="Times New Roman" w:hAnsi="Times New Roman"/>
        </w:rPr>
        <w:t>Espen</w:t>
      </w:r>
      <w:r>
        <w:rPr>
          <w:rFonts w:ascii="Times New Roman" w:cs="Times New Roman" w:hAnsi="Times New Roman"/>
        </w:rPr>
        <w:t xml:space="preserve"> and Henrik (2024) also stated that the sustainability and credibility of OA is under threat following unethical publishing practices, especially in low-resource research settings.  </w:t>
      </w:r>
    </w:p>
    <w:p w14:paraId="00000018">
      <w:pPr>
        <w:pStyle w:val="BodyText"/>
        <w:spacing w:line="360" w:lineRule="auto"/>
        <w:jc w:val="both"/>
        <w:rPr>
          <w:rFonts w:ascii="Times New Roman" w:cs="Times New Roman" w:hAnsi="Times New Roman"/>
        </w:rPr>
      </w:pPr>
    </w:p>
    <w:p w14:paraId="00000019">
      <w:pPr>
        <w:pStyle w:val="BodyText"/>
        <w:spacing w:line="360" w:lineRule="auto"/>
        <w:jc w:val="both"/>
        <w:rPr>
          <w:rFonts w:ascii="Times New Roman" w:cs="Times New Roman" w:hAnsi="Times New Roman"/>
        </w:rPr>
      </w:pPr>
      <w:r>
        <w:rPr>
          <w:rFonts w:ascii="Times New Roman" w:cs="Times New Roman" w:hAnsi="Times New Roman"/>
        </w:rPr>
        <w:t xml:space="preserve">These studies although very insightful can be critically examined to show that most of the empirical studies are concentrated in university, research institution, and post-graduate research level. Almost no research specifically focuses on Colleges of Education although they are central to teacher preparation and national educational development. Furthermore, past studies rarely incorporate lecturers and students viewpoints in the teaching institutions. This is a gap in context and institutions that restricts the external generalizability of existing results to Colleges of Education.  </w:t>
      </w:r>
    </w:p>
    <w:p w14:paraId="0000001A">
      <w:pPr>
        <w:pStyle w:val="BodyText"/>
        <w:spacing w:line="360" w:lineRule="auto"/>
        <w:jc w:val="both"/>
        <w:rPr>
          <w:rFonts w:ascii="Times New Roman" w:cs="Times New Roman" w:hAnsi="Times New Roman"/>
        </w:rPr>
      </w:pPr>
    </w:p>
    <w:p w14:paraId="0000001B">
      <w:pPr>
        <w:pStyle w:val="BodyText"/>
        <w:spacing w:line="360" w:lineRule="auto"/>
        <w:jc w:val="both"/>
        <w:rPr>
          <w:rFonts w:ascii="Times New Roman" w:cs="Times New Roman" w:hAnsi="Times New Roman"/>
        </w:rPr>
      </w:pPr>
      <w:r>
        <w:rPr>
          <w:rFonts w:ascii="Times New Roman" w:cs="Times New Roman" w:hAnsi="Times New Roman"/>
        </w:rPr>
        <w:t>This paper therefore builds upon the available literature by focusing on the issues encountered by lecturers and students to access and utilize OA materials in Colleges of Education in Osun State, Nigeria. The contextualization of the analysis in teacher education institutions offers evidence specific to the context to supplement the existing research on OA adoption in d</w:t>
      </w:r>
      <w:r>
        <w:rPr>
          <w:rFonts w:ascii="Times New Roman" w:cs="Times New Roman" w:hAnsi="Times New Roman"/>
        </w:rPr>
        <w:t>eveloping nations and enrich it</w:t>
      </w:r>
      <w:r>
        <w:rPr>
          <w:rFonts w:ascii="Times New Roman" w:cs="Times New Roman" w:hAnsi="Times New Roman"/>
        </w:rPr>
        <w:t>.</w:t>
      </w:r>
    </w:p>
    <w:p w14:paraId="0000001C">
      <w:pPr>
        <w:pStyle w:val="Heading2"/>
        <w:spacing w:line="360" w:lineRule="auto"/>
        <w:jc w:val="both"/>
        <w:rPr>
          <w:rFonts w:ascii="Times New Roman" w:cs="Times New Roman" w:hAnsi="Times New Roman"/>
          <w:sz w:val="24"/>
          <w:szCs w:val="24"/>
        </w:rPr>
      </w:pPr>
      <w:bookmarkEnd w:id="4"/>
      <w:bookmarkStart w:id="5" w:name="results-and-discussion"/>
      <w:r>
        <w:rPr>
          <w:rFonts w:ascii="Times New Roman" w:cs="Times New Roman" w:hAnsi="Times New Roman"/>
          <w:sz w:val="24"/>
          <w:szCs w:val="24"/>
        </w:rPr>
        <w:t>3. Methodology</w:t>
      </w:r>
    </w:p>
    <w:p w14:paraId="0000001D">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3.1 Research Design</w:t>
      </w:r>
    </w:p>
    <w:p w14:paraId="0000001E">
      <w:pPr>
        <w:pStyle w:val="Normal(Web)"/>
        <w:spacing w:line="360" w:lineRule="auto"/>
        <w:jc w:val="both"/>
        <w:rPr/>
      </w:pPr>
      <w:r>
        <w:t xml:space="preserve">This study adopted a </w:t>
      </w:r>
      <w:r>
        <w:rPr>
          <w:rStyle w:val="Strong"/>
          <w:b w:val="off"/>
        </w:rPr>
        <w:t>descriptive survey research design</w:t>
      </w:r>
      <w:r>
        <w:t xml:space="preserve"> to investigate the challenges associated with accessing and using Open Access (OA) materials among lecturers and students in Colleges of Education. The descriptive survey design is appropriate for studies that seek to systematically collect, analyze, and interpret data from a defined population in order to describe existing conditions, perceptions, and practices without manipulating variables. This design has been widely used in Open Access and library and information science research to examine awareness levels, usage patterns, and institutional constraints (</w:t>
      </w:r>
      <w:r>
        <w:t>Tenopir</w:t>
      </w:r>
      <w:r>
        <w:t xml:space="preserve"> et al., 2017; </w:t>
      </w:r>
      <w:r>
        <w:t>Ezema</w:t>
      </w:r>
      <w:r>
        <w:t xml:space="preserve"> &amp; </w:t>
      </w:r>
      <w:r>
        <w:t>Eze</w:t>
      </w:r>
      <w:r>
        <w:t>, 2024). The design enabled the collection of quantitative and qualitative data necessary to provide a comprehensive understanding of infrastructural, institutional, and user-related factors influencing OA utilization.</w:t>
      </w:r>
    </w:p>
    <w:p w14:paraId="0000001F">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3.2 Study Area</w:t>
      </w:r>
    </w:p>
    <w:p w14:paraId="00000020">
      <w:pPr>
        <w:pStyle w:val="Normal(Web)"/>
        <w:spacing w:line="360" w:lineRule="auto"/>
        <w:jc w:val="both"/>
        <w:rPr/>
      </w:pPr>
      <w:r>
        <w:t xml:space="preserve">The study was conducted in </w:t>
      </w:r>
      <w:r>
        <w:rPr>
          <w:rStyle w:val="Strong"/>
          <w:b w:val="off"/>
        </w:rPr>
        <w:t>Osun State, Nigeria</w:t>
      </w:r>
      <w:r>
        <w:t xml:space="preserve">, a state with a mix of federal, state, and private Colleges of Education. Osun State was purposively selected due to its relatively high concentration of teacher education institutions and its representation of diverse ownership structures within Nigeria’s higher education system. The selected Colleges of Education were all accredited by the </w:t>
      </w:r>
      <w:r>
        <w:rPr>
          <w:rStyle w:val="Strong"/>
          <w:b w:val="off"/>
        </w:rPr>
        <w:t>National Commission for Colleges of Education (NCCE)</w:t>
      </w:r>
      <w:r>
        <w:t xml:space="preserve"> and included:</w:t>
      </w:r>
    </w:p>
    <w:p w14:paraId="00000021">
      <w:pPr>
        <w:pStyle w:val="Normal(Web)"/>
        <w:numPr>
          <w:ilvl w:val="0"/>
          <w:numId w:val="4"/>
        </w:numPr>
        <w:spacing w:line="360" w:lineRule="auto"/>
        <w:jc w:val="both"/>
        <w:rPr/>
      </w:pPr>
      <w:r>
        <w:t>Federal College of Education, Iwo (Federal)</w:t>
      </w:r>
    </w:p>
    <w:p w14:paraId="00000022">
      <w:pPr>
        <w:pStyle w:val="Normal(Web)"/>
        <w:numPr>
          <w:ilvl w:val="0"/>
          <w:numId w:val="4"/>
        </w:numPr>
        <w:spacing w:line="360" w:lineRule="auto"/>
        <w:jc w:val="both"/>
        <w:rPr/>
      </w:pPr>
      <w:r>
        <w:t>Osun State College of Education, Ila-</w:t>
      </w:r>
      <w:r>
        <w:t>Orangun</w:t>
      </w:r>
      <w:r>
        <w:t xml:space="preserve"> (State)</w:t>
      </w:r>
    </w:p>
    <w:p w14:paraId="00000023">
      <w:pPr>
        <w:pStyle w:val="Normal(Web)"/>
        <w:numPr>
          <w:ilvl w:val="0"/>
          <w:numId w:val="4"/>
        </w:numPr>
        <w:spacing w:line="360" w:lineRule="auto"/>
        <w:jc w:val="both"/>
        <w:rPr/>
      </w:pPr>
      <w:r>
        <w:t>College of Education, Moro-Ife (Private)</w:t>
      </w:r>
    </w:p>
    <w:p w14:paraId="00000024">
      <w:pPr>
        <w:pStyle w:val="Normal(Web)"/>
        <w:numPr>
          <w:ilvl w:val="0"/>
          <w:numId w:val="4"/>
        </w:numPr>
        <w:spacing w:line="360" w:lineRule="auto"/>
        <w:jc w:val="both"/>
        <w:rPr/>
      </w:pPr>
      <w:r>
        <w:t>Al-</w:t>
      </w:r>
      <w:r>
        <w:t>Ummah</w:t>
      </w:r>
      <w:r>
        <w:t xml:space="preserve"> College of Education, Iwo (Private)</w:t>
      </w:r>
    </w:p>
    <w:p w14:paraId="00000025">
      <w:pPr>
        <w:pStyle w:val="Normal(Web)"/>
        <w:numPr>
          <w:ilvl w:val="0"/>
          <w:numId w:val="4"/>
        </w:numPr>
        <w:spacing w:line="360" w:lineRule="auto"/>
        <w:jc w:val="both"/>
        <w:rPr/>
      </w:pPr>
      <w:r>
        <w:t>Assanusiyah</w:t>
      </w:r>
      <w:r>
        <w:t xml:space="preserve"> College of Education, Ode-</w:t>
      </w:r>
      <w:r>
        <w:t>Omu</w:t>
      </w:r>
      <w:r>
        <w:t xml:space="preserve"> (Private)</w:t>
      </w:r>
    </w:p>
    <w:p w14:paraId="00000026">
      <w:pPr>
        <w:pStyle w:val="Normal(Web)"/>
        <w:spacing w:line="360" w:lineRule="auto"/>
        <w:jc w:val="both"/>
        <w:rPr/>
      </w:pPr>
      <w:r>
        <w:t>These institutions were considered suitable for the study because they provide a realistic representation of infrastructural capacity, funding patterns, and academic practices within Colleges of Education in southwestern Nigeria.</w:t>
      </w:r>
    </w:p>
    <w:p w14:paraId="00000027">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3.3 Population of the Study</w:t>
      </w:r>
    </w:p>
    <w:p w14:paraId="00000028">
      <w:pPr>
        <w:pStyle w:val="Normal(Web)"/>
        <w:spacing w:line="360" w:lineRule="auto"/>
        <w:jc w:val="both"/>
        <w:rPr/>
      </w:pPr>
      <w:r>
        <w:t xml:space="preserve">The population of the study comprised </w:t>
      </w:r>
      <w:r>
        <w:rPr>
          <w:rStyle w:val="Strong"/>
          <w:b w:val="off"/>
        </w:rPr>
        <w:t>lecturers and students</w:t>
      </w:r>
      <w:r>
        <w:t xml:space="preserve"> in the selected Colleges of Education. These groups were considered appropriate because they constitute the primary users of academic information resources for teaching, learning, and research activities. Lecturers rely on scholarly literature for curriculum development and research output, while students depend on academic materials for coursework, assignments, and independent learning. Librarians and ICT personnel were also included qualitatively to provide institutional perspectives on infrastructure, access policies, and support services related to Open Access resources.</w:t>
      </w:r>
    </w:p>
    <w:p w14:paraId="00000029">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3.4 Sample Size and Sampling Technique</w:t>
      </w:r>
    </w:p>
    <w:p w14:paraId="0000002A">
      <w:pPr>
        <w:pStyle w:val="Normal(Web)"/>
        <w:spacing w:line="360" w:lineRule="auto"/>
        <w:jc w:val="both"/>
        <w:rPr/>
      </w:pPr>
      <w:r>
        <w:t xml:space="preserve">A total sample size of </w:t>
      </w:r>
      <w:r>
        <w:rPr>
          <w:rStyle w:val="Strong"/>
          <w:b w:val="off"/>
        </w:rPr>
        <w:t>420 respondents</w:t>
      </w:r>
      <w:r>
        <w:t xml:space="preserve">, consisting of </w:t>
      </w:r>
      <w:r>
        <w:rPr>
          <w:rStyle w:val="Strong"/>
          <w:b w:val="off"/>
        </w:rPr>
        <w:t>120 lecturers and 300 students</w:t>
      </w:r>
      <w:r>
        <w:t xml:space="preserve">, was selected for the study. The sample size was considered adequate to ensure representativeness across the selected institutions and user categories. A </w:t>
      </w:r>
      <w:r>
        <w:rPr>
          <w:rStyle w:val="Strong"/>
          <w:b w:val="off"/>
        </w:rPr>
        <w:t>stratified random sampling technique</w:t>
      </w:r>
      <w:r>
        <w:t xml:space="preserve"> was employed to ensure proportional representation of lecturers and students from each institution. The population was first stratified by institution and user category (lecturers and students), after which respondents were randomly selected within each stratum. This approach minimized sampling bias and enhanced the generalizability of the findings within the context of Colleges of Education in Osun State.</w:t>
      </w:r>
    </w:p>
    <w:p w14:paraId="0000002B">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3.5 Instrument for Data Collection</w:t>
      </w:r>
    </w:p>
    <w:p w14:paraId="0000002C">
      <w:pPr>
        <w:pStyle w:val="Normal(Web)"/>
        <w:spacing w:line="360" w:lineRule="auto"/>
        <w:jc w:val="both"/>
        <w:rPr/>
      </w:pPr>
      <w:r>
        <w:t>Data were collected using three complementary instruments:</w:t>
      </w:r>
    </w:p>
    <w:p w14:paraId="0000002D">
      <w:pPr>
        <w:pStyle w:val="Normal(Web)"/>
        <w:numPr>
          <w:ilvl w:val="0"/>
          <w:numId w:val="3"/>
        </w:numPr>
        <w:spacing w:line="360" w:lineRule="auto"/>
        <w:jc w:val="both"/>
        <w:rPr/>
      </w:pPr>
      <w:r>
        <w:rPr>
          <w:rStyle w:val="Strong"/>
          <w:b w:val="off"/>
        </w:rPr>
        <w:t>Structured Questionnaire</w:t>
      </w:r>
      <w:r>
        <w:t>:</w:t>
      </w:r>
      <w:r>
        <w:rPr/>
        <w:br w:type="textWrapping"/>
      </w:r>
      <w:r>
        <w:t xml:space="preserve">A self-administered questionnaire was designed to collect quantitative data on respondents’ awareness, access, utilization patterns, and perceived challenges associated with Open Access materials. The questionnaire consisted of both closed-ended and Likert-scale items organized into sections covering demographic information, awareness of OA resources, </w:t>
      </w:r>
      <w:r>
        <w:t>frequency</w:t>
      </w:r>
      <w:r>
        <w:t xml:space="preserve"> of use, infrastructural access, digital literacy, and credibility perceptions.</w:t>
      </w:r>
    </w:p>
    <w:p w14:paraId="0000002E">
      <w:pPr>
        <w:pStyle w:val="Normal(Web)"/>
        <w:numPr>
          <w:ilvl w:val="0"/>
          <w:numId w:val="3"/>
        </w:numPr>
        <w:spacing w:line="360" w:lineRule="auto"/>
        <w:jc w:val="both"/>
        <w:rPr/>
      </w:pPr>
      <w:r>
        <w:rPr>
          <w:rStyle w:val="Strong"/>
          <w:b w:val="off"/>
        </w:rPr>
        <w:t>Key Informant Interviews</w:t>
      </w:r>
      <w:r>
        <w:t>:</w:t>
      </w:r>
      <w:r>
        <w:rPr/>
        <w:br w:type="textWrapping"/>
      </w:r>
      <w:r>
        <w:t>Semi-structured interviews were conducted with selected librarians and ICT staff in the participating institutions to obtain qualitative insights into institutional infrastructure, internet facilities, Open Access initiatives, and support mechanisms. This instrument complemented the questionnaire by providing contextual explanations for observed patterns.</w:t>
      </w:r>
    </w:p>
    <w:p w14:paraId="0000002F">
      <w:pPr>
        <w:pStyle w:val="Normal(Web)"/>
        <w:numPr>
          <w:ilvl w:val="0"/>
          <w:numId w:val="3"/>
        </w:numPr>
        <w:spacing w:line="360" w:lineRule="auto"/>
        <w:jc w:val="both"/>
        <w:rPr/>
      </w:pPr>
      <w:r>
        <w:rPr>
          <w:rStyle w:val="Strong"/>
          <w:b w:val="off"/>
        </w:rPr>
        <w:t>Observation Checklist</w:t>
      </w:r>
      <w:r>
        <w:t>:</w:t>
      </w:r>
      <w:r>
        <w:rPr/>
        <w:br w:type="textWrapping"/>
      </w:r>
      <w:r>
        <w:t>An observation checklist was used to assess the availability and condition of ICT infrastructure, including internet connectivity, computer facilities, library digital resources, and power supply. This instrument enabled objective verification of infrastructural claims made by respondents.</w:t>
      </w:r>
    </w:p>
    <w:p w14:paraId="00000030">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3.6 Validity and Reliability of the Instruments</w:t>
      </w:r>
    </w:p>
    <w:p w14:paraId="00000031">
      <w:pPr>
        <w:pStyle w:val="Normal(Web)"/>
        <w:spacing w:line="360" w:lineRule="auto"/>
        <w:jc w:val="both"/>
        <w:rPr/>
      </w:pPr>
      <w:r>
        <w:t xml:space="preserve">To ensure </w:t>
      </w:r>
      <w:r>
        <w:rPr>
          <w:rStyle w:val="Strong"/>
          <w:b w:val="off"/>
        </w:rPr>
        <w:t>content and face validity</w:t>
      </w:r>
      <w:r>
        <w:t xml:space="preserve">, the questionnaire was reviewed by experts in library and information science and educational research. Their feedback guided revisions to improve clarity, relevance, and alignment with the study objectives. A </w:t>
      </w:r>
      <w:r>
        <w:rPr>
          <w:rStyle w:val="Strong"/>
          <w:b w:val="off"/>
        </w:rPr>
        <w:t>pilot study</w:t>
      </w:r>
      <w:r>
        <w:t xml:space="preserve"> was conducted using 40 respondents drawn from a College of Education outside the study area. The reliability of the questionnaire was determined using </w:t>
      </w:r>
      <w:r>
        <w:rPr>
          <w:rStyle w:val="Strong"/>
          <w:b w:val="off"/>
        </w:rPr>
        <w:t>Cronbach’s alpha</w:t>
      </w:r>
      <w:r>
        <w:t xml:space="preserve">, which yielded a coefficient of </w:t>
      </w:r>
      <w:r>
        <w:rPr>
          <w:rStyle w:val="Strong"/>
          <w:b w:val="off"/>
        </w:rPr>
        <w:t>0.82</w:t>
      </w:r>
      <w:r>
        <w:t>, indicating a high level of internal consistency and reliability for the instrument.</w:t>
      </w:r>
    </w:p>
    <w:p w14:paraId="00000032">
      <w:pPr>
        <w:pStyle w:val="Heading3"/>
        <w:spacing w:line="360" w:lineRule="auto"/>
        <w:jc w:val="both"/>
        <w:rPr>
          <w:rFonts w:ascii="Times New Roman" w:cs="Times New Roman" w:hAnsi="Times New Roman"/>
          <w:sz w:val="24"/>
          <w:szCs w:val="24"/>
        </w:rPr>
      </w:pPr>
      <w:r>
        <w:rPr>
          <w:rFonts w:ascii="Times New Roman" w:cs="Times New Roman" w:hAnsi="Times New Roman"/>
          <w:sz w:val="24"/>
          <w:szCs w:val="24"/>
        </w:rPr>
        <w:t>3.7 Method of Data Analysis</w:t>
      </w:r>
    </w:p>
    <w:p w14:paraId="00000033">
      <w:pPr>
        <w:pStyle w:val="Normal(Web)"/>
        <w:spacing w:line="360" w:lineRule="auto"/>
        <w:jc w:val="both"/>
        <w:rPr/>
      </w:pPr>
      <w:r>
        <w:t xml:space="preserve">Quantitative data collected through the questionnaire were analyzed using </w:t>
      </w:r>
      <w:r>
        <w:rPr>
          <w:rStyle w:val="Strong"/>
          <w:b w:val="off"/>
        </w:rPr>
        <w:t>descriptive statistical techniques</w:t>
      </w:r>
      <w:r>
        <w:t xml:space="preserve">, including frequencies and percentages, with the aid of statistical software. These techniques were used to summarize awareness levels, access patterns, and challenges associated with Open Access utilization. Qualitative data obtained from interviews were transcribed and analyzed using </w:t>
      </w:r>
      <w:r>
        <w:rPr>
          <w:rStyle w:val="Strong"/>
          <w:b w:val="off"/>
        </w:rPr>
        <w:t>thematic analysis</w:t>
      </w:r>
      <w:r>
        <w:t>, allowing recurring themes and patterns related to institutional and infrastructural challenges to be identified and interpreted. Findings from the observation checklist were integrated into the analysis to support and triangulate questionnaire and interview results.</w:t>
      </w:r>
    </w:p>
    <w:p w14:paraId="00000034">
      <w:pPr>
        <w:pStyle w:val="Normal(Web)"/>
        <w:spacing w:line="360" w:lineRule="auto"/>
        <w:jc w:val="both"/>
        <w:rPr>
          <w:bCs/>
        </w:rPr>
      </w:pPr>
      <w:r>
        <w:rPr>
          <w:bCs/>
        </w:rPr>
        <w:t>4. Results and Discussion</w:t>
      </w:r>
    </w:p>
    <w:p w14:paraId="00000035">
      <w:pPr>
        <w:pStyle w:val="Normal(Web)"/>
        <w:spacing w:line="360" w:lineRule="auto"/>
        <w:jc w:val="both"/>
        <w:rPr/>
      </w:pPr>
      <w:r>
        <w:t xml:space="preserve">This section presents the results of the study in relation to the research </w:t>
      </w:r>
      <w:r>
        <w:t>goals</w:t>
      </w:r>
      <w:r>
        <w:t xml:space="preserve"> and discusses the findings with reference to existing literature. Both </w:t>
      </w:r>
      <w:r>
        <w:rPr>
          <w:bCs/>
        </w:rPr>
        <w:t>descriptive and inferential statistics</w:t>
      </w:r>
      <w:r>
        <w:t xml:space="preserve"> were employed to provide an </w:t>
      </w:r>
      <w:r>
        <w:t>understanding of awareness levels and challenges associated with accessing and using Open Access (OA) materials among lecturers and students in Colleges of Education in Osun State, Nigeria.</w:t>
      </w:r>
    </w:p>
    <w:p w14:paraId="00000036">
      <w:pPr>
        <w:pStyle w:val="Normal(Web)"/>
        <w:spacing w:line="360" w:lineRule="auto"/>
        <w:jc w:val="both"/>
        <w:rPr/>
      </w:pPr>
      <w:r>
        <w:t>Table 1 shows the overall level of awareness of Open Access materials among respondents.</w:t>
      </w:r>
    </w:p>
    <w:p w14:paraId="00000037">
      <w:pPr>
        <w:pStyle w:val="Normal(Web)"/>
        <w:spacing w:line="360" w:lineRule="auto"/>
        <w:jc w:val="both"/>
        <w:rPr/>
      </w:pPr>
      <w:r>
        <w:rPr>
          <w:bCs/>
        </w:rPr>
        <w:t>Table 1: Overall Awareness of Open Access Materials</w:t>
      </w:r>
    </w:p>
    <w:tbl>
      <w:tblPr>
        <w:tblStyle w:val="TableGrid"/>
        <w:tblW w:w="0" w:type="auto"/>
        <w:tblLook w:val="04A0"/>
      </w:tblPr>
      <w:tblGrid>
        <w:gridCol w:w="2266"/>
        <w:gridCol w:w="1506"/>
        <w:gridCol w:w="2040"/>
      </w:tblGrid>
      <w:tr>
        <w:trPr/>
        <w:tc>
          <w:tcPr>
            <w:cnfStyle w:val="101000000000"/>
            <w:tcW w:w="0" w:type="auto"/>
          </w:tcPr>
          <w:p w14:paraId="00000038">
            <w:pPr>
              <w:pStyle w:val="Normal(Web)"/>
              <w:spacing w:line="360" w:lineRule="auto"/>
              <w:jc w:val="both"/>
              <w:rPr>
                <w:b/>
                <w:bCs/>
              </w:rPr>
            </w:pPr>
            <w:r>
              <w:rPr>
                <w:b/>
                <w:bCs/>
              </w:rPr>
              <w:t>Awareness Level</w:t>
            </w:r>
          </w:p>
        </w:tc>
        <w:tc>
          <w:tcPr>
            <w:cnfStyle w:val="100000000000"/>
            <w:tcW w:w="0" w:type="auto"/>
          </w:tcPr>
          <w:p w14:paraId="00000039">
            <w:pPr>
              <w:pStyle w:val="Normal(Web)"/>
              <w:spacing w:line="360" w:lineRule="auto"/>
              <w:jc w:val="both"/>
              <w:rPr>
                <w:b/>
                <w:bCs/>
              </w:rPr>
            </w:pPr>
            <w:r>
              <w:rPr>
                <w:b/>
                <w:bCs/>
              </w:rPr>
              <w:t>Frequency</w:t>
            </w:r>
          </w:p>
        </w:tc>
        <w:tc>
          <w:tcPr>
            <w:cnfStyle w:val="100000000000"/>
            <w:tcW w:w="0" w:type="auto"/>
          </w:tcPr>
          <w:p w14:paraId="0000003A">
            <w:pPr>
              <w:pStyle w:val="Normal(Web)"/>
              <w:spacing w:line="360" w:lineRule="auto"/>
              <w:jc w:val="both"/>
              <w:rPr>
                <w:b/>
                <w:bCs/>
              </w:rPr>
            </w:pPr>
            <w:r>
              <w:rPr>
                <w:b/>
                <w:bCs/>
              </w:rPr>
              <w:t>Percentage (%)</w:t>
            </w:r>
          </w:p>
        </w:tc>
      </w:tr>
      <w:tr>
        <w:trPr/>
        <w:tc>
          <w:tcPr>
            <w:cnfStyle w:val="001000100000"/>
            <w:tcW w:w="0" w:type="auto"/>
          </w:tcPr>
          <w:p w14:paraId="0000003B">
            <w:pPr>
              <w:pStyle w:val="Normal(Web)"/>
              <w:spacing w:line="360" w:lineRule="auto"/>
              <w:jc w:val="both"/>
              <w:rPr/>
            </w:pPr>
            <w:r>
              <w:t>High</w:t>
            </w:r>
          </w:p>
        </w:tc>
        <w:tc>
          <w:tcPr>
            <w:cnfStyle w:val="000000100000"/>
            <w:tcW w:w="0" w:type="auto"/>
          </w:tcPr>
          <w:p w14:paraId="0000003C">
            <w:pPr>
              <w:pStyle w:val="Normal(Web)"/>
              <w:spacing w:line="360" w:lineRule="auto"/>
              <w:jc w:val="both"/>
              <w:rPr/>
            </w:pPr>
            <w:r>
              <w:t>118</w:t>
            </w:r>
          </w:p>
        </w:tc>
        <w:tc>
          <w:tcPr>
            <w:cnfStyle w:val="000000100000"/>
            <w:tcW w:w="0" w:type="auto"/>
          </w:tcPr>
          <w:p w14:paraId="0000003D">
            <w:pPr>
              <w:pStyle w:val="Normal(Web)"/>
              <w:spacing w:line="360" w:lineRule="auto"/>
              <w:jc w:val="both"/>
              <w:rPr/>
            </w:pPr>
            <w:r>
              <w:t>28.1</w:t>
            </w:r>
          </w:p>
        </w:tc>
      </w:tr>
      <w:tr>
        <w:trPr/>
        <w:tc>
          <w:tcPr>
            <w:cnfStyle w:val="001000010000"/>
            <w:tcW w:w="0" w:type="auto"/>
          </w:tcPr>
          <w:p w14:paraId="0000003E">
            <w:pPr>
              <w:pStyle w:val="Normal(Web)"/>
              <w:spacing w:line="360" w:lineRule="auto"/>
              <w:jc w:val="both"/>
              <w:rPr/>
            </w:pPr>
            <w:r>
              <w:t>Moderate</w:t>
            </w:r>
          </w:p>
        </w:tc>
        <w:tc>
          <w:tcPr>
            <w:cnfStyle w:val="000000010000"/>
            <w:tcW w:w="0" w:type="auto"/>
          </w:tcPr>
          <w:p w14:paraId="0000003F">
            <w:pPr>
              <w:pStyle w:val="Normal(Web)"/>
              <w:spacing w:line="360" w:lineRule="auto"/>
              <w:jc w:val="both"/>
              <w:rPr/>
            </w:pPr>
            <w:r>
              <w:t>202</w:t>
            </w:r>
          </w:p>
        </w:tc>
        <w:tc>
          <w:tcPr>
            <w:cnfStyle w:val="000000010000"/>
            <w:tcW w:w="0" w:type="auto"/>
          </w:tcPr>
          <w:p w14:paraId="00000040">
            <w:pPr>
              <w:pStyle w:val="Normal(Web)"/>
              <w:spacing w:line="360" w:lineRule="auto"/>
              <w:jc w:val="both"/>
              <w:rPr/>
            </w:pPr>
            <w:r>
              <w:t>48.1</w:t>
            </w:r>
          </w:p>
        </w:tc>
      </w:tr>
      <w:tr>
        <w:trPr/>
        <w:tc>
          <w:tcPr>
            <w:cnfStyle w:val="001000100000"/>
            <w:tcW w:w="0" w:type="auto"/>
          </w:tcPr>
          <w:p w14:paraId="00000041">
            <w:pPr>
              <w:pStyle w:val="Normal(Web)"/>
              <w:spacing w:line="360" w:lineRule="auto"/>
              <w:jc w:val="both"/>
              <w:rPr/>
            </w:pPr>
            <w:r>
              <w:t>Low</w:t>
            </w:r>
          </w:p>
        </w:tc>
        <w:tc>
          <w:tcPr>
            <w:cnfStyle w:val="000000100000"/>
            <w:tcW w:w="0" w:type="auto"/>
          </w:tcPr>
          <w:p w14:paraId="00000042">
            <w:pPr>
              <w:pStyle w:val="Normal(Web)"/>
              <w:spacing w:line="360" w:lineRule="auto"/>
              <w:jc w:val="both"/>
              <w:rPr/>
            </w:pPr>
            <w:r>
              <w:t>100</w:t>
            </w:r>
          </w:p>
        </w:tc>
        <w:tc>
          <w:tcPr>
            <w:cnfStyle w:val="000000100000"/>
            <w:tcW w:w="0" w:type="auto"/>
          </w:tcPr>
          <w:p w14:paraId="00000043">
            <w:pPr>
              <w:pStyle w:val="Normal(Web)"/>
              <w:spacing w:line="360" w:lineRule="auto"/>
              <w:jc w:val="both"/>
              <w:rPr/>
            </w:pPr>
            <w:r>
              <w:t>23.8</w:t>
            </w:r>
          </w:p>
        </w:tc>
      </w:tr>
      <w:tr>
        <w:trPr/>
        <w:tc>
          <w:tcPr>
            <w:cnfStyle w:val="001000010000"/>
            <w:tcW w:w="0" w:type="auto"/>
          </w:tcPr>
          <w:p w14:paraId="00000044">
            <w:pPr>
              <w:pStyle w:val="Normal(Web)"/>
              <w:spacing w:line="360" w:lineRule="auto"/>
              <w:jc w:val="both"/>
              <w:rPr/>
            </w:pPr>
            <w:r>
              <w:rPr>
                <w:bCs/>
              </w:rPr>
              <w:t>Total</w:t>
            </w:r>
          </w:p>
        </w:tc>
        <w:tc>
          <w:tcPr>
            <w:cnfStyle w:val="000000010000"/>
            <w:tcW w:w="0" w:type="auto"/>
          </w:tcPr>
          <w:p w14:paraId="00000045">
            <w:pPr>
              <w:pStyle w:val="Normal(Web)"/>
              <w:spacing w:line="360" w:lineRule="auto"/>
              <w:jc w:val="both"/>
              <w:rPr/>
            </w:pPr>
            <w:r>
              <w:rPr>
                <w:bCs/>
              </w:rPr>
              <w:t>420</w:t>
            </w:r>
          </w:p>
        </w:tc>
        <w:tc>
          <w:tcPr>
            <w:cnfStyle w:val="000000010000"/>
            <w:tcW w:w="0" w:type="auto"/>
          </w:tcPr>
          <w:p w14:paraId="00000046">
            <w:pPr>
              <w:pStyle w:val="Normal(Web)"/>
              <w:spacing w:line="360" w:lineRule="auto"/>
              <w:jc w:val="both"/>
              <w:rPr/>
            </w:pPr>
            <w:r>
              <w:rPr>
                <w:bCs/>
              </w:rPr>
              <w:t>100.0</w:t>
            </w:r>
          </w:p>
        </w:tc>
      </w:tr>
    </w:tbl>
    <w:p w14:paraId="00000047">
      <w:pPr>
        <w:pStyle w:val="Normal(Web)"/>
        <w:spacing w:line="360" w:lineRule="auto"/>
        <w:jc w:val="both"/>
        <w:rPr/>
      </w:pPr>
      <w:r>
        <w:t xml:space="preserve">The results indicate that the majority of respondents (48.1%) had a </w:t>
      </w:r>
      <w:r>
        <w:rPr>
          <w:bCs/>
        </w:rPr>
        <w:t>moderate level of awareness</w:t>
      </w:r>
      <w:r>
        <w:t xml:space="preserve"> of Open Access materials, while only 28.1% demonstrated high awareness. Notably, nearly one-quarter of the respondents (23.8%) reported low awareness, suggesting that a significant proportion of lecturers and students remain insufficiently exposed to OA resources. This finding implies that although Open Access is gradually gaining recognition within Colleges of Education, awareness has not yet reached a level that guarantees optimal utilization.</w:t>
      </w:r>
    </w:p>
    <w:p w14:paraId="00000048">
      <w:pPr>
        <w:pStyle w:val="Normal(Web)"/>
        <w:spacing w:line="360" w:lineRule="auto"/>
        <w:jc w:val="both"/>
        <w:rPr/>
      </w:pPr>
      <w:r>
        <w:t xml:space="preserve">To determine whether awareness of Open Access materials differs significantly between lecturers and students, a </w:t>
      </w:r>
      <w:r>
        <w:rPr>
          <w:bCs/>
        </w:rPr>
        <w:t>chi-square (χ²) test of independence</w:t>
      </w:r>
      <w:r>
        <w:t xml:space="preserve"> was conducted. The results are presented in Table 2.</w:t>
      </w:r>
    </w:p>
    <w:p w14:paraId="00000049">
      <w:pPr>
        <w:pStyle w:val="Normal(Web)"/>
        <w:spacing w:line="360" w:lineRule="auto"/>
        <w:jc w:val="both"/>
        <w:rPr/>
      </w:pPr>
    </w:p>
    <w:p w14:paraId="0000004A">
      <w:pPr>
        <w:pStyle w:val="Normal(Web)"/>
        <w:spacing w:line="360" w:lineRule="auto"/>
        <w:jc w:val="both"/>
        <w:rPr/>
      </w:pPr>
      <w:r>
        <w:rPr>
          <w:bCs/>
        </w:rPr>
        <w:t>Table 2: Awareness of Open Access Materials by User Category</w:t>
      </w:r>
    </w:p>
    <w:tbl>
      <w:tblPr>
        <w:tblStyle w:val="TableGrid"/>
        <w:tblW w:w="0" w:type="auto"/>
        <w:tblLook w:val="04A0"/>
      </w:tblPr>
      <w:tblGrid>
        <w:gridCol w:w="2266"/>
        <w:gridCol w:w="2475"/>
        <w:gridCol w:w="2356"/>
        <w:gridCol w:w="845"/>
      </w:tblGrid>
      <w:tr>
        <w:trPr/>
        <w:tc>
          <w:tcPr>
            <w:cnfStyle w:val="101000000000"/>
            <w:tcW w:w="0" w:type="auto"/>
          </w:tcPr>
          <w:p w14:paraId="0000004B">
            <w:pPr>
              <w:pStyle w:val="Normal(Web)"/>
              <w:spacing w:line="360" w:lineRule="auto"/>
              <w:jc w:val="both"/>
              <w:rPr>
                <w:b/>
                <w:bCs/>
              </w:rPr>
            </w:pPr>
            <w:r>
              <w:rPr>
                <w:b/>
                <w:bCs/>
              </w:rPr>
              <w:t>Awareness Level</w:t>
            </w:r>
          </w:p>
        </w:tc>
        <w:tc>
          <w:tcPr>
            <w:cnfStyle w:val="100000000000"/>
            <w:tcW w:w="0" w:type="auto"/>
          </w:tcPr>
          <w:p w14:paraId="0000004C">
            <w:pPr>
              <w:pStyle w:val="Normal(Web)"/>
              <w:spacing w:line="360" w:lineRule="auto"/>
              <w:jc w:val="both"/>
              <w:rPr>
                <w:b/>
                <w:bCs/>
              </w:rPr>
            </w:pPr>
            <w:r>
              <w:rPr>
                <w:b/>
                <w:bCs/>
              </w:rPr>
              <w:t>Lecturers (n = 120)</w:t>
            </w:r>
          </w:p>
        </w:tc>
        <w:tc>
          <w:tcPr>
            <w:cnfStyle w:val="100000000000"/>
            <w:tcW w:w="0" w:type="auto"/>
          </w:tcPr>
          <w:p w14:paraId="0000004D">
            <w:pPr>
              <w:pStyle w:val="Normal(Web)"/>
              <w:spacing w:line="360" w:lineRule="auto"/>
              <w:jc w:val="both"/>
              <w:rPr>
                <w:b/>
                <w:bCs/>
              </w:rPr>
            </w:pPr>
            <w:r>
              <w:rPr>
                <w:b/>
                <w:bCs/>
              </w:rPr>
              <w:t>Students (n = 300)</w:t>
            </w:r>
          </w:p>
        </w:tc>
        <w:tc>
          <w:tcPr>
            <w:cnfStyle w:val="100000000000"/>
            <w:tcW w:w="0" w:type="auto"/>
          </w:tcPr>
          <w:p w14:paraId="0000004E">
            <w:pPr>
              <w:pStyle w:val="Normal(Web)"/>
              <w:spacing w:line="360" w:lineRule="auto"/>
              <w:jc w:val="both"/>
              <w:rPr>
                <w:b/>
                <w:bCs/>
              </w:rPr>
            </w:pPr>
            <w:r>
              <w:rPr>
                <w:b/>
                <w:bCs/>
              </w:rPr>
              <w:t>Total</w:t>
            </w:r>
          </w:p>
        </w:tc>
      </w:tr>
      <w:tr>
        <w:trPr/>
        <w:tc>
          <w:tcPr>
            <w:cnfStyle w:val="001000100000"/>
            <w:tcW w:w="0" w:type="auto"/>
          </w:tcPr>
          <w:p w14:paraId="0000004F">
            <w:pPr>
              <w:pStyle w:val="Normal(Web)"/>
              <w:spacing w:line="360" w:lineRule="auto"/>
              <w:jc w:val="both"/>
              <w:rPr/>
            </w:pPr>
            <w:r>
              <w:t>High</w:t>
            </w:r>
          </w:p>
        </w:tc>
        <w:tc>
          <w:tcPr>
            <w:cnfStyle w:val="000000100000"/>
            <w:tcW w:w="0" w:type="auto"/>
          </w:tcPr>
          <w:p w14:paraId="00000050">
            <w:pPr>
              <w:pStyle w:val="Normal(Web)"/>
              <w:spacing w:line="360" w:lineRule="auto"/>
              <w:jc w:val="both"/>
              <w:rPr/>
            </w:pPr>
            <w:r>
              <w:t>46 (38.3%)</w:t>
            </w:r>
          </w:p>
        </w:tc>
        <w:tc>
          <w:tcPr>
            <w:cnfStyle w:val="000000100000"/>
            <w:tcW w:w="0" w:type="auto"/>
          </w:tcPr>
          <w:p w14:paraId="00000051">
            <w:pPr>
              <w:pStyle w:val="Normal(Web)"/>
              <w:spacing w:line="360" w:lineRule="auto"/>
              <w:jc w:val="both"/>
              <w:rPr/>
            </w:pPr>
            <w:r>
              <w:t>72 (24.0%)</w:t>
            </w:r>
          </w:p>
        </w:tc>
        <w:tc>
          <w:tcPr>
            <w:cnfStyle w:val="000000100000"/>
            <w:tcW w:w="0" w:type="auto"/>
          </w:tcPr>
          <w:p w14:paraId="00000052">
            <w:pPr>
              <w:pStyle w:val="Normal(Web)"/>
              <w:spacing w:line="360" w:lineRule="auto"/>
              <w:jc w:val="both"/>
              <w:rPr/>
            </w:pPr>
            <w:r>
              <w:t>118</w:t>
            </w:r>
          </w:p>
        </w:tc>
      </w:tr>
      <w:tr>
        <w:trPr/>
        <w:tc>
          <w:tcPr>
            <w:cnfStyle w:val="001000010000"/>
            <w:tcW w:w="0" w:type="auto"/>
          </w:tcPr>
          <w:p w14:paraId="00000053">
            <w:pPr>
              <w:pStyle w:val="Normal(Web)"/>
              <w:spacing w:line="360" w:lineRule="auto"/>
              <w:jc w:val="both"/>
              <w:rPr/>
            </w:pPr>
            <w:r>
              <w:t>Moderate</w:t>
            </w:r>
          </w:p>
        </w:tc>
        <w:tc>
          <w:tcPr>
            <w:cnfStyle w:val="000000010000"/>
            <w:tcW w:w="0" w:type="auto"/>
          </w:tcPr>
          <w:p w14:paraId="00000054">
            <w:pPr>
              <w:pStyle w:val="Normal(Web)"/>
              <w:spacing w:line="360" w:lineRule="auto"/>
              <w:jc w:val="both"/>
              <w:rPr/>
            </w:pPr>
            <w:r>
              <w:t>54 (45.0%)</w:t>
            </w:r>
          </w:p>
        </w:tc>
        <w:tc>
          <w:tcPr>
            <w:cnfStyle w:val="000000010000"/>
            <w:tcW w:w="0" w:type="auto"/>
          </w:tcPr>
          <w:p w14:paraId="00000055">
            <w:pPr>
              <w:pStyle w:val="Normal(Web)"/>
              <w:spacing w:line="360" w:lineRule="auto"/>
              <w:jc w:val="both"/>
              <w:rPr/>
            </w:pPr>
            <w:r>
              <w:t>148 (49.3%)</w:t>
            </w:r>
          </w:p>
        </w:tc>
        <w:tc>
          <w:tcPr>
            <w:cnfStyle w:val="000000010000"/>
            <w:tcW w:w="0" w:type="auto"/>
          </w:tcPr>
          <w:p w14:paraId="00000056">
            <w:pPr>
              <w:pStyle w:val="Normal(Web)"/>
              <w:spacing w:line="360" w:lineRule="auto"/>
              <w:jc w:val="both"/>
              <w:rPr/>
            </w:pPr>
            <w:r>
              <w:t>202</w:t>
            </w:r>
          </w:p>
        </w:tc>
      </w:tr>
      <w:tr>
        <w:trPr/>
        <w:tc>
          <w:tcPr>
            <w:cnfStyle w:val="001000100000"/>
            <w:tcW w:w="0" w:type="auto"/>
          </w:tcPr>
          <w:p w14:paraId="00000057">
            <w:pPr>
              <w:pStyle w:val="Normal(Web)"/>
              <w:spacing w:line="360" w:lineRule="auto"/>
              <w:jc w:val="both"/>
              <w:rPr/>
            </w:pPr>
            <w:r>
              <w:t>Low</w:t>
            </w:r>
          </w:p>
        </w:tc>
        <w:tc>
          <w:tcPr>
            <w:cnfStyle w:val="000000100000"/>
            <w:tcW w:w="0" w:type="auto"/>
          </w:tcPr>
          <w:p w14:paraId="00000058">
            <w:pPr>
              <w:pStyle w:val="Normal(Web)"/>
              <w:spacing w:line="360" w:lineRule="auto"/>
              <w:jc w:val="both"/>
              <w:rPr/>
            </w:pPr>
            <w:r>
              <w:t>20 (16.7%)</w:t>
            </w:r>
          </w:p>
        </w:tc>
        <w:tc>
          <w:tcPr>
            <w:cnfStyle w:val="000000100000"/>
            <w:tcW w:w="0" w:type="auto"/>
          </w:tcPr>
          <w:p w14:paraId="00000059">
            <w:pPr>
              <w:pStyle w:val="Normal(Web)"/>
              <w:spacing w:line="360" w:lineRule="auto"/>
              <w:jc w:val="both"/>
              <w:rPr/>
            </w:pPr>
            <w:r>
              <w:t>80 (26.7%)</w:t>
            </w:r>
          </w:p>
        </w:tc>
        <w:tc>
          <w:tcPr>
            <w:cnfStyle w:val="000000100000"/>
            <w:tcW w:w="0" w:type="auto"/>
          </w:tcPr>
          <w:p w14:paraId="0000005A">
            <w:pPr>
              <w:pStyle w:val="Normal(Web)"/>
              <w:spacing w:line="360" w:lineRule="auto"/>
              <w:jc w:val="both"/>
              <w:rPr/>
            </w:pPr>
            <w:r>
              <w:t>100</w:t>
            </w:r>
          </w:p>
        </w:tc>
      </w:tr>
      <w:tr>
        <w:trPr/>
        <w:tc>
          <w:tcPr>
            <w:cnfStyle w:val="001000010000"/>
            <w:tcW w:w="0" w:type="auto"/>
          </w:tcPr>
          <w:p w14:paraId="0000005B">
            <w:pPr>
              <w:pStyle w:val="Normal(Web)"/>
              <w:spacing w:line="360" w:lineRule="auto"/>
              <w:jc w:val="both"/>
              <w:rPr/>
            </w:pPr>
            <w:r>
              <w:rPr>
                <w:bCs/>
              </w:rPr>
              <w:t>Total</w:t>
            </w:r>
          </w:p>
        </w:tc>
        <w:tc>
          <w:tcPr>
            <w:cnfStyle w:val="000000010000"/>
            <w:tcW w:w="0" w:type="auto"/>
          </w:tcPr>
          <w:p w14:paraId="0000005C">
            <w:pPr>
              <w:pStyle w:val="Normal(Web)"/>
              <w:spacing w:line="360" w:lineRule="auto"/>
              <w:jc w:val="both"/>
              <w:rPr/>
            </w:pPr>
            <w:r>
              <w:rPr>
                <w:bCs/>
              </w:rPr>
              <w:t>120</w:t>
            </w:r>
          </w:p>
        </w:tc>
        <w:tc>
          <w:tcPr>
            <w:cnfStyle w:val="000000010000"/>
            <w:tcW w:w="0" w:type="auto"/>
          </w:tcPr>
          <w:p w14:paraId="0000005D">
            <w:pPr>
              <w:pStyle w:val="Normal(Web)"/>
              <w:spacing w:line="360" w:lineRule="auto"/>
              <w:jc w:val="both"/>
              <w:rPr/>
            </w:pPr>
            <w:r>
              <w:rPr>
                <w:bCs/>
              </w:rPr>
              <w:t>300</w:t>
            </w:r>
          </w:p>
        </w:tc>
        <w:tc>
          <w:tcPr>
            <w:cnfStyle w:val="000000010000"/>
            <w:tcW w:w="0" w:type="auto"/>
          </w:tcPr>
          <w:p w14:paraId="0000005E">
            <w:pPr>
              <w:pStyle w:val="Normal(Web)"/>
              <w:spacing w:line="360" w:lineRule="auto"/>
              <w:jc w:val="both"/>
              <w:rPr/>
            </w:pPr>
            <w:r>
              <w:rPr>
                <w:bCs/>
              </w:rPr>
              <w:t>420</w:t>
            </w:r>
          </w:p>
        </w:tc>
      </w:tr>
    </w:tbl>
    <w:p w14:paraId="0000005F">
      <w:pPr>
        <w:pStyle w:val="Normal(Web)"/>
        <w:spacing w:line="360" w:lineRule="auto"/>
        <w:jc w:val="both"/>
        <w:rPr/>
      </w:pPr>
      <w:r>
        <w:rPr>
          <w:bCs/>
        </w:rPr>
        <w:t xml:space="preserve">χ² = 12.47, </w:t>
      </w:r>
      <w:r>
        <w:rPr>
          <w:bCs/>
        </w:rPr>
        <w:t>df</w:t>
      </w:r>
      <w:r>
        <w:rPr>
          <w:bCs/>
        </w:rPr>
        <w:t xml:space="preserve"> = 2, p &lt; 0.05</w:t>
      </w:r>
    </w:p>
    <w:p w14:paraId="00000060">
      <w:pPr>
        <w:pStyle w:val="Normal(Web)"/>
        <w:spacing w:line="360" w:lineRule="auto"/>
        <w:jc w:val="both"/>
        <w:rPr/>
      </w:pPr>
      <w:r>
        <w:t xml:space="preserve">The result shows a </w:t>
      </w:r>
      <w:r>
        <w:rPr>
          <w:bCs/>
        </w:rPr>
        <w:t>statistically significant difference</w:t>
      </w:r>
      <w:r>
        <w:t xml:space="preserve"> in awareness of Open Access materials between lecturers and students. Lecturers demonstrated higher awareness levels compared to students, suggesting that academic experience, research engagement, and exposure to scholarly publishing contribute to greater familiarity with OA resources. This result aligns with earlier studies which reported higher awareness of Open Access among academic staff than students (</w:t>
      </w:r>
      <w:r>
        <w:t>Tenopir</w:t>
      </w:r>
      <w:r>
        <w:t xml:space="preserve"> et al., 2017; </w:t>
      </w:r>
      <w:r>
        <w:t>Fabunmi</w:t>
      </w:r>
      <w:r>
        <w:t xml:space="preserve"> &amp; Umar, 2023).</w:t>
      </w:r>
    </w:p>
    <w:p w14:paraId="00000061">
      <w:pPr>
        <w:pStyle w:val="Normal(Web)"/>
        <w:spacing w:line="360" w:lineRule="auto"/>
        <w:jc w:val="both"/>
        <w:rPr/>
      </w:pPr>
      <w:r>
        <w:t>Table 3 presents respondents’ perceptions of the major challenges affecting access to and utilization of Open Access materials.</w:t>
      </w:r>
    </w:p>
    <w:p w14:paraId="00000062">
      <w:pPr>
        <w:pStyle w:val="Normal(Web)"/>
        <w:spacing w:line="360" w:lineRule="auto"/>
        <w:jc w:val="both"/>
        <w:rPr/>
      </w:pPr>
      <w:r>
        <w:rPr>
          <w:bCs/>
        </w:rPr>
        <w:t>Table 3: Challenges Affecting Access and Use of Open Access Materials</w:t>
      </w:r>
    </w:p>
    <w:tbl>
      <w:tblPr>
        <w:tblStyle w:val="TableGrid"/>
        <w:tblW w:w="0" w:type="auto"/>
        <w:tblLook w:val="04A0"/>
      </w:tblPr>
      <w:tblGrid>
        <w:gridCol w:w="3645"/>
        <w:gridCol w:w="1404"/>
        <w:gridCol w:w="1753"/>
      </w:tblGrid>
      <w:tr>
        <w:trPr/>
        <w:tc>
          <w:tcPr>
            <w:cnfStyle w:val="101000000000"/>
            <w:tcW w:w="0" w:type="auto"/>
          </w:tcPr>
          <w:p w14:paraId="00000063">
            <w:pPr>
              <w:pStyle w:val="Normal(Web)"/>
              <w:spacing w:line="360" w:lineRule="auto"/>
              <w:jc w:val="both"/>
              <w:rPr>
                <w:b/>
                <w:bCs/>
              </w:rPr>
            </w:pPr>
            <w:r>
              <w:rPr>
                <w:b/>
                <w:bCs/>
              </w:rPr>
              <w:t>Challenge</w:t>
            </w:r>
          </w:p>
        </w:tc>
        <w:tc>
          <w:tcPr>
            <w:cnfStyle w:val="100000000000"/>
            <w:tcW w:w="0" w:type="auto"/>
          </w:tcPr>
          <w:p w14:paraId="00000064">
            <w:pPr>
              <w:pStyle w:val="Normal(Web)"/>
              <w:spacing w:line="360" w:lineRule="auto"/>
              <w:jc w:val="both"/>
              <w:rPr>
                <w:b/>
                <w:bCs/>
              </w:rPr>
            </w:pPr>
            <w:r>
              <w:rPr>
                <w:b/>
                <w:bCs/>
              </w:rPr>
              <w:t>Agree (%)</w:t>
            </w:r>
          </w:p>
        </w:tc>
        <w:tc>
          <w:tcPr>
            <w:cnfStyle w:val="100000000000"/>
            <w:tcW w:w="0" w:type="auto"/>
          </w:tcPr>
          <w:p w14:paraId="00000065">
            <w:pPr>
              <w:pStyle w:val="Normal(Web)"/>
              <w:spacing w:line="360" w:lineRule="auto"/>
              <w:jc w:val="both"/>
              <w:rPr>
                <w:b/>
                <w:bCs/>
              </w:rPr>
            </w:pPr>
            <w:r>
              <w:rPr>
                <w:b/>
                <w:bCs/>
              </w:rPr>
              <w:t>Disagree (%)</w:t>
            </w:r>
          </w:p>
        </w:tc>
      </w:tr>
      <w:tr>
        <w:trPr/>
        <w:tc>
          <w:tcPr>
            <w:cnfStyle w:val="001000100000"/>
            <w:tcW w:w="0" w:type="auto"/>
          </w:tcPr>
          <w:p w14:paraId="00000066">
            <w:pPr>
              <w:pStyle w:val="Normal(Web)"/>
              <w:spacing w:line="360" w:lineRule="auto"/>
              <w:jc w:val="both"/>
              <w:rPr/>
            </w:pPr>
            <w:r>
              <w:t>Poor internet connectivity</w:t>
            </w:r>
          </w:p>
        </w:tc>
        <w:tc>
          <w:tcPr>
            <w:cnfStyle w:val="000000100000"/>
            <w:tcW w:w="0" w:type="auto"/>
          </w:tcPr>
          <w:p w14:paraId="00000067">
            <w:pPr>
              <w:pStyle w:val="Normal(Web)"/>
              <w:spacing w:line="360" w:lineRule="auto"/>
              <w:jc w:val="both"/>
              <w:rPr/>
            </w:pPr>
            <w:r>
              <w:t>79.3</w:t>
            </w:r>
          </w:p>
        </w:tc>
        <w:tc>
          <w:tcPr>
            <w:cnfStyle w:val="000000100000"/>
            <w:tcW w:w="0" w:type="auto"/>
          </w:tcPr>
          <w:p w14:paraId="00000068">
            <w:pPr>
              <w:pStyle w:val="Normal(Web)"/>
              <w:spacing w:line="360" w:lineRule="auto"/>
              <w:jc w:val="both"/>
              <w:rPr/>
            </w:pPr>
            <w:r>
              <w:t>20.7</w:t>
            </w:r>
          </w:p>
        </w:tc>
      </w:tr>
      <w:tr>
        <w:trPr/>
        <w:tc>
          <w:tcPr>
            <w:cnfStyle w:val="001000010000"/>
            <w:tcW w:w="0" w:type="auto"/>
          </w:tcPr>
          <w:p w14:paraId="00000069">
            <w:pPr>
              <w:pStyle w:val="Normal(Web)"/>
              <w:spacing w:line="360" w:lineRule="auto"/>
              <w:jc w:val="both"/>
              <w:rPr/>
            </w:pPr>
            <w:r>
              <w:t>Inadequate ICT infrastructure</w:t>
            </w:r>
          </w:p>
        </w:tc>
        <w:tc>
          <w:tcPr>
            <w:cnfStyle w:val="000000010000"/>
            <w:tcW w:w="0" w:type="auto"/>
          </w:tcPr>
          <w:p w14:paraId="0000006A">
            <w:pPr>
              <w:pStyle w:val="Normal(Web)"/>
              <w:spacing w:line="360" w:lineRule="auto"/>
              <w:jc w:val="both"/>
              <w:rPr/>
            </w:pPr>
            <w:r>
              <w:t>74.5</w:t>
            </w:r>
          </w:p>
        </w:tc>
        <w:tc>
          <w:tcPr>
            <w:cnfStyle w:val="000000010000"/>
            <w:tcW w:w="0" w:type="auto"/>
          </w:tcPr>
          <w:p w14:paraId="0000006B">
            <w:pPr>
              <w:pStyle w:val="Normal(Web)"/>
              <w:spacing w:line="360" w:lineRule="auto"/>
              <w:jc w:val="both"/>
              <w:rPr/>
            </w:pPr>
            <w:r>
              <w:t>25.5</w:t>
            </w:r>
          </w:p>
        </w:tc>
      </w:tr>
      <w:tr>
        <w:trPr/>
        <w:tc>
          <w:tcPr>
            <w:cnfStyle w:val="001000100000"/>
            <w:tcW w:w="0" w:type="auto"/>
          </w:tcPr>
          <w:p w14:paraId="0000006C">
            <w:pPr>
              <w:pStyle w:val="Normal(Web)"/>
              <w:spacing w:line="360" w:lineRule="auto"/>
              <w:jc w:val="both"/>
              <w:rPr/>
            </w:pPr>
            <w:r>
              <w:t>Limited digital literacy</w:t>
            </w:r>
          </w:p>
        </w:tc>
        <w:tc>
          <w:tcPr>
            <w:cnfStyle w:val="000000100000"/>
            <w:tcW w:w="0" w:type="auto"/>
          </w:tcPr>
          <w:p w14:paraId="0000006D">
            <w:pPr>
              <w:pStyle w:val="Normal(Web)"/>
              <w:spacing w:line="360" w:lineRule="auto"/>
              <w:jc w:val="both"/>
              <w:rPr/>
            </w:pPr>
            <w:r>
              <w:t>66.2</w:t>
            </w:r>
          </w:p>
        </w:tc>
        <w:tc>
          <w:tcPr>
            <w:cnfStyle w:val="000000100000"/>
            <w:tcW w:w="0" w:type="auto"/>
          </w:tcPr>
          <w:p w14:paraId="0000006E">
            <w:pPr>
              <w:pStyle w:val="Normal(Web)"/>
              <w:spacing w:line="360" w:lineRule="auto"/>
              <w:jc w:val="both"/>
              <w:rPr/>
            </w:pPr>
            <w:r>
              <w:t>33.8</w:t>
            </w:r>
          </w:p>
        </w:tc>
      </w:tr>
      <w:tr>
        <w:trPr/>
        <w:tc>
          <w:tcPr>
            <w:cnfStyle w:val="001000010000"/>
            <w:tcW w:w="0" w:type="auto"/>
          </w:tcPr>
          <w:p w14:paraId="0000006F">
            <w:pPr>
              <w:pStyle w:val="Normal(Web)"/>
              <w:spacing w:line="360" w:lineRule="auto"/>
              <w:jc w:val="both"/>
              <w:rPr/>
            </w:pPr>
            <w:r>
              <w:t>Credibility concerns</w:t>
            </w:r>
          </w:p>
        </w:tc>
        <w:tc>
          <w:tcPr>
            <w:cnfStyle w:val="000000010000"/>
            <w:tcW w:w="0" w:type="auto"/>
          </w:tcPr>
          <w:p w14:paraId="00000070">
            <w:pPr>
              <w:pStyle w:val="Normal(Web)"/>
              <w:spacing w:line="360" w:lineRule="auto"/>
              <w:jc w:val="both"/>
              <w:rPr/>
            </w:pPr>
            <w:r>
              <w:t>58.9</w:t>
            </w:r>
          </w:p>
        </w:tc>
        <w:tc>
          <w:tcPr>
            <w:cnfStyle w:val="000000010000"/>
            <w:tcW w:w="0" w:type="auto"/>
          </w:tcPr>
          <w:p w14:paraId="00000071">
            <w:pPr>
              <w:pStyle w:val="Normal(Web)"/>
              <w:spacing w:line="360" w:lineRule="auto"/>
              <w:jc w:val="both"/>
              <w:rPr/>
            </w:pPr>
            <w:r>
              <w:t>41.1</w:t>
            </w:r>
          </w:p>
        </w:tc>
      </w:tr>
    </w:tbl>
    <w:p w14:paraId="00000072">
      <w:pPr>
        <w:pStyle w:val="Normal(Web)"/>
        <w:spacing w:line="360" w:lineRule="auto"/>
        <w:jc w:val="both"/>
        <w:rPr/>
      </w:pPr>
      <w:r>
        <w:t xml:space="preserve">The findings reveal that </w:t>
      </w:r>
      <w:r>
        <w:rPr>
          <w:bCs/>
        </w:rPr>
        <w:t>poor internet connectivity</w:t>
      </w:r>
      <w:r>
        <w:t xml:space="preserve"> (79.3%) and </w:t>
      </w:r>
      <w:r>
        <w:rPr>
          <w:bCs/>
        </w:rPr>
        <w:t>inadequate ICT infrastructure</w:t>
      </w:r>
      <w:r>
        <w:t xml:space="preserve"> (74.5%) constitute the most critical challenges to Open Access utilization. These infrastructural constraints significantly limit consistent access to online scholarly resources. Additionally, </w:t>
      </w:r>
      <w:r>
        <w:rPr>
          <w:bCs/>
        </w:rPr>
        <w:t>limited digital literacy</w:t>
      </w:r>
      <w:r>
        <w:t xml:space="preserve"> (66.2%) emerged as a major challenge, indicating that many users lack the necessary skills to effectively locate, evaluate, and use OA materials. Concerns regarding the </w:t>
      </w:r>
      <w:r>
        <w:rPr>
          <w:bCs/>
        </w:rPr>
        <w:t>credibility of OA publications</w:t>
      </w:r>
      <w:r>
        <w:t xml:space="preserve"> were also prominent, reflecting persistent skepticism about the quality of Open Access content.</w:t>
      </w:r>
    </w:p>
    <w:p w14:paraId="00000073">
      <w:pPr>
        <w:pStyle w:val="Normal(Web)"/>
        <w:spacing w:line="360" w:lineRule="auto"/>
        <w:jc w:val="both"/>
        <w:rPr/>
      </w:pPr>
      <w:r>
        <w:t>A further chi-square analysis was conducted to examine differences in perceived challenges between lecturers and students. The results are presented in Table 4.</w:t>
      </w:r>
    </w:p>
    <w:p w14:paraId="00000074">
      <w:pPr>
        <w:pStyle w:val="Normal(Web)"/>
        <w:spacing w:line="360" w:lineRule="auto"/>
        <w:jc w:val="both"/>
        <w:rPr/>
      </w:pPr>
      <w:r>
        <w:rPr>
          <w:bCs/>
        </w:rPr>
        <w:t>Table 4: Perceived Challenges to Open Access Utilization by User Category</w:t>
      </w:r>
    </w:p>
    <w:tbl>
      <w:tblPr>
        <w:tblStyle w:val="TableGrid"/>
        <w:tblW w:w="0" w:type="auto"/>
        <w:tblLook w:val="04A0"/>
      </w:tblPr>
      <w:tblGrid>
        <w:gridCol w:w="2976"/>
        <w:gridCol w:w="2459"/>
        <w:gridCol w:w="2348"/>
        <w:gridCol w:w="678"/>
        <w:gridCol w:w="1115"/>
      </w:tblGrid>
      <w:tr>
        <w:trPr/>
        <w:tc>
          <w:tcPr>
            <w:cnfStyle w:val="101000000000"/>
            <w:tcW w:w="0" w:type="auto"/>
          </w:tcPr>
          <w:p w14:paraId="00000075">
            <w:pPr>
              <w:pStyle w:val="Normal(Web)"/>
              <w:spacing w:line="360" w:lineRule="auto"/>
              <w:jc w:val="both"/>
              <w:rPr>
                <w:b/>
                <w:bCs/>
              </w:rPr>
            </w:pPr>
            <w:r>
              <w:rPr>
                <w:b/>
                <w:bCs/>
              </w:rPr>
              <w:t>Challenge</w:t>
            </w:r>
          </w:p>
        </w:tc>
        <w:tc>
          <w:tcPr>
            <w:cnfStyle w:val="100000000000"/>
            <w:tcW w:w="0" w:type="auto"/>
          </w:tcPr>
          <w:p w14:paraId="00000076">
            <w:pPr>
              <w:pStyle w:val="Normal(Web)"/>
              <w:spacing w:line="360" w:lineRule="auto"/>
              <w:jc w:val="both"/>
              <w:rPr>
                <w:b/>
                <w:bCs/>
              </w:rPr>
            </w:pPr>
            <w:r>
              <w:rPr>
                <w:b/>
                <w:bCs/>
              </w:rPr>
              <w:t>Lecturers Agree (%)</w:t>
            </w:r>
          </w:p>
        </w:tc>
        <w:tc>
          <w:tcPr>
            <w:cnfStyle w:val="100000000000"/>
            <w:tcW w:w="0" w:type="auto"/>
          </w:tcPr>
          <w:p w14:paraId="00000077">
            <w:pPr>
              <w:pStyle w:val="Normal(Web)"/>
              <w:spacing w:line="360" w:lineRule="auto"/>
              <w:jc w:val="both"/>
              <w:rPr>
                <w:b/>
                <w:bCs/>
              </w:rPr>
            </w:pPr>
            <w:r>
              <w:rPr>
                <w:b/>
                <w:bCs/>
              </w:rPr>
              <w:t>Students Agree (%)</w:t>
            </w:r>
          </w:p>
        </w:tc>
        <w:tc>
          <w:tcPr>
            <w:cnfStyle w:val="100000000000"/>
            <w:tcW w:w="0" w:type="auto"/>
          </w:tcPr>
          <w:p w14:paraId="00000078">
            <w:pPr>
              <w:pStyle w:val="Normal(Web)"/>
              <w:spacing w:line="360" w:lineRule="auto"/>
              <w:jc w:val="both"/>
              <w:rPr>
                <w:b/>
                <w:bCs/>
              </w:rPr>
            </w:pPr>
            <w:r>
              <w:rPr>
                <w:b/>
                <w:bCs/>
              </w:rPr>
              <w:t>χ²</w:t>
            </w:r>
          </w:p>
        </w:tc>
        <w:tc>
          <w:tcPr>
            <w:cnfStyle w:val="100000000000"/>
            <w:tcW w:w="0" w:type="auto"/>
          </w:tcPr>
          <w:p w14:paraId="00000079">
            <w:pPr>
              <w:pStyle w:val="Normal(Web)"/>
              <w:spacing w:line="360" w:lineRule="auto"/>
              <w:jc w:val="both"/>
              <w:rPr>
                <w:b/>
                <w:bCs/>
              </w:rPr>
            </w:pPr>
            <w:r>
              <w:rPr>
                <w:b/>
                <w:bCs/>
              </w:rPr>
              <w:t>p-value</w:t>
            </w:r>
          </w:p>
        </w:tc>
      </w:tr>
      <w:tr>
        <w:trPr/>
        <w:tc>
          <w:tcPr>
            <w:cnfStyle w:val="001000100000"/>
            <w:tcW w:w="0" w:type="auto"/>
          </w:tcPr>
          <w:p w14:paraId="0000007A">
            <w:pPr>
              <w:pStyle w:val="Normal(Web)"/>
              <w:spacing w:line="360" w:lineRule="auto"/>
              <w:jc w:val="both"/>
              <w:rPr/>
            </w:pPr>
            <w:r>
              <w:t>Poor internet connectivity</w:t>
            </w:r>
          </w:p>
        </w:tc>
        <w:tc>
          <w:tcPr>
            <w:cnfStyle w:val="000000100000"/>
            <w:tcW w:w="0" w:type="auto"/>
          </w:tcPr>
          <w:p w14:paraId="0000007B">
            <w:pPr>
              <w:pStyle w:val="Normal(Web)"/>
              <w:spacing w:line="360" w:lineRule="auto"/>
              <w:jc w:val="both"/>
              <w:rPr/>
            </w:pPr>
            <w:r>
              <w:t>75.0</w:t>
            </w:r>
          </w:p>
        </w:tc>
        <w:tc>
          <w:tcPr>
            <w:cnfStyle w:val="000000100000"/>
            <w:tcW w:w="0" w:type="auto"/>
          </w:tcPr>
          <w:p w14:paraId="0000007C">
            <w:pPr>
              <w:pStyle w:val="Normal(Web)"/>
              <w:spacing w:line="360" w:lineRule="auto"/>
              <w:jc w:val="both"/>
              <w:rPr/>
            </w:pPr>
            <w:r>
              <w:t>81.0</w:t>
            </w:r>
          </w:p>
        </w:tc>
        <w:tc>
          <w:tcPr>
            <w:cnfStyle w:val="000000100000"/>
            <w:tcW w:w="0" w:type="auto"/>
          </w:tcPr>
          <w:p w14:paraId="0000007D">
            <w:pPr>
              <w:pStyle w:val="Normal(Web)"/>
              <w:spacing w:line="360" w:lineRule="auto"/>
              <w:jc w:val="both"/>
              <w:rPr/>
            </w:pPr>
            <w:r>
              <w:t>3.84</w:t>
            </w:r>
          </w:p>
        </w:tc>
        <w:tc>
          <w:tcPr>
            <w:cnfStyle w:val="000000100000"/>
            <w:tcW w:w="0" w:type="auto"/>
          </w:tcPr>
          <w:p w14:paraId="0000007E">
            <w:pPr>
              <w:pStyle w:val="Normal(Web)"/>
              <w:spacing w:line="360" w:lineRule="auto"/>
              <w:jc w:val="both"/>
              <w:rPr/>
            </w:pPr>
            <w:r>
              <w:t>&lt; 0.05</w:t>
            </w:r>
          </w:p>
        </w:tc>
      </w:tr>
      <w:tr>
        <w:trPr/>
        <w:tc>
          <w:tcPr>
            <w:cnfStyle w:val="001000010000"/>
            <w:tcW w:w="0" w:type="auto"/>
          </w:tcPr>
          <w:p w14:paraId="0000007F">
            <w:pPr>
              <w:pStyle w:val="Normal(Web)"/>
              <w:spacing w:line="360" w:lineRule="auto"/>
              <w:jc w:val="both"/>
              <w:rPr/>
            </w:pPr>
            <w:r>
              <w:t>Limited digital literacy</w:t>
            </w:r>
          </w:p>
        </w:tc>
        <w:tc>
          <w:tcPr>
            <w:cnfStyle w:val="000000010000"/>
            <w:tcW w:w="0" w:type="auto"/>
          </w:tcPr>
          <w:p w14:paraId="00000080">
            <w:pPr>
              <w:pStyle w:val="Normal(Web)"/>
              <w:spacing w:line="360" w:lineRule="auto"/>
              <w:jc w:val="both"/>
              <w:rPr/>
            </w:pPr>
            <w:r>
              <w:t>52.5</w:t>
            </w:r>
          </w:p>
        </w:tc>
        <w:tc>
          <w:tcPr>
            <w:cnfStyle w:val="000000010000"/>
            <w:tcW w:w="0" w:type="auto"/>
          </w:tcPr>
          <w:p w14:paraId="00000081">
            <w:pPr>
              <w:pStyle w:val="Normal(Web)"/>
              <w:spacing w:line="360" w:lineRule="auto"/>
              <w:jc w:val="both"/>
              <w:rPr/>
            </w:pPr>
            <w:r>
              <w:t>71.3</w:t>
            </w:r>
          </w:p>
        </w:tc>
        <w:tc>
          <w:tcPr>
            <w:cnfStyle w:val="000000010000"/>
            <w:tcW w:w="0" w:type="auto"/>
          </w:tcPr>
          <w:p w14:paraId="00000082">
            <w:pPr>
              <w:pStyle w:val="Normal(Web)"/>
              <w:spacing w:line="360" w:lineRule="auto"/>
              <w:jc w:val="both"/>
              <w:rPr/>
            </w:pPr>
            <w:r>
              <w:t>9.67</w:t>
            </w:r>
          </w:p>
        </w:tc>
        <w:tc>
          <w:tcPr>
            <w:cnfStyle w:val="000000010000"/>
            <w:tcW w:w="0" w:type="auto"/>
          </w:tcPr>
          <w:p w14:paraId="00000083">
            <w:pPr>
              <w:pStyle w:val="Normal(Web)"/>
              <w:spacing w:line="360" w:lineRule="auto"/>
              <w:jc w:val="both"/>
              <w:rPr/>
            </w:pPr>
            <w:r>
              <w:t>&lt; 0.05</w:t>
            </w:r>
          </w:p>
        </w:tc>
      </w:tr>
      <w:tr>
        <w:trPr/>
        <w:tc>
          <w:tcPr>
            <w:cnfStyle w:val="001000100000"/>
            <w:tcW w:w="0" w:type="auto"/>
          </w:tcPr>
          <w:p w14:paraId="00000084">
            <w:pPr>
              <w:pStyle w:val="Normal(Web)"/>
              <w:spacing w:line="360" w:lineRule="auto"/>
              <w:jc w:val="both"/>
              <w:rPr/>
            </w:pPr>
            <w:r>
              <w:t>Credibility concerns</w:t>
            </w:r>
          </w:p>
        </w:tc>
        <w:tc>
          <w:tcPr>
            <w:cnfStyle w:val="000000100000"/>
            <w:tcW w:w="0" w:type="auto"/>
          </w:tcPr>
          <w:p w14:paraId="00000085">
            <w:pPr>
              <w:pStyle w:val="Normal(Web)"/>
              <w:spacing w:line="360" w:lineRule="auto"/>
              <w:jc w:val="both"/>
              <w:rPr/>
            </w:pPr>
            <w:r>
              <w:t>61.7</w:t>
            </w:r>
          </w:p>
        </w:tc>
        <w:tc>
          <w:tcPr>
            <w:cnfStyle w:val="000000100000"/>
            <w:tcW w:w="0" w:type="auto"/>
          </w:tcPr>
          <w:p w14:paraId="00000086">
            <w:pPr>
              <w:pStyle w:val="Normal(Web)"/>
              <w:spacing w:line="360" w:lineRule="auto"/>
              <w:jc w:val="both"/>
              <w:rPr/>
            </w:pPr>
            <w:r>
              <w:t>57.7</w:t>
            </w:r>
          </w:p>
        </w:tc>
        <w:tc>
          <w:tcPr>
            <w:cnfStyle w:val="000000100000"/>
            <w:tcW w:w="0" w:type="auto"/>
          </w:tcPr>
          <w:p w14:paraId="00000087">
            <w:pPr>
              <w:pStyle w:val="Normal(Web)"/>
              <w:spacing w:line="360" w:lineRule="auto"/>
              <w:jc w:val="both"/>
              <w:rPr/>
            </w:pPr>
            <w:r>
              <w:t>1.12</w:t>
            </w:r>
          </w:p>
        </w:tc>
        <w:tc>
          <w:tcPr>
            <w:cnfStyle w:val="000000100000"/>
            <w:tcW w:w="0" w:type="auto"/>
          </w:tcPr>
          <w:p w14:paraId="00000088">
            <w:pPr>
              <w:pStyle w:val="Normal(Web)"/>
              <w:spacing w:line="360" w:lineRule="auto"/>
              <w:jc w:val="both"/>
              <w:rPr/>
            </w:pPr>
            <w:r>
              <w:t>&gt; 0.05</w:t>
            </w:r>
          </w:p>
        </w:tc>
      </w:tr>
    </w:tbl>
    <w:p w14:paraId="00000089">
      <w:pPr>
        <w:pStyle w:val="Normal(Web)"/>
        <w:spacing w:line="360" w:lineRule="auto"/>
        <w:jc w:val="both"/>
        <w:rPr/>
      </w:pPr>
      <w:r>
        <w:t xml:space="preserve">The results indicate </w:t>
      </w:r>
      <w:r>
        <w:rPr>
          <w:bCs/>
        </w:rPr>
        <w:t>statistically significant differences</w:t>
      </w:r>
      <w:r>
        <w:t xml:space="preserve"> between lecturers and students regarding poor internet connectivity and limited digital literacy. Students reported greater difficulty related to digital literacy, while no significant difference was observed between the two groups concerning credibility concerns. This suggests that although both lecturers and students share similar perceptions about OA credibility, students face greater challenges in acquiring the skills required to effectively use OA resources.</w:t>
      </w:r>
    </w:p>
    <w:p w14:paraId="0000008A">
      <w:pPr>
        <w:pStyle w:val="Normal(Web)"/>
        <w:spacing w:line="360" w:lineRule="auto"/>
        <w:jc w:val="both"/>
        <w:rPr>
          <w:bCs/>
        </w:rPr>
      </w:pPr>
      <w:r>
        <w:rPr>
          <w:bCs/>
        </w:rPr>
        <w:t>4.</w:t>
      </w:r>
      <w:r>
        <w:rPr>
          <w:bCs/>
        </w:rPr>
        <w:t>1</w:t>
      </w:r>
      <w:r>
        <w:rPr>
          <w:bCs/>
        </w:rPr>
        <w:t xml:space="preserve"> Discussion of Findings</w:t>
      </w:r>
    </w:p>
    <w:p w14:paraId="0000008B">
      <w:pPr>
        <w:pStyle w:val="Normal(Web)"/>
        <w:spacing w:line="360" w:lineRule="auto"/>
        <w:jc w:val="both"/>
        <w:rPr/>
      </w:pPr>
      <w:r>
        <w:t>The findings of this study demonstrate that awareness of Open Access materials among lecturers and students in Colleges of Education is generally moderate but uneven across user categories. Lecturers exhibited significantly higher awareness levels than students, reflecting greater involvement in research and scholarly communication. However, awareness alone did not translate into effective utilization due to persistent infrastructural and technological barriers.</w:t>
      </w:r>
    </w:p>
    <w:p w14:paraId="0000008C">
      <w:pPr>
        <w:pStyle w:val="Normal(Web)"/>
        <w:spacing w:line="360" w:lineRule="auto"/>
        <w:jc w:val="both"/>
        <w:rPr/>
      </w:pPr>
      <w:r>
        <w:t>Poor internet connectivity and inadequate ICT infrastructure emerged as the most significant impediments to Open Access utilization, confirming earlier assertions that institutional capacity largely determines access to digital resources in developing countries (</w:t>
      </w:r>
      <w:r>
        <w:t>Ezema</w:t>
      </w:r>
      <w:r>
        <w:t xml:space="preserve">, 2013; </w:t>
      </w:r>
      <w:r>
        <w:t>Ezema</w:t>
      </w:r>
      <w:r>
        <w:t xml:space="preserve"> &amp; </w:t>
      </w:r>
      <w:r>
        <w:t>Eze</w:t>
      </w:r>
      <w:r>
        <w:t xml:space="preserve">, 2024). Limited digital literacy—particularly among students—further constrained effective use of OA materials, corroborating findings by </w:t>
      </w:r>
      <w:r>
        <w:t>Okiki</w:t>
      </w:r>
      <w:r>
        <w:t xml:space="preserve"> (2013) and </w:t>
      </w:r>
      <w:r>
        <w:t>Tenya</w:t>
      </w:r>
      <w:r>
        <w:t xml:space="preserve"> et al. (2024). In addition, concerns about the credibility of Open Access publications underscore the negative influence of predatory publishing practices on user trust (Shen &amp; </w:t>
      </w:r>
      <w:r>
        <w:t>Björk</w:t>
      </w:r>
      <w:r>
        <w:t xml:space="preserve">, 2015; </w:t>
      </w:r>
      <w:r>
        <w:t>Espen</w:t>
      </w:r>
      <w:r>
        <w:t xml:space="preserve"> &amp; Henrik, 2024).</w:t>
      </w:r>
    </w:p>
    <w:p w14:paraId="0000008D">
      <w:pPr>
        <w:pStyle w:val="Normal(Web)"/>
        <w:spacing w:line="360" w:lineRule="auto"/>
        <w:jc w:val="both"/>
        <w:rPr/>
      </w:pPr>
      <w:r>
        <w:t>Therefore</w:t>
      </w:r>
      <w:r>
        <w:t xml:space="preserve">, the results suggest that improving Open Access utilization in Colleges of Education requires a </w:t>
      </w:r>
      <w:r>
        <w:rPr>
          <w:bCs/>
        </w:rPr>
        <w:t>comprehensive institutional approach</w:t>
      </w:r>
      <w:r>
        <w:t xml:space="preserve"> that integrates infrastructural development, targeted digital literacy training, and sustained awareness creation. Strengthening the role of academic libraries as hubs for Open Access advocacy and user support is particularly critical for addressing both technical and perceptual barriers identified in this study.</w:t>
      </w:r>
    </w:p>
    <w:p w14:paraId="0000008E">
      <w:pPr>
        <w:pStyle w:val="Heading2"/>
        <w:spacing w:line="360" w:lineRule="auto"/>
        <w:rPr>
          <w:rFonts w:ascii="Times New Roman" w:cs="Times New Roman" w:hAnsi="Times New Roman"/>
          <w:sz w:val="24"/>
          <w:szCs w:val="24"/>
        </w:rPr>
      </w:pPr>
      <w:bookmarkEnd w:id="5"/>
      <w:bookmarkStart w:id="6" w:name="conclusion-and-recommendations"/>
      <w:r>
        <w:rPr>
          <w:rFonts w:ascii="Times New Roman" w:cs="Times New Roman" w:hAnsi="Times New Roman"/>
          <w:sz w:val="24"/>
          <w:szCs w:val="24"/>
        </w:rPr>
        <w:t xml:space="preserve">5. Conclusion </w:t>
      </w:r>
    </w:p>
    <w:p w14:paraId="0000008F">
      <w:pPr>
        <w:spacing w:line="360" w:lineRule="auto"/>
        <w:jc w:val="both"/>
        <w:rPr>
          <w:rFonts w:ascii="Times New Roman" w:cs="Times New Roman" w:hAnsi="Times New Roman"/>
        </w:rPr>
      </w:pPr>
      <w:bookmarkStart w:id="7" w:name="recommendations"/>
      <w:r>
        <w:rPr>
          <w:rFonts w:ascii="Times New Roman" w:cs="Times New Roman" w:hAnsi="Times New Roman"/>
        </w:rPr>
        <w:t>This research found out that, despite the general average awareness of Open Access materials among lecturers and students in Colleges of Education in Osun State, efficient use is limited due to infrastructural, technological, and perceptual issues. Poor internet connectivity and substandard ICT facilities proved the most serious barriers and low levels of digital literacy especially among the students were the limiting factors to meaningful access to Open Access resources. Issues of the reputability of Open Access journals also contributed to adoption. These results highlight the necessity to invest in digital infrastructure and capacity building and Open Access advocacy sustained by academic libraries and through supportive regulatory frameworks. The present study might be further developed in the future through the use of longitudinal or experimental research to test the effects of digital literacy interventions and infrastructural upgrades on the use of open access in various regions and institutions. By resolving these challenges, Colleges of education will better utilize Open Access to enhance their productivity in teaching, learning and research.</w:t>
      </w:r>
    </w:p>
    <w:p w14:paraId="00000090">
      <w:pPr>
        <w:pStyle w:val="Heading2"/>
        <w:spacing w:line="360" w:lineRule="auto"/>
        <w:rPr>
          <w:rFonts w:ascii="Times New Roman" w:cs="Times New Roman" w:hAnsi="Times New Roman"/>
          <w:sz w:val="24"/>
          <w:szCs w:val="24"/>
        </w:rPr>
      </w:pPr>
      <w:bookmarkEnd w:id="6"/>
      <w:bookmarkEnd w:id="7"/>
      <w:bookmarkStart w:id="8" w:name="references"/>
    </w:p>
    <w:p w14:paraId="00000091">
      <w:pPr>
        <w:pStyle w:val="Heading2"/>
        <w:spacing w:line="360" w:lineRule="auto"/>
        <w:rPr>
          <w:rFonts w:ascii="Times New Roman" w:cs="Times New Roman" w:hAnsi="Times New Roman"/>
          <w:sz w:val="24"/>
          <w:szCs w:val="24"/>
        </w:rPr>
      </w:pPr>
    </w:p>
    <w:p w14:paraId="00000092">
      <w:pPr>
        <w:rPr>
          <w:rFonts w:ascii="Times New Roman" w:cs="Times New Roman" w:hAnsi="Times New Roman"/>
        </w:rPr>
      </w:pPr>
    </w:p>
    <w:p w14:paraId="00000093">
      <w:pPr>
        <w:rPr>
          <w:rFonts w:ascii="Times New Roman" w:cs="Times New Roman" w:hAnsi="Times New Roman"/>
        </w:rPr>
      </w:pPr>
    </w:p>
    <w:p w14:paraId="00000094">
      <w:pPr>
        <w:rPr>
          <w:rFonts w:ascii="Times New Roman" w:cs="Times New Roman" w:hAnsi="Times New Roman"/>
        </w:rPr>
      </w:pPr>
    </w:p>
    <w:p w14:paraId="00000095">
      <w:pPr>
        <w:rPr>
          <w:rFonts w:ascii="Times New Roman" w:cs="Times New Roman" w:hAnsi="Times New Roman"/>
        </w:rPr>
      </w:pPr>
    </w:p>
    <w:p w14:paraId="00000096">
      <w:pPr>
        <w:rPr>
          <w:rFonts w:ascii="Times New Roman" w:cs="Times New Roman" w:hAnsi="Times New Roman"/>
        </w:rPr>
      </w:pPr>
    </w:p>
    <w:p w14:paraId="00000097">
      <w:pPr>
        <w:rPr>
          <w:rFonts w:ascii="Times New Roman" w:cs="Times New Roman" w:hAnsi="Times New Roman"/>
        </w:rPr>
      </w:pPr>
      <w:r>
        <w:rPr>
          <w:rFonts w:ascii="Times New Roman" w:cs="Times New Roman" w:hAnsi="Times New Roman"/>
        </w:rPr>
        <w:t>References</w:t>
      </w:r>
    </w:p>
    <w:p w14:paraId="00000098">
      <w:pPr>
        <w:pStyle w:val="FirstParagraph"/>
        <w:spacing w:line="360" w:lineRule="auto"/>
        <w:jc w:val="both"/>
        <w:rPr>
          <w:rFonts w:ascii="Times New Roman" w:cs="Times New Roman" w:hAnsi="Times New Roman"/>
        </w:rPr>
      </w:pPr>
      <w:bookmarkEnd w:id="0"/>
      <w:bookmarkEnd w:id="8"/>
      <w:r>
        <w:rPr>
          <w:rFonts w:ascii="Times New Roman" w:cs="Times New Roman" w:hAnsi="Times New Roman"/>
        </w:rPr>
        <w:t>Abrizah</w:t>
      </w:r>
      <w:r>
        <w:rPr>
          <w:rFonts w:ascii="Times New Roman" w:cs="Times New Roman" w:hAnsi="Times New Roman"/>
        </w:rPr>
        <w:t xml:space="preserve">, A. (2010). </w:t>
      </w:r>
      <w:r>
        <w:rPr>
          <w:rFonts w:ascii="Times New Roman" w:cs="Times New Roman" w:hAnsi="Times New Roman"/>
        </w:rPr>
        <w:t>Populating institutional repositories: Faculty attitudes and behavior.</w:t>
      </w:r>
      <w:r>
        <w:rPr>
          <w:rFonts w:ascii="Times New Roman" w:cs="Times New Roman" w:hAnsi="Times New Roman"/>
        </w:rPr>
        <w:t xml:space="preserve"> </w:t>
      </w:r>
      <w:r>
        <w:rPr>
          <w:rFonts w:ascii="Times New Roman" w:cs="Times New Roman" w:hAnsi="Times New Roman"/>
          <w:i/>
          <w:iCs/>
        </w:rPr>
        <w:t>Library &amp; Information Science Research, 32</w:t>
      </w:r>
      <w:r>
        <w:rPr>
          <w:rFonts w:ascii="Times New Roman" w:cs="Times New Roman" w:hAnsi="Times New Roman"/>
        </w:rPr>
        <w:t>(2), 137–146. https://doi.org/10.1016/j.lisr.2009.10.007</w:t>
      </w:r>
    </w:p>
    <w:p w14:paraId="00000099">
      <w:pPr>
        <w:pStyle w:val="FirstParagraph"/>
        <w:spacing w:line="360" w:lineRule="auto"/>
        <w:jc w:val="both"/>
        <w:rPr>
          <w:rFonts w:ascii="Times New Roman" w:cs="Times New Roman" w:hAnsi="Times New Roman"/>
        </w:rPr>
      </w:pPr>
      <w:r>
        <w:rPr>
          <w:rFonts w:ascii="Times New Roman" w:cs="Times New Roman" w:hAnsi="Times New Roman"/>
        </w:rPr>
        <w:t>Agyen</w:t>
      </w:r>
      <w:r>
        <w:rPr>
          <w:rFonts w:ascii="Times New Roman" w:cs="Times New Roman" w:hAnsi="Times New Roman"/>
        </w:rPr>
        <w:t xml:space="preserve">-Gyasi, K., </w:t>
      </w:r>
      <w:r>
        <w:rPr>
          <w:rFonts w:ascii="Times New Roman" w:cs="Times New Roman" w:hAnsi="Times New Roman"/>
        </w:rPr>
        <w:t>Lamptey</w:t>
      </w:r>
      <w:r>
        <w:rPr>
          <w:rFonts w:ascii="Times New Roman" w:cs="Times New Roman" w:hAnsi="Times New Roman"/>
        </w:rPr>
        <w:t xml:space="preserve">, R. B., &amp; </w:t>
      </w:r>
      <w:r>
        <w:rPr>
          <w:rFonts w:ascii="Times New Roman" w:cs="Times New Roman" w:hAnsi="Times New Roman"/>
        </w:rPr>
        <w:t>Frempong</w:t>
      </w:r>
      <w:r>
        <w:rPr>
          <w:rFonts w:ascii="Times New Roman" w:cs="Times New Roman" w:hAnsi="Times New Roman"/>
        </w:rPr>
        <w:t>, A. (2010).</w:t>
      </w:r>
      <w:r>
        <w:rPr>
          <w:rFonts w:ascii="Times New Roman" w:cs="Times New Roman" w:hAnsi="Times New Roman"/>
        </w:rPr>
        <w:t xml:space="preserve"> </w:t>
      </w:r>
      <w:r>
        <w:rPr>
          <w:rFonts w:ascii="Times New Roman" w:cs="Times New Roman" w:hAnsi="Times New Roman"/>
        </w:rPr>
        <w:t>Academic librarians’ role in maximizing access to research publications in Ghana.</w:t>
      </w:r>
      <w:r>
        <w:rPr>
          <w:rFonts w:ascii="Times New Roman" w:cs="Times New Roman" w:hAnsi="Times New Roman"/>
        </w:rPr>
        <w:t xml:space="preserve"> </w:t>
      </w:r>
      <w:r>
        <w:rPr>
          <w:rFonts w:ascii="Times New Roman" w:cs="Times New Roman" w:hAnsi="Times New Roman"/>
          <w:i/>
          <w:iCs/>
        </w:rPr>
        <w:t>Library Philosophy and Practice</w:t>
      </w:r>
      <w:r>
        <w:rPr>
          <w:rFonts w:ascii="Times New Roman" w:cs="Times New Roman" w:hAnsi="Times New Roman"/>
        </w:rPr>
        <w:t>, 1–13.</w:t>
      </w:r>
    </w:p>
    <w:p w14:paraId="0000009A">
      <w:pPr>
        <w:pStyle w:val="FirstParagraph"/>
        <w:spacing w:line="360" w:lineRule="auto"/>
        <w:jc w:val="both"/>
        <w:rPr>
          <w:rFonts w:ascii="Times New Roman" w:cs="Times New Roman" w:hAnsi="Times New Roman"/>
        </w:rPr>
      </w:pPr>
      <w:r>
        <w:rPr>
          <w:rFonts w:ascii="Times New Roman" w:cs="Times New Roman" w:hAnsi="Times New Roman"/>
        </w:rPr>
        <w:t>Akpojotor</w:t>
      </w:r>
      <w:r>
        <w:rPr>
          <w:rFonts w:ascii="Times New Roman" w:cs="Times New Roman" w:hAnsi="Times New Roman"/>
        </w:rPr>
        <w:t xml:space="preserve">, L. O., &amp; </w:t>
      </w:r>
      <w:r>
        <w:rPr>
          <w:rFonts w:ascii="Times New Roman" w:cs="Times New Roman" w:hAnsi="Times New Roman"/>
        </w:rPr>
        <w:t>Ekuerhare</w:t>
      </w:r>
      <w:r>
        <w:rPr>
          <w:rFonts w:ascii="Times New Roman" w:cs="Times New Roman" w:hAnsi="Times New Roman"/>
        </w:rPr>
        <w:t>, O. (2024).</w:t>
      </w:r>
      <w:r>
        <w:rPr>
          <w:rFonts w:ascii="Times New Roman" w:cs="Times New Roman" w:hAnsi="Times New Roman"/>
        </w:rPr>
        <w:t xml:space="preserve"> </w:t>
      </w:r>
      <w:r>
        <w:rPr>
          <w:rFonts w:ascii="Times New Roman" w:cs="Times New Roman" w:hAnsi="Times New Roman"/>
        </w:rPr>
        <w:t>Use of open access publications and lecturers’ research productivity in polytechnics in South-South Nigeria.</w:t>
      </w:r>
      <w:r>
        <w:rPr>
          <w:rFonts w:ascii="Times New Roman" w:cs="Times New Roman" w:hAnsi="Times New Roman"/>
        </w:rPr>
        <w:t xml:space="preserve"> </w:t>
      </w:r>
      <w:r>
        <w:rPr>
          <w:rFonts w:ascii="Times New Roman" w:cs="Times New Roman" w:hAnsi="Times New Roman"/>
          <w:i/>
          <w:iCs/>
        </w:rPr>
        <w:t>Information Impact: Journal of Information and Knowledge Management, 15</w:t>
      </w:r>
      <w:r>
        <w:rPr>
          <w:rFonts w:ascii="Times New Roman" w:cs="Times New Roman" w:hAnsi="Times New Roman"/>
        </w:rPr>
        <w:t>(1), 111–128.</w:t>
      </w:r>
    </w:p>
    <w:p w14:paraId="0000009B">
      <w:pPr>
        <w:pStyle w:val="FirstParagraph"/>
        <w:spacing w:line="360" w:lineRule="auto"/>
        <w:jc w:val="both"/>
        <w:rPr>
          <w:rFonts w:ascii="Times New Roman" w:cs="Times New Roman" w:hAnsi="Times New Roman"/>
        </w:rPr>
      </w:pPr>
      <w:r>
        <w:rPr>
          <w:rFonts w:ascii="Times New Roman" w:cs="Times New Roman" w:hAnsi="Times New Roman"/>
        </w:rPr>
        <w:t xml:space="preserve">Beall, J. (2016). Dangerous predatory publishers threaten medical research. </w:t>
      </w:r>
      <w:r>
        <w:rPr>
          <w:rFonts w:ascii="Times New Roman" w:cs="Times New Roman" w:hAnsi="Times New Roman"/>
          <w:i/>
          <w:iCs/>
        </w:rPr>
        <w:t>Journal of Korean Medical Science, 31</w:t>
      </w:r>
      <w:r>
        <w:rPr>
          <w:rFonts w:ascii="Times New Roman" w:cs="Times New Roman" w:hAnsi="Times New Roman"/>
        </w:rPr>
        <w:t>(10), 1511–1513. https://doi.org/10.3346/jkms.2016.31.10.1511</w:t>
      </w:r>
    </w:p>
    <w:p w14:paraId="0000009C">
      <w:pPr>
        <w:pStyle w:val="FirstParagraph"/>
        <w:spacing w:line="360" w:lineRule="auto"/>
        <w:jc w:val="both"/>
        <w:rPr>
          <w:rFonts w:ascii="Times New Roman" w:cs="Times New Roman" w:hAnsi="Times New Roman"/>
        </w:rPr>
      </w:pPr>
      <w:r>
        <w:rPr>
          <w:rFonts w:ascii="Times New Roman" w:cs="Times New Roman" w:hAnsi="Times New Roman"/>
        </w:rPr>
        <w:t>Budapest Open Access Initiative.</w:t>
      </w:r>
      <w:r>
        <w:rPr>
          <w:rFonts w:ascii="Times New Roman" w:cs="Times New Roman" w:hAnsi="Times New Roman"/>
        </w:rPr>
        <w:t xml:space="preserve"> </w:t>
      </w:r>
      <w:r>
        <w:rPr>
          <w:rFonts w:ascii="Times New Roman" w:cs="Times New Roman" w:hAnsi="Times New Roman"/>
        </w:rPr>
        <w:t xml:space="preserve">(2002). </w:t>
      </w:r>
      <w:r>
        <w:rPr>
          <w:rFonts w:ascii="Times New Roman" w:cs="Times New Roman" w:hAnsi="Times New Roman"/>
          <w:i/>
          <w:iCs/>
        </w:rPr>
        <w:t>Budapest Open Access Initiative declaration</w:t>
      </w:r>
      <w:r>
        <w:rPr>
          <w:rFonts w:ascii="Times New Roman" w:cs="Times New Roman" w:hAnsi="Times New Roman"/>
        </w:rPr>
        <w:t>.</w:t>
      </w:r>
      <w:r>
        <w:rPr>
          <w:rFonts w:ascii="Times New Roman" w:cs="Times New Roman" w:hAnsi="Times New Roman"/>
        </w:rPr>
        <w:t xml:space="preserve"> </w:t>
      </w:r>
      <w:r>
        <w:rPr>
          <w:rStyle w:val="Hyperlink"/>
          <w:rFonts w:ascii="Times New Roman" w:cs="Times New Roman" w:hAnsi="Times New Roman"/>
        </w:rPr>
        <w:fldChar w:fldCharType="begin"/>
      </w:r>
      <w:r>
        <w:rPr>
          <w:rStyle w:val="Hyperlink"/>
          <w:rFonts w:ascii="Times New Roman" w:cs="Times New Roman" w:hAnsi="Times New Roman"/>
        </w:rPr>
        <w:instrText xml:space="preserve">HYPERLINK "https://www.budapestopenaccessinitiative.org" </w:instrText>
      </w:r>
      <w:r>
        <w:rPr>
          <w:rStyle w:val="Hyperlink"/>
          <w:rFonts w:ascii="Times New Roman" w:cs="Times New Roman" w:hAnsi="Times New Roman"/>
        </w:rPr>
        <w:fldChar w:fldCharType="separate"/>
      </w:r>
      <w:r>
        <w:rPr>
          <w:rStyle w:val="Hyperlink"/>
          <w:rFonts w:ascii="Times New Roman" w:cs="Times New Roman" w:hAnsi="Times New Roman"/>
        </w:rPr>
        <w:t>https://www.budapestopenaccessinitiative.org</w:t>
      </w:r>
      <w:r>
        <w:rPr>
          <w:rFonts w:ascii="Times New Roman" w:cs="Times New Roman" w:hAnsi="Times New Roman"/>
        </w:rPr>
        <w:fldChar w:fldCharType="end"/>
      </w:r>
    </w:p>
    <w:p w14:paraId="0000009D">
      <w:pPr>
        <w:pStyle w:val="FirstParagraph"/>
        <w:spacing w:line="360" w:lineRule="auto"/>
        <w:jc w:val="both"/>
        <w:rPr>
          <w:rFonts w:ascii="Times New Roman" w:cs="Times New Roman" w:hAnsi="Times New Roman"/>
        </w:rPr>
      </w:pPr>
      <w:r>
        <w:rPr>
          <w:rFonts w:ascii="Times New Roman" w:cs="Times New Roman" w:hAnsi="Times New Roman"/>
        </w:rPr>
        <w:t xml:space="preserve">Chan, L., </w:t>
      </w:r>
      <w:r>
        <w:rPr>
          <w:rFonts w:ascii="Times New Roman" w:cs="Times New Roman" w:hAnsi="Times New Roman"/>
        </w:rPr>
        <w:t>Okune</w:t>
      </w:r>
      <w:r>
        <w:rPr>
          <w:rFonts w:ascii="Times New Roman" w:cs="Times New Roman" w:hAnsi="Times New Roman"/>
        </w:rPr>
        <w:t xml:space="preserve">, A., </w:t>
      </w:r>
      <w:r>
        <w:rPr>
          <w:rFonts w:ascii="Times New Roman" w:cs="Times New Roman" w:hAnsi="Times New Roman"/>
        </w:rPr>
        <w:t>Sambuli</w:t>
      </w:r>
      <w:r>
        <w:rPr>
          <w:rFonts w:ascii="Times New Roman" w:cs="Times New Roman" w:hAnsi="Times New Roman"/>
        </w:rPr>
        <w:t xml:space="preserve">, N., &amp; </w:t>
      </w:r>
      <w:r>
        <w:rPr>
          <w:rFonts w:ascii="Times New Roman" w:cs="Times New Roman" w:hAnsi="Times New Roman"/>
        </w:rPr>
        <w:t>Hillyer</w:t>
      </w:r>
      <w:r>
        <w:rPr>
          <w:rFonts w:ascii="Times New Roman" w:cs="Times New Roman" w:hAnsi="Times New Roman"/>
        </w:rPr>
        <w:t xml:space="preserve">, B. (2019). </w:t>
      </w:r>
      <w:r>
        <w:rPr>
          <w:rFonts w:ascii="Times New Roman" w:cs="Times New Roman" w:hAnsi="Times New Roman"/>
        </w:rPr>
        <w:t>Contextualizing openness: Situating open science.</w:t>
      </w:r>
      <w:r>
        <w:rPr>
          <w:rFonts w:ascii="Times New Roman" w:cs="Times New Roman" w:hAnsi="Times New Roman"/>
        </w:rPr>
        <w:t xml:space="preserve"> </w:t>
      </w:r>
      <w:r>
        <w:rPr>
          <w:rFonts w:ascii="Times New Roman" w:cs="Times New Roman" w:hAnsi="Times New Roman"/>
          <w:i/>
          <w:iCs/>
        </w:rPr>
        <w:t>Journal of Information Policy, 9</w:t>
      </w:r>
      <w:r>
        <w:rPr>
          <w:rFonts w:ascii="Times New Roman" w:cs="Times New Roman" w:hAnsi="Times New Roman"/>
        </w:rPr>
        <w:t>, 1–16. https://doi.org/10.5325/jinfopoli.9.2019.0001</w:t>
      </w:r>
    </w:p>
    <w:p w14:paraId="0000009E">
      <w:pPr>
        <w:pStyle w:val="FirstParagraph"/>
        <w:spacing w:line="360" w:lineRule="auto"/>
        <w:jc w:val="both"/>
        <w:rPr>
          <w:rFonts w:ascii="Times New Roman" w:cs="Times New Roman" w:hAnsi="Times New Roman"/>
        </w:rPr>
      </w:pPr>
      <w:r>
        <w:rPr>
          <w:rFonts w:ascii="Times New Roman" w:cs="Times New Roman" w:hAnsi="Times New Roman"/>
        </w:rPr>
        <w:t xml:space="preserve">Christian, G. E. (2008). Issues and challenges to the development of open access institutional repositories in academic and research institutions in Nigeria. </w:t>
      </w:r>
      <w:r>
        <w:rPr>
          <w:rFonts w:ascii="Times New Roman" w:cs="Times New Roman" w:hAnsi="Times New Roman"/>
          <w:i/>
          <w:iCs/>
        </w:rPr>
        <w:t>Library Hi Tech, 26</w:t>
      </w:r>
      <w:r>
        <w:rPr>
          <w:rFonts w:ascii="Times New Roman" w:cs="Times New Roman" w:hAnsi="Times New Roman"/>
        </w:rPr>
        <w:t>(1), 5–18. https://doi.org/10.1108/07378830810857766</w:t>
      </w:r>
    </w:p>
    <w:p w14:paraId="0000009F">
      <w:pPr>
        <w:pStyle w:val="FirstParagraph"/>
        <w:spacing w:line="360" w:lineRule="auto"/>
        <w:jc w:val="both"/>
        <w:rPr>
          <w:rFonts w:ascii="Times New Roman" w:cs="Times New Roman" w:hAnsi="Times New Roman"/>
        </w:rPr>
      </w:pPr>
      <w:r>
        <w:rPr>
          <w:rFonts w:ascii="Times New Roman" w:cs="Times New Roman" w:hAnsi="Times New Roman"/>
        </w:rPr>
        <w:t>Dulle</w:t>
      </w:r>
      <w:r>
        <w:rPr>
          <w:rFonts w:ascii="Times New Roman" w:cs="Times New Roman" w:hAnsi="Times New Roman"/>
        </w:rPr>
        <w:t xml:space="preserve">, F. W., </w:t>
      </w:r>
      <w:r>
        <w:rPr>
          <w:rFonts w:ascii="Times New Roman" w:cs="Times New Roman" w:hAnsi="Times New Roman"/>
        </w:rPr>
        <w:t>Minishi-Majanja</w:t>
      </w:r>
      <w:r>
        <w:rPr>
          <w:rFonts w:ascii="Times New Roman" w:cs="Times New Roman" w:hAnsi="Times New Roman"/>
        </w:rPr>
        <w:t xml:space="preserve">, M. K., &amp; </w:t>
      </w:r>
      <w:r>
        <w:rPr>
          <w:rFonts w:ascii="Times New Roman" w:cs="Times New Roman" w:hAnsi="Times New Roman"/>
        </w:rPr>
        <w:t>Cloete</w:t>
      </w:r>
      <w:r>
        <w:rPr>
          <w:rFonts w:ascii="Times New Roman" w:cs="Times New Roman" w:hAnsi="Times New Roman"/>
        </w:rPr>
        <w:t>, L. M. (2010).</w:t>
      </w:r>
      <w:r>
        <w:rPr>
          <w:rFonts w:ascii="Times New Roman" w:cs="Times New Roman" w:hAnsi="Times New Roman"/>
        </w:rPr>
        <w:t xml:space="preserve"> </w:t>
      </w:r>
      <w:r>
        <w:rPr>
          <w:rFonts w:ascii="Times New Roman" w:cs="Times New Roman" w:hAnsi="Times New Roman"/>
        </w:rPr>
        <w:t>Factors influencing the adoption of open access publishing by academic researchers.</w:t>
      </w:r>
      <w:r>
        <w:rPr>
          <w:rFonts w:ascii="Times New Roman" w:cs="Times New Roman" w:hAnsi="Times New Roman"/>
        </w:rPr>
        <w:t xml:space="preserve"> </w:t>
      </w:r>
      <w:r>
        <w:rPr>
          <w:rFonts w:ascii="Times New Roman" w:cs="Times New Roman" w:hAnsi="Times New Roman"/>
          <w:i/>
          <w:iCs/>
        </w:rPr>
        <w:t>South African Journal of Libraries and Information Science, 76</w:t>
      </w:r>
      <w:r>
        <w:rPr>
          <w:rFonts w:ascii="Times New Roman" w:cs="Times New Roman" w:hAnsi="Times New Roman"/>
        </w:rPr>
        <w:t>(1), 52–61.</w:t>
      </w:r>
    </w:p>
    <w:p w14:paraId="000000A0">
      <w:pPr>
        <w:pStyle w:val="FirstParagraph"/>
        <w:spacing w:line="360" w:lineRule="auto"/>
        <w:jc w:val="both"/>
        <w:rPr>
          <w:rFonts w:ascii="Times New Roman" w:cs="Times New Roman" w:hAnsi="Times New Roman"/>
        </w:rPr>
      </w:pPr>
      <w:r>
        <w:rPr>
          <w:rFonts w:ascii="Times New Roman" w:cs="Times New Roman" w:hAnsi="Times New Roman"/>
        </w:rPr>
        <w:t>Espen</w:t>
      </w:r>
      <w:r>
        <w:rPr>
          <w:rFonts w:ascii="Times New Roman" w:cs="Times New Roman" w:hAnsi="Times New Roman"/>
        </w:rPr>
        <w:t>, H., &amp; Henrik, V. (2024).</w:t>
      </w:r>
      <w:r>
        <w:rPr>
          <w:rFonts w:ascii="Times New Roman" w:cs="Times New Roman" w:hAnsi="Times New Roman"/>
        </w:rPr>
        <w:t xml:space="preserve"> Scientific rot: Unsustainable publishing practices threaten trust in science. </w:t>
      </w:r>
      <w:r>
        <w:rPr>
          <w:rFonts w:ascii="Times New Roman" w:cs="Times New Roman" w:hAnsi="Times New Roman"/>
          <w:i/>
          <w:iCs/>
        </w:rPr>
        <w:t>Journal of Evaluation in Clinical Practice, 30</w:t>
      </w:r>
      <w:r>
        <w:rPr>
          <w:rFonts w:ascii="Times New Roman" w:cs="Times New Roman" w:hAnsi="Times New Roman"/>
        </w:rPr>
        <w:t>(1), 1–6. https://doi.org/10.1111/jep.13889</w:t>
      </w:r>
    </w:p>
    <w:p w14:paraId="000000A1">
      <w:pPr>
        <w:pStyle w:val="FirstParagraph"/>
        <w:spacing w:line="360" w:lineRule="auto"/>
        <w:jc w:val="both"/>
        <w:rPr>
          <w:rFonts w:ascii="Times New Roman" w:cs="Times New Roman" w:hAnsi="Times New Roman"/>
        </w:rPr>
      </w:pPr>
      <w:r>
        <w:rPr>
          <w:rFonts w:ascii="Times New Roman" w:cs="Times New Roman" w:hAnsi="Times New Roman"/>
        </w:rPr>
        <w:t>Ezema</w:t>
      </w:r>
      <w:r>
        <w:rPr>
          <w:rFonts w:ascii="Times New Roman" w:cs="Times New Roman" w:hAnsi="Times New Roman"/>
        </w:rPr>
        <w:t>, I. J. (2013).</w:t>
      </w:r>
      <w:r>
        <w:rPr>
          <w:rFonts w:ascii="Times New Roman" w:cs="Times New Roman" w:hAnsi="Times New Roman"/>
        </w:rPr>
        <w:t xml:space="preserve"> Local scholarly publishing in Nigeria: The role of open access institutional repositories. </w:t>
      </w:r>
      <w:r>
        <w:rPr>
          <w:rFonts w:ascii="Times New Roman" w:cs="Times New Roman" w:hAnsi="Times New Roman"/>
          <w:i/>
          <w:iCs/>
        </w:rPr>
        <w:t>Library Review, 62</w:t>
      </w:r>
      <w:r>
        <w:rPr>
          <w:rFonts w:ascii="Times New Roman" w:cs="Times New Roman" w:hAnsi="Times New Roman"/>
        </w:rPr>
        <w:t>(6/7), 341–359. https://doi.org/10.1108/LR-12-2012-0130</w:t>
      </w:r>
    </w:p>
    <w:p w14:paraId="000000A2">
      <w:pPr>
        <w:pStyle w:val="FirstParagraph"/>
        <w:spacing w:line="360" w:lineRule="auto"/>
        <w:jc w:val="both"/>
        <w:rPr>
          <w:rFonts w:ascii="Times New Roman" w:cs="Times New Roman" w:hAnsi="Times New Roman"/>
        </w:rPr>
      </w:pPr>
      <w:r>
        <w:rPr>
          <w:rFonts w:ascii="Times New Roman" w:cs="Times New Roman" w:hAnsi="Times New Roman"/>
        </w:rPr>
        <w:t>Ezema</w:t>
      </w:r>
      <w:r>
        <w:rPr>
          <w:rFonts w:ascii="Times New Roman" w:cs="Times New Roman" w:hAnsi="Times New Roman"/>
        </w:rPr>
        <w:t xml:space="preserve">, I. J., &amp; </w:t>
      </w:r>
      <w:r>
        <w:rPr>
          <w:rFonts w:ascii="Times New Roman" w:cs="Times New Roman" w:hAnsi="Times New Roman"/>
        </w:rPr>
        <w:t>Eze</w:t>
      </w:r>
      <w:r>
        <w:rPr>
          <w:rFonts w:ascii="Times New Roman" w:cs="Times New Roman" w:hAnsi="Times New Roman"/>
        </w:rPr>
        <w:t>, J. U. (2024).</w:t>
      </w:r>
      <w:r>
        <w:rPr>
          <w:rFonts w:ascii="Times New Roman" w:cs="Times New Roman" w:hAnsi="Times New Roman"/>
        </w:rPr>
        <w:t xml:space="preserve"> </w:t>
      </w:r>
      <w:r>
        <w:rPr>
          <w:rFonts w:ascii="Times New Roman" w:cs="Times New Roman" w:hAnsi="Times New Roman"/>
        </w:rPr>
        <w:t>Status and challenges of institutional repositories in university libraries in South-East Nigeria.</w:t>
      </w:r>
      <w:r>
        <w:rPr>
          <w:rFonts w:ascii="Times New Roman" w:cs="Times New Roman" w:hAnsi="Times New Roman"/>
        </w:rPr>
        <w:t xml:space="preserve"> </w:t>
      </w:r>
      <w:r>
        <w:rPr>
          <w:rFonts w:ascii="Times New Roman" w:cs="Times New Roman" w:hAnsi="Times New Roman"/>
          <w:i/>
          <w:iCs/>
        </w:rPr>
        <w:t>The Journal of Academic Librarianship, 50</w:t>
      </w:r>
      <w:r>
        <w:rPr>
          <w:rFonts w:ascii="Times New Roman" w:cs="Times New Roman" w:hAnsi="Times New Roman"/>
        </w:rPr>
        <w:t>(2), 102785.</w:t>
      </w:r>
      <w:r>
        <w:rPr>
          <w:rFonts w:ascii="Times New Roman" w:cs="Times New Roman" w:hAnsi="Times New Roman"/>
        </w:rPr>
        <w:t xml:space="preserve"> https://doi.org/10.1016/j.acalib.2024.102785</w:t>
      </w:r>
    </w:p>
    <w:p w14:paraId="000000A3">
      <w:pPr>
        <w:pStyle w:val="FirstParagraph"/>
        <w:spacing w:line="360" w:lineRule="auto"/>
        <w:jc w:val="both"/>
        <w:rPr>
          <w:rFonts w:ascii="Times New Roman" w:cs="Times New Roman" w:hAnsi="Times New Roman"/>
        </w:rPr>
      </w:pPr>
      <w:r>
        <w:rPr>
          <w:rFonts w:ascii="Times New Roman" w:cs="Times New Roman" w:hAnsi="Times New Roman"/>
        </w:rPr>
        <w:t>Fabunmi</w:t>
      </w:r>
      <w:r>
        <w:rPr>
          <w:rFonts w:ascii="Times New Roman" w:cs="Times New Roman" w:hAnsi="Times New Roman"/>
        </w:rPr>
        <w:t>, K. O., &amp; Umar, Y. I. (2023).</w:t>
      </w:r>
      <w:r>
        <w:rPr>
          <w:rFonts w:ascii="Times New Roman" w:cs="Times New Roman" w:hAnsi="Times New Roman"/>
        </w:rPr>
        <w:t xml:space="preserve"> </w:t>
      </w:r>
      <w:r>
        <w:rPr>
          <w:rFonts w:ascii="Times New Roman" w:cs="Times New Roman" w:hAnsi="Times New Roman"/>
        </w:rPr>
        <w:t>Awareness and perception of open educational resources among Nigerian university students.</w:t>
      </w:r>
      <w:r>
        <w:rPr>
          <w:rFonts w:ascii="Times New Roman" w:cs="Times New Roman" w:hAnsi="Times New Roman"/>
        </w:rPr>
        <w:t xml:space="preserve"> </w:t>
      </w:r>
      <w:r>
        <w:rPr>
          <w:rFonts w:ascii="Times New Roman" w:cs="Times New Roman" w:hAnsi="Times New Roman"/>
          <w:i/>
          <w:iCs/>
        </w:rPr>
        <w:t>International Journal of Research in E-Learning, 9</w:t>
      </w:r>
      <w:r>
        <w:rPr>
          <w:rFonts w:ascii="Times New Roman" w:cs="Times New Roman" w:hAnsi="Times New Roman"/>
        </w:rPr>
        <w:t>(2), 1–19.</w:t>
      </w:r>
    </w:p>
    <w:p w14:paraId="000000A4">
      <w:pPr>
        <w:pStyle w:val="FirstParagraph"/>
        <w:spacing w:line="360" w:lineRule="auto"/>
        <w:jc w:val="both"/>
        <w:rPr>
          <w:rFonts w:ascii="Times New Roman" w:cs="Times New Roman" w:hAnsi="Times New Roman"/>
        </w:rPr>
      </w:pPr>
      <w:r>
        <w:rPr>
          <w:rFonts w:ascii="Times New Roman" w:cs="Times New Roman" w:hAnsi="Times New Roman"/>
        </w:rPr>
        <w:t xml:space="preserve">Jain, P. (2016). Open access publishing: A developing country perspective. </w:t>
      </w:r>
      <w:r>
        <w:rPr>
          <w:rFonts w:ascii="Times New Roman" w:cs="Times New Roman" w:hAnsi="Times New Roman"/>
          <w:i/>
          <w:iCs/>
        </w:rPr>
        <w:t>International Journal of Information Management, 36</w:t>
      </w:r>
      <w:r>
        <w:rPr>
          <w:rFonts w:ascii="Times New Roman" w:cs="Times New Roman" w:hAnsi="Times New Roman"/>
        </w:rPr>
        <w:t>(5), 657–663. https://doi.org/10.1016/j.ijinfomgt.2016.04.004</w:t>
      </w:r>
    </w:p>
    <w:p w14:paraId="000000A5">
      <w:pPr>
        <w:pStyle w:val="FirstParagraph"/>
        <w:spacing w:line="360" w:lineRule="auto"/>
        <w:jc w:val="both"/>
        <w:rPr>
          <w:rFonts w:ascii="Times New Roman" w:cs="Times New Roman" w:hAnsi="Times New Roman"/>
        </w:rPr>
      </w:pPr>
      <w:r>
        <w:rPr>
          <w:rFonts w:ascii="Times New Roman" w:cs="Times New Roman" w:hAnsi="Times New Roman"/>
        </w:rPr>
        <w:t>Manda, P. A., &amp; Backhouse, J. (2016).</w:t>
      </w:r>
      <w:r>
        <w:rPr>
          <w:rFonts w:ascii="Times New Roman" w:cs="Times New Roman" w:hAnsi="Times New Roman"/>
        </w:rPr>
        <w:t xml:space="preserve"> </w:t>
      </w:r>
      <w:r>
        <w:rPr>
          <w:rFonts w:ascii="Times New Roman" w:cs="Times New Roman" w:hAnsi="Times New Roman"/>
        </w:rPr>
        <w:t>Digital transformation for inclusive growth in developing countries.</w:t>
      </w:r>
      <w:r>
        <w:rPr>
          <w:rFonts w:ascii="Times New Roman" w:cs="Times New Roman" w:hAnsi="Times New Roman"/>
        </w:rPr>
        <w:t xml:space="preserve"> </w:t>
      </w:r>
      <w:r>
        <w:rPr>
          <w:rFonts w:ascii="Times New Roman" w:cs="Times New Roman" w:hAnsi="Times New Roman"/>
          <w:i/>
          <w:iCs/>
        </w:rPr>
        <w:t>Electronic Journal of Information Systems in Developing Countries, 73</w:t>
      </w:r>
      <w:r>
        <w:rPr>
          <w:rFonts w:ascii="Times New Roman" w:cs="Times New Roman" w:hAnsi="Times New Roman"/>
        </w:rPr>
        <w:t>(1), 1–14. https://doi.org/10.1002/j.1681-4835.2016.tb00521.x</w:t>
      </w:r>
    </w:p>
    <w:p w14:paraId="000000A6">
      <w:pPr>
        <w:pStyle w:val="FirstParagraph"/>
        <w:spacing w:line="360" w:lineRule="auto"/>
        <w:jc w:val="both"/>
        <w:rPr>
          <w:rFonts w:ascii="Times New Roman" w:cs="Times New Roman" w:hAnsi="Times New Roman"/>
        </w:rPr>
      </w:pPr>
      <w:r>
        <w:rPr>
          <w:rFonts w:ascii="Times New Roman" w:cs="Times New Roman" w:hAnsi="Times New Roman"/>
        </w:rPr>
        <w:t>Nashwan</w:t>
      </w:r>
      <w:r>
        <w:rPr>
          <w:rFonts w:ascii="Times New Roman" w:cs="Times New Roman" w:hAnsi="Times New Roman"/>
        </w:rPr>
        <w:t xml:space="preserve">, A. J. (2023). Open access publishing and research visibility in developing countries. </w:t>
      </w:r>
      <w:r>
        <w:rPr>
          <w:rFonts w:ascii="Times New Roman" w:cs="Times New Roman" w:hAnsi="Times New Roman"/>
          <w:i/>
          <w:iCs/>
        </w:rPr>
        <w:t>Publishing Research Quarterly, 39</w:t>
      </w:r>
      <w:r>
        <w:rPr>
          <w:rFonts w:ascii="Times New Roman" w:cs="Times New Roman" w:hAnsi="Times New Roman"/>
        </w:rPr>
        <w:t>(3), 476–490.</w:t>
      </w:r>
      <w:r>
        <w:rPr>
          <w:rFonts w:ascii="Times New Roman" w:cs="Times New Roman" w:hAnsi="Times New Roman"/>
        </w:rPr>
        <w:t xml:space="preserve"> https://doi.org/10.1007/s12109-023-09935-4</w:t>
      </w:r>
    </w:p>
    <w:p w14:paraId="000000A7">
      <w:pPr>
        <w:pStyle w:val="FirstParagraph"/>
        <w:spacing w:line="360" w:lineRule="auto"/>
        <w:jc w:val="both"/>
        <w:rPr>
          <w:rFonts w:ascii="Times New Roman" w:cs="Times New Roman" w:hAnsi="Times New Roman"/>
        </w:rPr>
      </w:pPr>
      <w:r>
        <w:rPr>
          <w:rFonts w:ascii="Times New Roman" w:cs="Times New Roman" w:hAnsi="Times New Roman"/>
        </w:rPr>
        <w:t>Njagi</w:t>
      </w:r>
      <w:r>
        <w:rPr>
          <w:rFonts w:ascii="Times New Roman" w:cs="Times New Roman" w:hAnsi="Times New Roman"/>
        </w:rPr>
        <w:t xml:space="preserve">, P. R., &amp; </w:t>
      </w:r>
      <w:r>
        <w:rPr>
          <w:rFonts w:ascii="Times New Roman" w:cs="Times New Roman" w:hAnsi="Times New Roman"/>
        </w:rPr>
        <w:t>Njoroge</w:t>
      </w:r>
      <w:r>
        <w:rPr>
          <w:rFonts w:ascii="Times New Roman" w:cs="Times New Roman" w:hAnsi="Times New Roman"/>
        </w:rPr>
        <w:t>, G. G. (2024).</w:t>
      </w:r>
      <w:r>
        <w:rPr>
          <w:rFonts w:ascii="Times New Roman" w:cs="Times New Roman" w:hAnsi="Times New Roman"/>
        </w:rPr>
        <w:t xml:space="preserve"> </w:t>
      </w:r>
      <w:r>
        <w:rPr>
          <w:rFonts w:ascii="Times New Roman" w:cs="Times New Roman" w:hAnsi="Times New Roman"/>
        </w:rPr>
        <w:t>Demystifying misconceptions about open access for improved research visibility.</w:t>
      </w:r>
      <w:r>
        <w:rPr>
          <w:rFonts w:ascii="Times New Roman" w:cs="Times New Roman" w:hAnsi="Times New Roman"/>
        </w:rPr>
        <w:t xml:space="preserve"> </w:t>
      </w:r>
      <w:r>
        <w:rPr>
          <w:rFonts w:ascii="Times New Roman" w:cs="Times New Roman" w:hAnsi="Times New Roman"/>
          <w:i/>
          <w:iCs/>
        </w:rPr>
        <w:t>Journal of Scholarly Publishing, 55</w:t>
      </w:r>
      <w:r>
        <w:rPr>
          <w:rFonts w:ascii="Times New Roman" w:cs="Times New Roman" w:hAnsi="Times New Roman"/>
        </w:rPr>
        <w:t>(2), 87–102. https://doi.org/10.3138/jsp-2023-0034</w:t>
      </w:r>
    </w:p>
    <w:p w14:paraId="000000A8">
      <w:pPr>
        <w:pStyle w:val="FirstParagraph"/>
        <w:spacing w:line="360" w:lineRule="auto"/>
        <w:jc w:val="both"/>
        <w:rPr>
          <w:rFonts w:ascii="Times New Roman" w:cs="Times New Roman" w:hAnsi="Times New Roman"/>
        </w:rPr>
      </w:pPr>
      <w:r>
        <w:rPr>
          <w:rFonts w:ascii="Times New Roman" w:cs="Times New Roman" w:hAnsi="Times New Roman"/>
        </w:rPr>
        <w:t>Nwagwu</w:t>
      </w:r>
      <w:r>
        <w:rPr>
          <w:rFonts w:ascii="Times New Roman" w:cs="Times New Roman" w:hAnsi="Times New Roman"/>
        </w:rPr>
        <w:t xml:space="preserve">, W. E. (2013). </w:t>
      </w:r>
      <w:r>
        <w:rPr>
          <w:rFonts w:ascii="Times New Roman" w:cs="Times New Roman" w:hAnsi="Times New Roman"/>
        </w:rPr>
        <w:t>Open access initiatives in Africa—Structure, incentives and disincentives.</w:t>
      </w:r>
      <w:r>
        <w:rPr>
          <w:rFonts w:ascii="Times New Roman" w:cs="Times New Roman" w:hAnsi="Times New Roman"/>
        </w:rPr>
        <w:t xml:space="preserve"> </w:t>
      </w:r>
      <w:r>
        <w:rPr>
          <w:rFonts w:ascii="Times New Roman" w:cs="Times New Roman" w:hAnsi="Times New Roman"/>
          <w:i/>
          <w:iCs/>
        </w:rPr>
        <w:t>The Journal of Academic Librarianship, 39</w:t>
      </w:r>
      <w:r>
        <w:rPr>
          <w:rFonts w:ascii="Times New Roman" w:cs="Times New Roman" w:hAnsi="Times New Roman"/>
        </w:rPr>
        <w:t>(1), 3–10. https://doi.org/10.1016/j.acalib.2012.10.006</w:t>
      </w:r>
    </w:p>
    <w:p w14:paraId="000000A9">
      <w:pPr>
        <w:pStyle w:val="FirstParagraph"/>
        <w:spacing w:line="360" w:lineRule="auto"/>
        <w:jc w:val="both"/>
        <w:rPr>
          <w:rFonts w:ascii="Times New Roman" w:cs="Times New Roman" w:hAnsi="Times New Roman"/>
        </w:rPr>
      </w:pPr>
      <w:r>
        <w:rPr>
          <w:rFonts w:ascii="Times New Roman" w:cs="Times New Roman" w:hAnsi="Times New Roman"/>
        </w:rPr>
        <w:t>Okiki</w:t>
      </w:r>
      <w:r>
        <w:rPr>
          <w:rFonts w:ascii="Times New Roman" w:cs="Times New Roman" w:hAnsi="Times New Roman"/>
        </w:rPr>
        <w:t xml:space="preserve">, O. C. (2013). </w:t>
      </w:r>
      <w:r>
        <w:rPr>
          <w:rFonts w:ascii="Times New Roman" w:cs="Times New Roman" w:hAnsi="Times New Roman"/>
        </w:rPr>
        <w:t>Availability of open access resources and the use of institutional repositories by researchers in Nigerian universities.</w:t>
      </w:r>
      <w:r>
        <w:rPr>
          <w:rFonts w:ascii="Times New Roman" w:cs="Times New Roman" w:hAnsi="Times New Roman"/>
        </w:rPr>
        <w:t xml:space="preserve"> </w:t>
      </w:r>
      <w:r>
        <w:rPr>
          <w:rFonts w:ascii="Times New Roman" w:cs="Times New Roman" w:hAnsi="Times New Roman"/>
          <w:i/>
          <w:iCs/>
        </w:rPr>
        <w:t>International Journal of Library and Information Science, 5</w:t>
      </w:r>
      <w:r>
        <w:rPr>
          <w:rFonts w:ascii="Times New Roman" w:cs="Times New Roman" w:hAnsi="Times New Roman"/>
        </w:rPr>
        <w:t>(7), 196–205.</w:t>
      </w:r>
    </w:p>
    <w:p w14:paraId="000000AA">
      <w:pPr>
        <w:pStyle w:val="FirstParagraph"/>
        <w:spacing w:line="360" w:lineRule="auto"/>
        <w:jc w:val="both"/>
        <w:rPr>
          <w:rFonts w:ascii="Times New Roman" w:cs="Times New Roman" w:hAnsi="Times New Roman"/>
        </w:rPr>
      </w:pPr>
      <w:r>
        <w:rPr>
          <w:rFonts w:ascii="Times New Roman" w:cs="Times New Roman" w:hAnsi="Times New Roman"/>
        </w:rPr>
        <w:t>Osisanwo</w:t>
      </w:r>
      <w:r>
        <w:rPr>
          <w:rFonts w:ascii="Times New Roman" w:cs="Times New Roman" w:hAnsi="Times New Roman"/>
        </w:rPr>
        <w:t xml:space="preserve">, T., </w:t>
      </w:r>
      <w:r>
        <w:rPr>
          <w:rFonts w:ascii="Times New Roman" w:cs="Times New Roman" w:hAnsi="Times New Roman"/>
        </w:rPr>
        <w:t>Simisaye</w:t>
      </w:r>
      <w:r>
        <w:rPr>
          <w:rFonts w:ascii="Times New Roman" w:cs="Times New Roman" w:hAnsi="Times New Roman"/>
        </w:rPr>
        <w:t xml:space="preserve">, A. O., &amp; </w:t>
      </w:r>
      <w:r>
        <w:rPr>
          <w:rFonts w:ascii="Times New Roman" w:cs="Times New Roman" w:hAnsi="Times New Roman"/>
        </w:rPr>
        <w:t>Idowu</w:t>
      </w:r>
      <w:r>
        <w:rPr>
          <w:rFonts w:ascii="Times New Roman" w:cs="Times New Roman" w:hAnsi="Times New Roman"/>
        </w:rPr>
        <w:t>, T. N. (2023).</w:t>
      </w:r>
      <w:r>
        <w:rPr>
          <w:rFonts w:ascii="Times New Roman" w:cs="Times New Roman" w:hAnsi="Times New Roman"/>
        </w:rPr>
        <w:t xml:space="preserve"> Influence of librarians’ ICT skills on the use of open educational resources in Nigerian university libraries. </w:t>
      </w:r>
      <w:r>
        <w:rPr>
          <w:rFonts w:ascii="Times New Roman" w:cs="Times New Roman" w:hAnsi="Times New Roman"/>
          <w:i/>
          <w:iCs/>
        </w:rPr>
        <w:t>Journal of Balkan Libraries Union, 11</w:t>
      </w:r>
      <w:r>
        <w:rPr>
          <w:rFonts w:ascii="Times New Roman" w:cs="Times New Roman" w:hAnsi="Times New Roman"/>
        </w:rPr>
        <w:t>(1), 25–33.</w:t>
      </w:r>
    </w:p>
    <w:p w14:paraId="000000AB">
      <w:pPr>
        <w:pStyle w:val="FirstParagraph"/>
        <w:spacing w:line="360" w:lineRule="auto"/>
        <w:jc w:val="both"/>
        <w:rPr>
          <w:rFonts w:ascii="Times New Roman" w:cs="Times New Roman" w:hAnsi="Times New Roman"/>
        </w:rPr>
      </w:pPr>
      <w:r>
        <w:rPr>
          <w:rFonts w:ascii="Times New Roman" w:cs="Times New Roman" w:hAnsi="Times New Roman"/>
        </w:rPr>
        <w:t>Piwowar</w:t>
      </w:r>
      <w:r>
        <w:rPr>
          <w:rFonts w:ascii="Times New Roman" w:cs="Times New Roman" w:hAnsi="Times New Roman"/>
        </w:rPr>
        <w:t xml:space="preserve">, H., </w:t>
      </w:r>
      <w:r>
        <w:rPr>
          <w:rFonts w:ascii="Times New Roman" w:cs="Times New Roman" w:hAnsi="Times New Roman"/>
        </w:rPr>
        <w:t>Priem</w:t>
      </w:r>
      <w:r>
        <w:rPr>
          <w:rFonts w:ascii="Times New Roman" w:cs="Times New Roman" w:hAnsi="Times New Roman"/>
        </w:rPr>
        <w:t xml:space="preserve">, J., </w:t>
      </w:r>
      <w:r>
        <w:rPr>
          <w:rFonts w:ascii="Times New Roman" w:cs="Times New Roman" w:hAnsi="Times New Roman"/>
        </w:rPr>
        <w:t>Larivière</w:t>
      </w:r>
      <w:r>
        <w:rPr>
          <w:rFonts w:ascii="Times New Roman" w:cs="Times New Roman" w:hAnsi="Times New Roman"/>
        </w:rPr>
        <w:t xml:space="preserve">, V., et al. (2018). The state of OA: A large-scale analysis of the prevalence and impact of open access articles. </w:t>
      </w:r>
      <w:r>
        <w:rPr>
          <w:rFonts w:ascii="Times New Roman" w:cs="Times New Roman" w:hAnsi="Times New Roman"/>
          <w:i/>
          <w:iCs/>
        </w:rPr>
        <w:t>PeerJ</w:t>
      </w:r>
      <w:r>
        <w:rPr>
          <w:rFonts w:ascii="Times New Roman" w:cs="Times New Roman" w:hAnsi="Times New Roman"/>
          <w:i/>
          <w:iCs/>
        </w:rPr>
        <w:t>, 6</w:t>
      </w:r>
      <w:r>
        <w:rPr>
          <w:rFonts w:ascii="Times New Roman" w:cs="Times New Roman" w:hAnsi="Times New Roman"/>
        </w:rPr>
        <w:t>, e4375.</w:t>
      </w:r>
      <w:r>
        <w:rPr>
          <w:rFonts w:ascii="Times New Roman" w:cs="Times New Roman" w:hAnsi="Times New Roman"/>
        </w:rPr>
        <w:t xml:space="preserve"> </w:t>
      </w:r>
      <w:r>
        <w:rPr>
          <w:rStyle w:val="Hyperlink"/>
          <w:rFonts w:ascii="Times New Roman" w:cs="Times New Roman" w:hAnsi="Times New Roman"/>
        </w:rPr>
        <w:fldChar w:fldCharType="begin"/>
      </w:r>
      <w:r>
        <w:rPr>
          <w:rStyle w:val="Hyperlink"/>
          <w:rFonts w:ascii="Times New Roman" w:cs="Times New Roman" w:hAnsi="Times New Roman"/>
        </w:rPr>
        <w:instrText xml:space="preserve">HYPERLINK "https://doi.org/10.7717/peerj.4375" </w:instrText>
      </w:r>
      <w:r>
        <w:rPr>
          <w:rStyle w:val="Hyperlink"/>
          <w:rFonts w:ascii="Times New Roman" w:cs="Times New Roman" w:hAnsi="Times New Roman"/>
        </w:rPr>
        <w:fldChar w:fldCharType="separate"/>
      </w:r>
      <w:r>
        <w:rPr>
          <w:rStyle w:val="Hyperlink"/>
          <w:rFonts w:ascii="Times New Roman" w:cs="Times New Roman" w:hAnsi="Times New Roman"/>
        </w:rPr>
        <w:t>https://doi.org/10.7717/peerj.4375</w:t>
      </w:r>
      <w:r>
        <w:rPr>
          <w:rFonts w:ascii="Times New Roman" w:cs="Times New Roman" w:hAnsi="Times New Roman"/>
        </w:rPr>
        <w:fldChar w:fldCharType="end"/>
      </w:r>
    </w:p>
    <w:p w14:paraId="000000AC">
      <w:pPr>
        <w:pStyle w:val="FirstParagraph"/>
        <w:spacing w:line="360" w:lineRule="auto"/>
        <w:jc w:val="both"/>
        <w:rPr>
          <w:rFonts w:ascii="Times New Roman" w:cs="Times New Roman" w:hAnsi="Times New Roman"/>
        </w:rPr>
      </w:pPr>
      <w:r>
        <w:rPr>
          <w:rFonts w:ascii="Times New Roman" w:cs="Times New Roman" w:hAnsi="Times New Roman"/>
        </w:rPr>
        <w:t xml:space="preserve">Shen, C., &amp; </w:t>
      </w:r>
      <w:r>
        <w:rPr>
          <w:rFonts w:ascii="Times New Roman" w:cs="Times New Roman" w:hAnsi="Times New Roman"/>
        </w:rPr>
        <w:t>Björk</w:t>
      </w:r>
      <w:r>
        <w:rPr>
          <w:rFonts w:ascii="Times New Roman" w:cs="Times New Roman" w:hAnsi="Times New Roman"/>
        </w:rPr>
        <w:t>, B.-C.</w:t>
      </w:r>
      <w:r>
        <w:rPr>
          <w:rFonts w:ascii="Times New Roman" w:cs="Times New Roman" w:hAnsi="Times New Roman"/>
        </w:rPr>
        <w:t xml:space="preserve"> (2015). ‘Predatory’ open access: A longitudinal study of article volumes and market characteristics. </w:t>
      </w:r>
      <w:r>
        <w:rPr>
          <w:rFonts w:ascii="Times New Roman" w:cs="Times New Roman" w:hAnsi="Times New Roman"/>
          <w:i/>
          <w:iCs/>
        </w:rPr>
        <w:t>BMC Medicine, 13</w:t>
      </w:r>
      <w:r>
        <w:rPr>
          <w:rFonts w:ascii="Times New Roman" w:cs="Times New Roman" w:hAnsi="Times New Roman"/>
        </w:rPr>
        <w:t>, 230.</w:t>
      </w:r>
      <w:r>
        <w:rPr>
          <w:rFonts w:ascii="Times New Roman" w:cs="Times New Roman" w:hAnsi="Times New Roman"/>
        </w:rPr>
        <w:t xml:space="preserve"> </w:t>
      </w:r>
      <w:r>
        <w:rPr>
          <w:rStyle w:val="Hyperlink"/>
          <w:rFonts w:ascii="Times New Roman" w:cs="Times New Roman" w:hAnsi="Times New Roman"/>
        </w:rPr>
        <w:fldChar w:fldCharType="begin"/>
      </w:r>
      <w:r>
        <w:rPr>
          <w:rStyle w:val="Hyperlink"/>
          <w:rFonts w:ascii="Times New Roman" w:cs="Times New Roman" w:hAnsi="Times New Roman"/>
        </w:rPr>
        <w:instrText xml:space="preserve">HYPERLINK "https://doi.org/10.1186/s12916-015-0469-2" </w:instrText>
      </w:r>
      <w:r>
        <w:rPr>
          <w:rStyle w:val="Hyperlink"/>
          <w:rFonts w:ascii="Times New Roman" w:cs="Times New Roman" w:hAnsi="Times New Roman"/>
        </w:rPr>
        <w:fldChar w:fldCharType="separate"/>
      </w:r>
      <w:r>
        <w:rPr>
          <w:rStyle w:val="Hyperlink"/>
          <w:rFonts w:ascii="Times New Roman" w:cs="Times New Roman" w:hAnsi="Times New Roman"/>
        </w:rPr>
        <w:t>https://doi.org/10.1186/s12916-015-0469-2</w:t>
      </w:r>
      <w:r>
        <w:rPr>
          <w:rFonts w:ascii="Times New Roman" w:cs="Times New Roman" w:hAnsi="Times New Roman"/>
        </w:rPr>
        <w:fldChar w:fldCharType="end"/>
      </w:r>
    </w:p>
    <w:p w14:paraId="000000AD">
      <w:pPr>
        <w:pStyle w:val="FirstParagraph"/>
        <w:spacing w:line="360" w:lineRule="auto"/>
        <w:jc w:val="both"/>
        <w:rPr>
          <w:rFonts w:ascii="Times New Roman" w:cs="Times New Roman" w:hAnsi="Times New Roman"/>
        </w:rPr>
      </w:pPr>
      <w:r>
        <w:rPr>
          <w:rFonts w:ascii="Times New Roman" w:cs="Times New Roman" w:hAnsi="Times New Roman"/>
        </w:rPr>
        <w:t>Suber</w:t>
      </w:r>
      <w:r>
        <w:rPr>
          <w:rFonts w:ascii="Times New Roman" w:cs="Times New Roman" w:hAnsi="Times New Roman"/>
        </w:rPr>
        <w:t xml:space="preserve">, P. (2012). </w:t>
      </w:r>
      <w:r>
        <w:rPr>
          <w:rFonts w:ascii="Times New Roman" w:cs="Times New Roman" w:hAnsi="Times New Roman"/>
          <w:i/>
          <w:iCs/>
        </w:rPr>
        <w:t>Open access</w:t>
      </w:r>
      <w:r>
        <w:rPr>
          <w:rFonts w:ascii="Times New Roman" w:cs="Times New Roman" w:hAnsi="Times New Roman"/>
        </w:rPr>
        <w:t xml:space="preserve">. </w:t>
      </w:r>
      <w:r>
        <w:rPr>
          <w:rFonts w:ascii="Times New Roman" w:cs="Times New Roman" w:hAnsi="Times New Roman"/>
        </w:rPr>
        <w:t>MIT Press.</w:t>
      </w:r>
    </w:p>
    <w:p w14:paraId="000000AE">
      <w:pPr>
        <w:pStyle w:val="FirstParagraph"/>
        <w:spacing w:line="360" w:lineRule="auto"/>
        <w:jc w:val="both"/>
        <w:rPr>
          <w:rFonts w:ascii="Times New Roman" w:cs="Times New Roman" w:hAnsi="Times New Roman"/>
        </w:rPr>
      </w:pPr>
      <w:r>
        <w:rPr>
          <w:rFonts w:ascii="Times New Roman" w:cs="Times New Roman" w:hAnsi="Times New Roman"/>
        </w:rPr>
        <w:t>Tenopir</w:t>
      </w:r>
      <w:r>
        <w:rPr>
          <w:rFonts w:ascii="Times New Roman" w:cs="Times New Roman" w:hAnsi="Times New Roman"/>
        </w:rPr>
        <w:t xml:space="preserve">, C., Dalton, E. D., Fish, A., et al. (2017). What motivates authors of scholarly articles? </w:t>
      </w:r>
      <w:r>
        <w:rPr>
          <w:rFonts w:ascii="Times New Roman" w:cs="Times New Roman" w:hAnsi="Times New Roman"/>
          <w:i/>
          <w:iCs/>
        </w:rPr>
        <w:t>Learned Publishing, 30</w:t>
      </w:r>
      <w:r>
        <w:rPr>
          <w:rFonts w:ascii="Times New Roman" w:cs="Times New Roman" w:hAnsi="Times New Roman"/>
        </w:rPr>
        <w:t>(3), 261–271.</w:t>
      </w:r>
      <w:r>
        <w:rPr>
          <w:rFonts w:ascii="Times New Roman" w:cs="Times New Roman" w:hAnsi="Times New Roman"/>
        </w:rPr>
        <w:t xml:space="preserve"> https://doi.org/10.1002/leap.1092</w:t>
      </w:r>
    </w:p>
    <w:p w14:paraId="000000AF">
      <w:pPr>
        <w:pStyle w:val="FirstParagraph"/>
        <w:spacing w:line="360" w:lineRule="auto"/>
        <w:jc w:val="both"/>
        <w:rPr>
          <w:rFonts w:ascii="Times New Roman" w:cs="Times New Roman" w:hAnsi="Times New Roman"/>
        </w:rPr>
      </w:pPr>
      <w:r>
        <w:rPr>
          <w:rFonts w:ascii="Times New Roman" w:cs="Times New Roman" w:hAnsi="Times New Roman"/>
        </w:rPr>
        <w:t>Tenya</w:t>
      </w:r>
      <w:r>
        <w:rPr>
          <w:rFonts w:ascii="Times New Roman" w:cs="Times New Roman" w:hAnsi="Times New Roman"/>
        </w:rPr>
        <w:t xml:space="preserve">, A. N., </w:t>
      </w:r>
      <w:r>
        <w:rPr>
          <w:rFonts w:ascii="Times New Roman" w:cs="Times New Roman" w:hAnsi="Times New Roman"/>
        </w:rPr>
        <w:t>Maina</w:t>
      </w:r>
      <w:r>
        <w:rPr>
          <w:rFonts w:ascii="Times New Roman" w:cs="Times New Roman" w:hAnsi="Times New Roman"/>
        </w:rPr>
        <w:t xml:space="preserve">, J., &amp; </w:t>
      </w:r>
      <w:r>
        <w:rPr>
          <w:rFonts w:ascii="Times New Roman" w:cs="Times New Roman" w:hAnsi="Times New Roman"/>
        </w:rPr>
        <w:t>Awuor</w:t>
      </w:r>
      <w:r>
        <w:rPr>
          <w:rFonts w:ascii="Times New Roman" w:cs="Times New Roman" w:hAnsi="Times New Roman"/>
        </w:rPr>
        <w:t>, F. M. (2024).</w:t>
      </w:r>
      <w:r>
        <w:rPr>
          <w:rFonts w:ascii="Times New Roman" w:cs="Times New Roman" w:hAnsi="Times New Roman"/>
        </w:rPr>
        <w:t xml:space="preserve"> </w:t>
      </w:r>
      <w:r>
        <w:rPr>
          <w:rFonts w:ascii="Times New Roman" w:cs="Times New Roman" w:hAnsi="Times New Roman"/>
        </w:rPr>
        <w:t>Digital literacy as a determinant of access and utilization of information resources in higher education.</w:t>
      </w:r>
      <w:r>
        <w:rPr>
          <w:rFonts w:ascii="Times New Roman" w:cs="Times New Roman" w:hAnsi="Times New Roman"/>
        </w:rPr>
        <w:t xml:space="preserve"> </w:t>
      </w:r>
      <w:r>
        <w:rPr>
          <w:rFonts w:ascii="Times New Roman" w:cs="Times New Roman" w:hAnsi="Times New Roman"/>
          <w:i/>
          <w:iCs/>
        </w:rPr>
        <w:t>International Journal of Scientific Research, 16</w:t>
      </w:r>
      <w:r>
        <w:rPr>
          <w:rFonts w:ascii="Times New Roman" w:cs="Times New Roman" w:hAnsi="Times New Roman"/>
        </w:rPr>
        <w:t>(1), 45–58.</w:t>
      </w:r>
    </w:p>
    <w:p w14:paraId="000000B0">
      <w:pPr>
        <w:pStyle w:val="FirstParagraph"/>
        <w:spacing w:line="360" w:lineRule="auto"/>
        <w:rPr>
          <w:rFonts w:ascii="Times New Roman" w:cs="Times New Roman" w:hAnsi="Times New Roman"/>
        </w:rPr>
      </w:pPr>
    </w:p>
    <w:sectPr>
      <w:footnotePr>
        <w:numRestart w:val="eachSect"/>
      </w:footnotePr>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00000000"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00000000" w:usb1="0000fcff" w:usb2="00000001"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numFmt w:val="bullet"/>
      <w:lvlText w:val=" "/>
      <w:lvlJc w:val="left"/>
      <w:pPr>
        <w:ind w:left="720" w:hanging="360"/>
      </w:pPr>
    </w:lvl>
    <w:lvl w:ilvl="1" w:tentative="0">
      <w:numFmt w:val="bullet"/>
      <w:lvlText w:val=" "/>
      <w:lvlJc w:val="left"/>
      <w:pPr>
        <w:ind w:left="1440" w:hanging="360"/>
      </w:pPr>
    </w:lvl>
    <w:lvl w:ilvl="2" w:tentative="0">
      <w:numFmt w:val="bullet"/>
      <w:lvlText w:val=" "/>
      <w:lvlJc w:val="left"/>
      <w:pPr>
        <w:ind w:left="2160" w:hanging="360"/>
      </w:pPr>
    </w:lvl>
    <w:lvl w:ilvl="3" w:tentative="0">
      <w:numFmt w:val="bullet"/>
      <w:lvlText w:val=" "/>
      <w:lvlJc w:val="left"/>
      <w:pPr>
        <w:ind w:left="2880" w:hanging="360"/>
      </w:pPr>
    </w:lvl>
    <w:lvl w:ilvl="4" w:tentative="0">
      <w:numFmt w:val="bullet"/>
      <w:lvlText w:val=" "/>
      <w:lvlJc w:val="left"/>
      <w:pPr>
        <w:ind w:left="3600" w:hanging="360"/>
      </w:pPr>
    </w:lvl>
    <w:lvl w:ilvl="5" w:tentative="0">
      <w:numFmt w:val="bullet"/>
      <w:lvlText w:val=" "/>
      <w:lvlJc w:val="left"/>
      <w:pPr>
        <w:ind w:left="4320" w:hanging="360"/>
      </w:pPr>
    </w:lvl>
    <w:lvl w:ilvl="6" w:tentative="0">
      <w:numFmt w:val="bullet"/>
      <w:lvlText w:val=" "/>
      <w:lvlJc w:val="left"/>
      <w:pPr>
        <w:ind w:left="5040" w:hanging="360"/>
      </w:pPr>
    </w:lvl>
    <w:lvl w:ilvl="7" w:tentative="0">
      <w:numFmt w:val="bullet"/>
      <w:lvlText w:val=" "/>
      <w:lvlJc w:val="left"/>
      <w:pPr>
        <w:ind w:left="5760" w:hanging="360"/>
      </w:pPr>
    </w:lvl>
    <w:lvl w:ilvl="8" w:tentative="0">
      <w:numFmt w:val="bullet"/>
      <w:lvlText w:val=" "/>
      <w:lvlJc w:val="left"/>
      <w:pPr>
        <w:ind w:left="6480" w:hanging="360"/>
      </w:pPr>
    </w:lvl>
  </w:abstractNum>
  <w:abstractNum w:abstractNumId="1">
    <w:multiLevelType w:val="multilevel"/>
    <w:lvl w:ilvl="0" w:tentative="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multiLevelType w:val="multilevel"/>
    <w:lvl w:ilvl="0" w:tentative="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multiLevelType w:val="multilevel"/>
    <w:lvl w:ilvl="0" w:tentative="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w:rsids>
    <w:rsidRoot w:val="00545470"/>
    <w:rsid w:val="0041485C"/>
    <w:rsid w:val="00545470"/>
    <w:rsid w:val="005F3439"/>
    <w:rsid w:val="006672A0"/>
    <w:rsid w:val="006D1E91"/>
    <w:rsid w:val="008322A7"/>
    <w:rsid w:val="00834635"/>
    <w:rsid w:val="008E5847"/>
    <w:rsid w:val="008F08FF"/>
    <w:rsid w:val="009E1C21"/>
    <w:rsid w:val="00CB2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4"/>
        <w:szCs w:val="24"/>
        <w:lang w:val="en-US" w:bidi="ar-SA" w:eastAsia="en-US"/>
      </w:rPr>
    </w:rPrDefault>
    <w:pPrDefault>
      <w:pPr>
        <w:spacing w:after="200"/>
      </w:pPr>
    </w:pPrDefault>
  </w:docDefaults>
  <w:style w:type="paragraph" w:styleId="NoSpacing">
    <w:name w:val="No Spacing"/>
    <w:uiPriority w:val="1"/>
    <w:qFormat w:val="on"/>
    <w:pPr>
      <w:spacing w:after="0" w:line="240" w:lineRule="auto"/>
    </w:p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156082" w:themeColor="accent1"/>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156082" w:themeColor="accent1" w:sz="4" w:space="4"/>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Pr>
      <w:b/>
      <w:bCs/>
      <w:i/>
      <w:iCs/>
      <w:color w:val="156082" w:themeColor="accent1"/>
    </w:rPr>
  </w:style>
  <w:style w:type="character" w:styleId="SubtleReference">
    <w:name w:val="Subtle Reference"/>
    <w:basedOn w:val="DefaultParagraphFont"/>
    <w:uiPriority w:val="31"/>
    <w:qFormat w:val="on"/>
    <w:rPr>
      <w:smallCaps/>
      <w:color w:val="e97132" w:themeColor="accent2"/>
      <w:u w:val="single"/>
    </w:rPr>
  </w:style>
  <w:style w:type="character" w:styleId="IntenseReference">
    <w:name w:val="Intense Reference"/>
    <w:basedOn w:val="DefaultParagraphFont"/>
    <w:uiPriority w:val="32"/>
    <w:qFormat w:val="on"/>
    <w:rPr>
      <w:b/>
      <w:bCs/>
      <w:smallCaps/>
      <w:color w:val="e97132"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character" w:customStyle="1" w:styleId="FootnoteTextChar">
    <w:name w:val="Footnote Text Char"/>
    <w:basedOn w:val="DefaultParagraphFont"/>
    <w:link w:val="Footnotetext"/>
    <w:uiPriority w:val="99"/>
    <w:semiHidden w:val="on"/>
    <w:rPr>
      <w:sz w:val="20"/>
      <w:szCs w:val="20"/>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FollowedHyperlink">
    <w:name w:val="FollowedHyperlink"/>
    <w:basedOn w:val="DefaultParagraphFont"/>
    <w:uiPriority w:val="99"/>
    <w:semiHidden w:val="on"/>
    <w:unhideWhenUsed w:val="on"/>
    <w:rPr>
      <w:color w:val="96607d"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qFormat w:val="on"/>
  </w:style>
  <w:style w:type="paragraph" w:styleId="Heading1">
    <w:name w:val="Heading 1"/>
    <w:basedOn w:val="Normal"/>
    <w:next w:val="BodyText"/>
    <w:link w:val="Heading1Char"/>
    <w:uiPriority w:val="9"/>
    <w:qFormat w:val="on"/>
    <w:pPr>
      <w:keepNext w:val="on"/>
      <w:keepLines w:val="on"/>
      <w:spacing w:before="360" w:after="80"/>
    </w:pPr>
    <w:rPr>
      <w:rFonts w:asciiTheme="majorHAnsi" w:cstheme="majorBidi" w:eastAsiaTheme="majorEastAsia" w:hAnsiTheme="majorHAnsi"/>
      <w:color w:val="104760" w:themeColor="accent1" w:themeShade="bf"/>
      <w:sz w:val="40"/>
      <w:szCs w:val="40"/>
    </w:rPr>
  </w:style>
  <w:style w:type="paragraph" w:styleId="Heading2">
    <w:name w:val="Heading 2"/>
    <w:basedOn w:val="Normal"/>
    <w:next w:val="BodyText"/>
    <w:link w:val="Heading2Char"/>
    <w:uiPriority w:val="9"/>
    <w:semiHidden w:val="on"/>
    <w:unhideWhenUsed w:val="on"/>
    <w:qFormat w:val="on"/>
    <w:pPr>
      <w:keepNext w:val="on"/>
      <w:keepLines w:val="on"/>
      <w:spacing w:before="160" w:after="80"/>
    </w:pPr>
    <w:rPr>
      <w:rFonts w:asciiTheme="majorHAnsi" w:cstheme="majorBidi" w:eastAsiaTheme="majorEastAsia" w:hAnsiTheme="majorHAnsi"/>
      <w:color w:val="104760" w:themeColor="accent1" w:themeShade="bf"/>
      <w:sz w:val="32"/>
      <w:szCs w:val="32"/>
    </w:rPr>
  </w:style>
  <w:style w:type="paragraph" w:styleId="Heading3">
    <w:name w:val="Heading 3"/>
    <w:basedOn w:val="Normal"/>
    <w:next w:val="BodyText"/>
    <w:link w:val="Heading3Char"/>
    <w:uiPriority w:val="9"/>
    <w:semiHidden w:val="on"/>
    <w:unhideWhenUsed w:val="on"/>
    <w:qFormat w:val="on"/>
    <w:pPr>
      <w:keepNext w:val="on"/>
      <w:keepLines w:val="on"/>
      <w:spacing w:before="160" w:after="80"/>
    </w:pPr>
    <w:rPr>
      <w:rFonts w:cstheme="majorBidi" w:eastAsiaTheme="majorEastAsia"/>
      <w:color w:val="104760" w:themeColor="accent1" w:themeShade="bf"/>
      <w:sz w:val="28"/>
      <w:szCs w:val="28"/>
    </w:rPr>
  </w:style>
  <w:style w:type="paragraph" w:styleId="Heading4">
    <w:name w:val="Heading 4"/>
    <w:basedOn w:val="Normal"/>
    <w:next w:val="BodyText"/>
    <w:link w:val="Heading4Char"/>
    <w:uiPriority w:val="9"/>
    <w:semiHidden w:val="on"/>
    <w:unhideWhenUsed w:val="on"/>
    <w:qFormat w:val="on"/>
    <w:pPr>
      <w:keepNext w:val="on"/>
      <w:keepLines w:val="on"/>
      <w:spacing w:before="80" w:after="40"/>
    </w:pPr>
    <w:rPr>
      <w:rFonts w:cstheme="majorBidi" w:eastAsiaTheme="majorEastAsia"/>
      <w:i/>
      <w:iCs/>
      <w:color w:val="104760" w:themeColor="accent1" w:themeShade="bf"/>
    </w:rPr>
  </w:style>
  <w:style w:type="paragraph" w:styleId="Heading5">
    <w:name w:val="Heading 5"/>
    <w:basedOn w:val="Normal"/>
    <w:next w:val="BodyText"/>
    <w:link w:val="Heading5Char"/>
    <w:uiPriority w:val="9"/>
    <w:semiHidden w:val="on"/>
    <w:unhideWhenUsed w:val="on"/>
    <w:qFormat w:val="on"/>
    <w:pPr>
      <w:keepNext w:val="on"/>
      <w:keepLines w:val="on"/>
      <w:spacing w:before="80" w:after="40"/>
    </w:pPr>
    <w:rPr>
      <w:rFonts w:cstheme="majorBidi" w:eastAsiaTheme="majorEastAsia"/>
      <w:color w:val="104760" w:themeColor="accent1" w:themeShade="bf"/>
    </w:rPr>
  </w:style>
  <w:style w:type="paragraph" w:styleId="Heading6">
    <w:name w:val="Heading 6"/>
    <w:basedOn w:val="Normal"/>
    <w:next w:val="BodyText"/>
    <w:link w:val="Heading6Char"/>
    <w:uiPriority w:val="9"/>
    <w:semiHidden w:val="on"/>
    <w:unhideWhenUsed w:val="on"/>
    <w:qFormat w:val="on"/>
    <w:pPr>
      <w:keepNext w:val="on"/>
      <w:keepLines w:val="on"/>
      <w:spacing w:before="40" w:after="0"/>
    </w:pPr>
    <w:rPr>
      <w:rFonts w:cstheme="majorBidi" w:eastAsiaTheme="majorEastAsia"/>
      <w:i/>
      <w:iCs/>
      <w:color w:val="595959" w:themeColor="text1" w:themeTint="a6"/>
    </w:rPr>
  </w:style>
  <w:style w:type="paragraph" w:styleId="Heading7">
    <w:name w:val="Heading 7"/>
    <w:basedOn w:val="Normal"/>
    <w:next w:val="BodyText"/>
    <w:link w:val="Heading7Char"/>
    <w:uiPriority w:val="9"/>
    <w:semiHidden w:val="on"/>
    <w:unhideWhenUsed w:val="on"/>
    <w:qFormat w:val="on"/>
    <w:pPr>
      <w:keepNext w:val="on"/>
      <w:keepLines w:val="on"/>
      <w:spacing w:before="40" w:after="0"/>
    </w:pPr>
    <w:rPr>
      <w:rFonts w:cstheme="majorBidi" w:eastAsiaTheme="majorEastAsia"/>
      <w:color w:val="595959" w:themeColor="text1" w:themeTint="a6"/>
    </w:rPr>
  </w:style>
  <w:style w:type="paragraph" w:styleId="Heading8">
    <w:name w:val="Heading 8"/>
    <w:basedOn w:val="Normal"/>
    <w:next w:val="BodyText"/>
    <w:link w:val="Heading8Char"/>
    <w:uiPriority w:val="9"/>
    <w:semiHidden w:val="on"/>
    <w:unhideWhenUsed w:val="on"/>
    <w:qFormat w:val="on"/>
    <w:pPr>
      <w:keepNext w:val="on"/>
      <w:keepLines w:val="on"/>
      <w:spacing w:after="0"/>
    </w:pPr>
    <w:rPr>
      <w:rFonts w:cstheme="majorBidi" w:eastAsiaTheme="majorEastAsia"/>
      <w:i/>
      <w:iCs/>
      <w:color w:val="272727" w:themeColor="text1" w:themeTint="d8"/>
    </w:rPr>
  </w:style>
  <w:style w:type="paragraph" w:styleId="Heading9">
    <w:name w:val="Heading 9"/>
    <w:basedOn w:val="Normal"/>
    <w:next w:val="BodyText"/>
    <w:link w:val="Heading9Char"/>
    <w:uiPriority w:val="9"/>
    <w:semiHidden w:val="on"/>
    <w:unhideWhenUsed w:val="on"/>
    <w:qFormat w:val="on"/>
    <w:pPr>
      <w:keepNext w:val="on"/>
      <w:keepLines w:val="on"/>
      <w:spacing w:after="0"/>
    </w:pPr>
    <w:rPr>
      <w:rFonts w:cstheme="majorBidi" w:eastAsiaTheme="majorEastAsia"/>
      <w:color w:val="272727" w:themeColor="text1" w:themeTint="d8"/>
    </w:rPr>
  </w:style>
  <w:style w:type="character" w:default="1" w:styleId="DefaultParagraphFont">
    <w:name w:val="Default Paragraph Font"/>
    <w:uiPriority w:val="1"/>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BodyText">
    <w:name w:val="Body Text"/>
    <w:basedOn w:val="Normal"/>
    <w:uiPriority w:val="99"/>
    <w:qFormat w:val="on"/>
    <w:pPr>
      <w:spacing w:before="180" w:after="180"/>
    </w:pPr>
  </w:style>
  <w:style w:type="paragraph" w:customStyle="1" w:styleId="FirstParagraph">
    <w:name w:val="First Paragraph"/>
    <w:basedOn w:val="BodyText"/>
    <w:next w:val="BodyText"/>
    <w:uiPriority w:val="99"/>
    <w:qFormat w:val="on"/>
  </w:style>
  <w:style w:type="paragraph" w:customStyle="1" w:styleId="Compact">
    <w:name w:val="Compact"/>
    <w:basedOn w:val="BodyText"/>
    <w:uiPriority w:val="99"/>
    <w:qFormat w:val="on"/>
    <w:pPr>
      <w:spacing w:before="36" w:after="36"/>
    </w:pPr>
  </w:style>
  <w:style w:type="paragraph" w:styleId="Title">
    <w:name w:val="Title"/>
    <w:basedOn w:val="Normal"/>
    <w:next w:val="BodyText"/>
    <w:link w:val="TitleChar"/>
    <w:uiPriority w:val="10"/>
    <w:qFormat w:val="on"/>
    <w:pPr>
      <w:spacing w:after="80"/>
      <w:contextualSpacing w:val="on"/>
      <w:jc w:val="center"/>
    </w:pPr>
    <w:rPr>
      <w:rFonts w:asciiTheme="majorHAnsi" w:cstheme="majorBidi" w:eastAsiaTheme="majorEastAsia" w:hAnsiTheme="majorHAnsi"/>
      <w:spacing w:val="-10"/>
      <w:sz w:val="56"/>
      <w:szCs w:val="56"/>
    </w:rPr>
  </w:style>
  <w:style w:type="character" w:customStyle="1" w:styleId="TitleChar">
    <w:name w:val="Title Char"/>
    <w:basedOn w:val="DefaultParagraphFont"/>
    <w:link w:val="Title"/>
    <w:uiPriority w:val="10"/>
    <w:rPr>
      <w:rFonts w:asciiTheme="majorHAnsi" w:cstheme="majorBidi" w:eastAsiaTheme="majorEastAsia" w:hAnsiTheme="majorHAnsi"/>
      <w:spacing w:val="-10"/>
      <w:sz w:val="56"/>
      <w:szCs w:val="56"/>
    </w:rPr>
  </w:style>
  <w:style w:type="paragraph" w:styleId="Subtitle">
    <w:name w:val="Subtitle"/>
    <w:basedOn w:val="Title"/>
    <w:next w:val="BodyText"/>
    <w:link w:val="SubtitleChar"/>
    <w:uiPriority w:val="11"/>
    <w:qFormat w:val="on"/>
    <w:pPr/>
    <w:rPr>
      <w:spacing w:val="15"/>
      <w:sz w:val="28"/>
      <w:szCs w:val="28"/>
    </w:rPr>
  </w:style>
  <w:style w:type="character" w:customStyle="1" w:styleId="SubtitleChar">
    <w:name w:val="Subtitle Char"/>
    <w:basedOn w:val="DefaultParagraphFont"/>
    <w:link w:val="Subtitle"/>
    <w:uiPriority w:val="11"/>
    <w:rPr>
      <w:rFonts w:cstheme="majorBidi" w:eastAsiaTheme="majorEastAsia"/>
      <w:color w:val="595959" w:themeColor="text1" w:themeTint="a6"/>
      <w:spacing w:val="15"/>
      <w:sz w:val="28"/>
      <w:szCs w:val="28"/>
    </w:rPr>
  </w:style>
  <w:style w:type="paragraph" w:customStyle="1" w:styleId="Author">
    <w:name w:val="Author"/>
    <w:next w:val="BodyText"/>
    <w:uiPriority w:val="99"/>
    <w:qFormat w:val="on"/>
    <w:pPr>
      <w:keepNext w:val="on"/>
      <w:keepLines w:val="on"/>
      <w:jc w:val="center"/>
    </w:pPr>
  </w:style>
  <w:style w:type="paragraph" w:styleId="Date">
    <w:name w:val="Date"/>
    <w:next w:val="BodyText"/>
    <w:uiPriority w:val="99"/>
    <w:qFormat w:val="on"/>
    <w:pPr>
      <w:keepNext w:val="on"/>
      <w:keepLines w:val="on"/>
      <w:jc w:val="center"/>
    </w:pPr>
  </w:style>
  <w:style w:type="paragraph" w:customStyle="1" w:styleId="AbstractTitle">
    <w:name w:val="Abstract Title"/>
    <w:basedOn w:val="Normal"/>
    <w:next w:val="Abstract"/>
    <w:uiPriority w:val="99"/>
    <w:qFormat w:val="on"/>
    <w:pPr>
      <w:keepNext w:val="on"/>
      <w:keepLines w:val="on"/>
      <w:spacing w:before="300" w:after="0"/>
      <w:jc w:val="center"/>
    </w:pPr>
    <w:rPr>
      <w:b/>
      <w:sz w:val="20"/>
      <w:szCs w:val="20"/>
    </w:rPr>
  </w:style>
  <w:style w:type="paragraph" w:customStyle="1" w:styleId="Abstract">
    <w:name w:val="Abstract"/>
    <w:basedOn w:val="Normal"/>
    <w:next w:val="BodyText"/>
    <w:uiPriority w:val="99"/>
    <w:qFormat w:val="on"/>
    <w:pPr>
      <w:keepNext w:val="on"/>
      <w:keepLines w:val="on"/>
      <w:spacing w:before="100" w:after="300"/>
    </w:pPr>
    <w:rPr>
      <w:sz w:val="20"/>
      <w:szCs w:val="20"/>
    </w:rPr>
  </w:style>
  <w:style w:type="paragraph" w:styleId="Bibliography">
    <w:name w:val="Bibliography"/>
    <w:basedOn w:val="Normal"/>
    <w:uiPriority w:val="99"/>
    <w:qFormat w:val="on"/>
  </w:style>
  <w:style w:type="character" w:customStyle="1" w:styleId="Heading1Char">
    <w:name w:val="Heading 1 Char"/>
    <w:basedOn w:val="DefaultParagraphFont"/>
    <w:link w:val="Heading1"/>
    <w:uiPriority w:val="9"/>
    <w:rPr>
      <w:rFonts w:asciiTheme="majorHAnsi" w:cstheme="majorBidi" w:eastAsiaTheme="majorEastAsia" w:hAnsiTheme="majorHAnsi"/>
      <w:color w:val="104760" w:themeColor="accent1" w:themeShade="bf"/>
      <w:sz w:val="40"/>
      <w:szCs w:val="40"/>
    </w:rPr>
  </w:style>
  <w:style w:type="character" w:customStyle="1" w:styleId="Heading2Char">
    <w:name w:val="Heading 2 Char"/>
    <w:basedOn w:val="DefaultParagraphFont"/>
    <w:link w:val="Heading2"/>
    <w:uiPriority w:val="9"/>
    <w:semiHidden w:val="on"/>
    <w:rPr>
      <w:rFonts w:asciiTheme="majorHAnsi" w:cstheme="majorBidi" w:eastAsiaTheme="majorEastAsia" w:hAnsiTheme="majorHAnsi"/>
      <w:color w:val="104760" w:themeColor="accent1" w:themeShade="bf"/>
      <w:sz w:val="32"/>
      <w:szCs w:val="32"/>
    </w:rPr>
  </w:style>
  <w:style w:type="character" w:customStyle="1" w:styleId="Heading3Char">
    <w:name w:val="Heading 3 Char"/>
    <w:basedOn w:val="DefaultParagraphFont"/>
    <w:link w:val="Heading3"/>
    <w:uiPriority w:val="9"/>
    <w:semiHidden w:val="on"/>
    <w:rPr>
      <w:rFonts w:cstheme="majorBidi" w:eastAsiaTheme="majorEastAsia"/>
      <w:color w:val="104760" w:themeColor="accent1" w:themeShade="bf"/>
      <w:sz w:val="28"/>
      <w:szCs w:val="28"/>
    </w:rPr>
  </w:style>
  <w:style w:type="character" w:customStyle="1" w:styleId="Heading4Char">
    <w:name w:val="Heading 4 Char"/>
    <w:basedOn w:val="DefaultParagraphFont"/>
    <w:link w:val="Heading4"/>
    <w:uiPriority w:val="9"/>
    <w:semiHidden w:val="on"/>
    <w:rPr>
      <w:rFonts w:cstheme="majorBidi" w:eastAsiaTheme="majorEastAsia"/>
      <w:i/>
      <w:iCs/>
      <w:color w:val="104760" w:themeColor="accent1" w:themeShade="bf"/>
    </w:rPr>
  </w:style>
  <w:style w:type="character" w:customStyle="1" w:styleId="Heading5Char">
    <w:name w:val="Heading 5 Char"/>
    <w:basedOn w:val="DefaultParagraphFont"/>
    <w:link w:val="Heading5"/>
    <w:uiPriority w:val="9"/>
    <w:semiHidden w:val="on"/>
    <w:rPr>
      <w:rFonts w:cstheme="majorBidi" w:eastAsiaTheme="majorEastAsia"/>
      <w:color w:val="104760" w:themeColor="accent1" w:themeShade="bf"/>
    </w:rPr>
  </w:style>
  <w:style w:type="character" w:customStyle="1" w:styleId="Heading6Char">
    <w:name w:val="Heading 6 Char"/>
    <w:basedOn w:val="DefaultParagraphFont"/>
    <w:link w:val="Heading6"/>
    <w:uiPriority w:val="9"/>
    <w:semiHidden w:val="on"/>
    <w:rPr>
      <w:rFonts w:cstheme="majorBidi" w:eastAsiaTheme="majorEastAsia"/>
      <w:i/>
      <w:iCs/>
      <w:color w:val="595959" w:themeColor="text1" w:themeTint="a6"/>
    </w:rPr>
  </w:style>
  <w:style w:type="character" w:customStyle="1" w:styleId="Heading7Char">
    <w:name w:val="Heading 7 Char"/>
    <w:basedOn w:val="DefaultParagraphFont"/>
    <w:link w:val="Heading7"/>
    <w:uiPriority w:val="9"/>
    <w:semiHidden w:val="on"/>
    <w:rPr>
      <w:rFonts w:cstheme="majorBidi" w:eastAsiaTheme="majorEastAsia"/>
      <w:color w:val="595959" w:themeColor="text1" w:themeTint="a6"/>
    </w:rPr>
  </w:style>
  <w:style w:type="character" w:customStyle="1" w:styleId="Heading8Char">
    <w:name w:val="Heading 8 Char"/>
    <w:basedOn w:val="DefaultParagraphFont"/>
    <w:link w:val="Heading8"/>
    <w:uiPriority w:val="9"/>
    <w:semiHidden w:val="on"/>
    <w:rPr>
      <w:rFonts w:cstheme="majorBidi" w:eastAsiaTheme="majorEastAsia"/>
      <w:i/>
      <w:iCs/>
      <w:color w:val="272727" w:themeColor="text1" w:themeTint="d8"/>
    </w:rPr>
  </w:style>
  <w:style w:type="character" w:customStyle="1" w:styleId="Heading9Char">
    <w:name w:val="Heading 9 Char"/>
    <w:basedOn w:val="DefaultParagraphFont"/>
    <w:link w:val="Heading9"/>
    <w:uiPriority w:val="9"/>
    <w:semiHidden w:val="on"/>
    <w:rPr>
      <w:rFonts w:cstheme="majorBidi" w:eastAsiaTheme="majorEastAsia"/>
      <w:color w:val="272727" w:themeColor="text1" w:themeTint="d8"/>
    </w:rPr>
  </w:style>
  <w:style w:type="paragraph" w:styleId="BlockText">
    <w:name w:val="Block Text"/>
    <w:basedOn w:val="BodyText"/>
    <w:next w:val="BodyText"/>
    <w:uiPriority w:val="9"/>
    <w:unhideWhenUsed w:val="on"/>
    <w:qFormat w:val="on"/>
    <w:pPr>
      <w:spacing w:before="100" w:after="100"/>
      <w:ind w:left="480" w:right="480"/>
    </w:pPr>
  </w:style>
  <w:style w:type="paragraph" w:styleId="Footnotetext">
    <w:name w:val="Footnote text"/>
    <w:basedOn w:val="Normal"/>
    <w:uiPriority w:val="9"/>
    <w:unhideWhenUsed w:val="on"/>
    <w:qFormat w:val="on"/>
  </w:style>
  <w:style w:type="paragraph" w:customStyle="1" w:styleId="FootnoteBlockText">
    <w:name w:val="Footnote Block Text"/>
    <w:basedOn w:val="Footnotetext"/>
    <w:next w:val="Footnotetext"/>
    <w:uiPriority w:val="9"/>
    <w:unhideWhenUsed w:val="on"/>
    <w:qFormat w:val="on"/>
    <w:pPr>
      <w:spacing w:before="100" w:after="100"/>
      <w:ind w:left="480" w:right="480"/>
    </w:pPr>
  </w:style>
  <w:style w:type="table" w:customStyle="1" w:styleId="Table">
    <w:name w:val="Table"/>
    <w:uiPriority w:val="99"/>
    <w:semiHidden w:val="on"/>
    <w:unhideWhenUsed w:val="on"/>
    <w:qFormat w:val="on"/>
    <w:tblPr>
      <w:tblInd w:w="0" w:type="dxa"/>
      <w:tblCellMar>
        <w:top w:w="0" w:type="dxa"/>
        <w:left w:w="108" w:type="dxa"/>
        <w:bottom w:w="0" w:type="dxa"/>
        <w:right w:w="108" w:type="dxa"/>
      </w:tblCellMar>
    </w:tblPr>
    <w:tblStylePr w:type="firstRow">
      <w:tblPr>
        <w:jc w:val="left"/>
      </w:tblPr>
      <w:trPr>
        <w:jc w:val="left"/>
      </w:trPr>
      <w:tcPr>
        <w:tcBorders>
          <w:bottom w:val="single" w:color="auto" w:sz="0" w:space="0"/>
        </w:tcBorders>
        <w:vAlign w:val="bottom"/>
      </w:tcPr>
    </w:tblStylePr>
  </w:style>
  <w:style w:type="paragraph" w:customStyle="1" w:styleId="DefinitionTerm">
    <w:name w:val="Definition Term"/>
    <w:basedOn w:val="Normal"/>
    <w:next w:val="Definition"/>
    <w:uiPriority w:val="99"/>
    <w:pPr>
      <w:keepNext w:val="on"/>
      <w:keepLines w:val="on"/>
      <w:spacing w:after="0"/>
    </w:pPr>
    <w:rPr>
      <w:b/>
    </w:rPr>
  </w:style>
  <w:style w:type="paragraph" w:customStyle="1" w:styleId="Definition">
    <w:name w:val="Definition"/>
    <w:basedOn w:val="Normal"/>
    <w:uiPriority w:val="99"/>
  </w:style>
  <w:style w:type="paragraph" w:styleId="Caption">
    <w:name w:val="Caption"/>
    <w:basedOn w:val="Normal"/>
    <w:link w:val="CaptionChar"/>
    <w:uiPriority w:val="99"/>
    <w:pPr>
      <w:spacing w:after="120"/>
    </w:pPr>
    <w:rPr>
      <w:i/>
    </w:rPr>
  </w:style>
  <w:style w:type="paragraph" w:customStyle="1" w:styleId="TableCaption">
    <w:name w:val="Table Caption"/>
    <w:basedOn w:val="Caption"/>
    <w:uiPriority w:val="99"/>
    <w:pPr>
      <w:keepNext w:val="on"/>
    </w:pPr>
  </w:style>
  <w:style w:type="paragraph" w:customStyle="1" w:styleId="ImageCaption">
    <w:name w:val="Image Caption"/>
    <w:basedOn w:val="Caption"/>
    <w:uiPriority w:val="99"/>
  </w:style>
  <w:style w:type="paragraph" w:customStyle="1" w:styleId="Figure">
    <w:name w:val="Figure"/>
    <w:basedOn w:val="Normal"/>
    <w:uiPriority w:val="99"/>
  </w:style>
  <w:style w:type="paragraph" w:customStyle="1" w:styleId="CaptionedFigure">
    <w:name w:val="Captioned Figure"/>
    <w:basedOn w:val="Figure"/>
    <w:uiPriority w:val="99"/>
    <w:pPr>
      <w:keepNext w:val="on"/>
    </w:pPr>
  </w:style>
  <w:style w:type="character" w:customStyle="1" w:styleId="CaptionChar">
    <w:name w:val="Caption Char"/>
    <w:basedOn w:val="DefaultParagraphFont"/>
    <w:link w:val="Caption"/>
    <w:uiPriority w:val="99"/>
  </w:style>
  <w:style w:type="character" w:customStyle="1" w:styleId="VerbatimChar">
    <w:name w:val="Verbatim Char"/>
    <w:basedOn w:val="CaptionChar"/>
    <w:link w:val="SourceCode"/>
    <w:uiPriority w:val="99"/>
    <w:rPr>
      <w:rFonts w:ascii="Consolas" w:hAnsi="Consolas"/>
      <w:sz w:val="22"/>
    </w:rPr>
  </w:style>
  <w:style w:type="character" w:customStyle="1" w:styleId="SectionNumber">
    <w:name w:val="Section Number"/>
    <w:basedOn w:val="CaptionChar"/>
    <w:uiPriority w:val="99"/>
  </w:style>
  <w:style w:type="character" w:styleId="Footnotereference">
    <w:name w:val="Footnote reference"/>
    <w:basedOn w:val="CaptionChar"/>
    <w:uiPriority w:val="99"/>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val="on"/>
    <w:qFormat w:val="on"/>
    <w:pPr>
      <w:spacing w:before="240" w:line="259" w:lineRule="auto"/>
    </w:pPr>
  </w:style>
  <w:style w:type="paragraph" w:customStyle="1" w:styleId="SourceCode">
    <w:name w:val="Source Code"/>
    <w:basedOn w:val="Normal"/>
    <w:link w:val="VerbatimChar"/>
    <w:uiPriority w:val="99"/>
    <w:pPr/>
  </w:style>
  <w:style w:type="character" w:customStyle="1" w:styleId="KeywordTok">
    <w:name w:val="KeywordTok"/>
    <w:basedOn w:val="VerbatimChar"/>
    <w:uiPriority w:val="99"/>
    <w:rPr>
      <w:rFonts w:ascii="Consolas" w:hAnsi="Consolas"/>
      <w:b/>
      <w:color w:val="007020"/>
      <w:sz w:val="22"/>
    </w:rPr>
  </w:style>
  <w:style w:type="character" w:customStyle="1" w:styleId="DataTypeTok">
    <w:name w:val="DataTypeTok"/>
    <w:basedOn w:val="VerbatimChar"/>
    <w:uiPriority w:val="99"/>
    <w:rPr>
      <w:rFonts w:ascii="Consolas" w:hAnsi="Consolas"/>
      <w:color w:val="902000"/>
      <w:sz w:val="22"/>
    </w:rPr>
  </w:style>
  <w:style w:type="character" w:customStyle="1" w:styleId="DecValTok">
    <w:name w:val="DecValTok"/>
    <w:basedOn w:val="VerbatimChar"/>
    <w:uiPriority w:val="99"/>
    <w:rPr>
      <w:rFonts w:ascii="Consolas" w:hAnsi="Consolas"/>
      <w:color w:val="40a070"/>
      <w:sz w:val="22"/>
    </w:rPr>
  </w:style>
  <w:style w:type="character" w:customStyle="1" w:styleId="BaseNTok">
    <w:name w:val="BaseNTok"/>
    <w:basedOn w:val="VerbatimChar"/>
    <w:uiPriority w:val="99"/>
    <w:rPr>
      <w:rFonts w:ascii="Consolas" w:hAnsi="Consolas"/>
      <w:color w:val="40a070"/>
      <w:sz w:val="22"/>
    </w:rPr>
  </w:style>
  <w:style w:type="character" w:customStyle="1" w:styleId="FloatTok">
    <w:name w:val="FloatTok"/>
    <w:basedOn w:val="VerbatimChar"/>
    <w:uiPriority w:val="99"/>
    <w:rPr>
      <w:rFonts w:ascii="Consolas" w:hAnsi="Consolas"/>
      <w:color w:val="40a070"/>
      <w:sz w:val="22"/>
    </w:rPr>
  </w:style>
  <w:style w:type="character" w:customStyle="1" w:styleId="ConstantTok">
    <w:name w:val="ConstantTok"/>
    <w:basedOn w:val="VerbatimChar"/>
    <w:uiPriority w:val="99"/>
    <w:rPr>
      <w:rFonts w:ascii="Consolas" w:hAnsi="Consolas"/>
      <w:color w:val="880000"/>
      <w:sz w:val="22"/>
    </w:rPr>
  </w:style>
  <w:style w:type="character" w:customStyle="1" w:styleId="CharTok">
    <w:name w:val="CharTok"/>
    <w:basedOn w:val="VerbatimChar"/>
    <w:uiPriority w:val="99"/>
    <w:rPr>
      <w:rFonts w:ascii="Consolas" w:hAnsi="Consolas"/>
      <w:color w:val="4070a0"/>
      <w:sz w:val="22"/>
    </w:rPr>
  </w:style>
  <w:style w:type="character" w:customStyle="1" w:styleId="SpecialCharTok">
    <w:name w:val="SpecialCharTok"/>
    <w:basedOn w:val="VerbatimChar"/>
    <w:uiPriority w:val="99"/>
    <w:rPr>
      <w:rFonts w:ascii="Consolas" w:hAnsi="Consolas"/>
      <w:color w:val="4070a0"/>
      <w:sz w:val="22"/>
    </w:rPr>
  </w:style>
  <w:style w:type="character" w:customStyle="1" w:styleId="StringTok">
    <w:name w:val="StringTok"/>
    <w:basedOn w:val="VerbatimChar"/>
    <w:uiPriority w:val="99"/>
    <w:rPr>
      <w:rFonts w:ascii="Consolas" w:hAnsi="Consolas"/>
      <w:color w:val="4070a0"/>
      <w:sz w:val="22"/>
    </w:rPr>
  </w:style>
  <w:style w:type="character" w:customStyle="1" w:styleId="VerbatimStringTok">
    <w:name w:val="VerbatimStringTok"/>
    <w:basedOn w:val="VerbatimChar"/>
    <w:uiPriority w:val="99"/>
    <w:rPr>
      <w:rFonts w:ascii="Consolas" w:hAnsi="Consolas"/>
      <w:color w:val="4070a0"/>
      <w:sz w:val="22"/>
    </w:rPr>
  </w:style>
  <w:style w:type="character" w:customStyle="1" w:styleId="SpecialStringTok">
    <w:name w:val="SpecialStringTok"/>
    <w:basedOn w:val="VerbatimChar"/>
    <w:uiPriority w:val="99"/>
    <w:rPr>
      <w:rFonts w:ascii="Consolas" w:hAnsi="Consolas"/>
      <w:color w:val="bb6688"/>
      <w:sz w:val="22"/>
    </w:rPr>
  </w:style>
  <w:style w:type="character" w:customStyle="1" w:styleId="ImportTok">
    <w:name w:val="ImportTok"/>
    <w:basedOn w:val="VerbatimChar"/>
    <w:uiPriority w:val="99"/>
    <w:rPr>
      <w:rFonts w:ascii="Consolas" w:hAnsi="Consolas"/>
      <w:b/>
      <w:color w:val="008000"/>
      <w:sz w:val="22"/>
    </w:rPr>
  </w:style>
  <w:style w:type="character" w:customStyle="1" w:styleId="CommentTok">
    <w:name w:val="CommentTok"/>
    <w:basedOn w:val="VerbatimChar"/>
    <w:uiPriority w:val="99"/>
    <w:rPr>
      <w:rFonts w:ascii="Consolas" w:hAnsi="Consolas"/>
      <w:i/>
      <w:color w:val="60a0b0"/>
      <w:sz w:val="22"/>
    </w:rPr>
  </w:style>
  <w:style w:type="character" w:customStyle="1" w:styleId="DocumentationTok">
    <w:name w:val="DocumentationTok"/>
    <w:basedOn w:val="VerbatimChar"/>
    <w:uiPriority w:val="99"/>
    <w:rPr>
      <w:rFonts w:ascii="Consolas" w:hAnsi="Consolas"/>
      <w:i/>
      <w:color w:val="ba2121"/>
      <w:sz w:val="22"/>
    </w:rPr>
  </w:style>
  <w:style w:type="character" w:customStyle="1" w:styleId="AnnotationTok">
    <w:name w:val="AnnotationTok"/>
    <w:basedOn w:val="VerbatimChar"/>
    <w:uiPriority w:val="99"/>
    <w:rPr>
      <w:rFonts w:ascii="Consolas" w:hAnsi="Consolas"/>
      <w:b/>
      <w:i/>
      <w:color w:val="60a0b0"/>
      <w:sz w:val="22"/>
    </w:rPr>
  </w:style>
  <w:style w:type="character" w:customStyle="1" w:styleId="CommentVarTok">
    <w:name w:val="CommentVarTok"/>
    <w:basedOn w:val="VerbatimChar"/>
    <w:uiPriority w:val="99"/>
    <w:rPr>
      <w:rFonts w:ascii="Consolas" w:hAnsi="Consolas"/>
      <w:b/>
      <w:i/>
      <w:color w:val="60a0b0"/>
      <w:sz w:val="22"/>
    </w:rPr>
  </w:style>
  <w:style w:type="character" w:customStyle="1" w:styleId="OtherTok">
    <w:name w:val="OtherTok"/>
    <w:basedOn w:val="VerbatimChar"/>
    <w:uiPriority w:val="99"/>
    <w:rPr>
      <w:rFonts w:ascii="Consolas" w:hAnsi="Consolas"/>
      <w:color w:val="007020"/>
      <w:sz w:val="22"/>
    </w:rPr>
  </w:style>
  <w:style w:type="character" w:customStyle="1" w:styleId="FunctionTok">
    <w:name w:val="FunctionTok"/>
    <w:basedOn w:val="VerbatimChar"/>
    <w:uiPriority w:val="99"/>
    <w:rPr>
      <w:rFonts w:ascii="Consolas" w:hAnsi="Consolas"/>
      <w:color w:val="06287e"/>
      <w:sz w:val="22"/>
    </w:rPr>
  </w:style>
  <w:style w:type="character" w:customStyle="1" w:styleId="VariableTok">
    <w:name w:val="VariableTok"/>
    <w:basedOn w:val="VerbatimChar"/>
    <w:uiPriority w:val="99"/>
    <w:rPr>
      <w:rFonts w:ascii="Consolas" w:hAnsi="Consolas"/>
      <w:color w:val="19177c"/>
      <w:sz w:val="22"/>
    </w:rPr>
  </w:style>
  <w:style w:type="character" w:customStyle="1" w:styleId="ControlFlowTok">
    <w:name w:val="ControlFlowTok"/>
    <w:basedOn w:val="VerbatimChar"/>
    <w:uiPriority w:val="99"/>
    <w:rPr>
      <w:rFonts w:ascii="Consolas" w:hAnsi="Consolas"/>
      <w:b/>
      <w:color w:val="007020"/>
      <w:sz w:val="22"/>
    </w:rPr>
  </w:style>
  <w:style w:type="character" w:customStyle="1" w:styleId="OperatorTok">
    <w:name w:val="OperatorTok"/>
    <w:basedOn w:val="VerbatimChar"/>
    <w:uiPriority w:val="99"/>
    <w:rPr>
      <w:rFonts w:ascii="Consolas" w:hAnsi="Consolas"/>
      <w:color w:val="666666"/>
      <w:sz w:val="22"/>
    </w:rPr>
  </w:style>
  <w:style w:type="character" w:customStyle="1" w:styleId="BuiltInTok">
    <w:name w:val="BuiltInTok"/>
    <w:basedOn w:val="VerbatimChar"/>
    <w:uiPriority w:val="99"/>
    <w:rPr>
      <w:rFonts w:ascii="Consolas" w:hAnsi="Consolas"/>
      <w:color w:val="008000"/>
      <w:sz w:val="22"/>
    </w:rPr>
  </w:style>
  <w:style w:type="character" w:customStyle="1" w:styleId="ExtensionTok">
    <w:name w:val="ExtensionTok"/>
    <w:basedOn w:val="VerbatimChar"/>
    <w:uiPriority w:val="99"/>
    <w:rPr>
      <w:rFonts w:ascii="Consolas" w:hAnsi="Consolas"/>
      <w:sz w:val="22"/>
    </w:rPr>
  </w:style>
  <w:style w:type="character" w:customStyle="1" w:styleId="PreprocessorTok">
    <w:name w:val="PreprocessorTok"/>
    <w:basedOn w:val="VerbatimChar"/>
    <w:uiPriority w:val="99"/>
    <w:rPr>
      <w:rFonts w:ascii="Consolas" w:hAnsi="Consolas"/>
      <w:color w:val="bc7a00"/>
      <w:sz w:val="22"/>
    </w:rPr>
  </w:style>
  <w:style w:type="character" w:customStyle="1" w:styleId="AttributeTok">
    <w:name w:val="AttributeTok"/>
    <w:basedOn w:val="VerbatimChar"/>
    <w:uiPriority w:val="99"/>
    <w:rPr>
      <w:rFonts w:ascii="Consolas" w:hAnsi="Consolas"/>
      <w:color w:val="7d9029"/>
      <w:sz w:val="22"/>
    </w:rPr>
  </w:style>
  <w:style w:type="character" w:customStyle="1" w:styleId="RegionMarkerTok">
    <w:name w:val="RegionMarkerTok"/>
    <w:basedOn w:val="VerbatimChar"/>
    <w:uiPriority w:val="99"/>
    <w:rPr>
      <w:rFonts w:ascii="Consolas" w:hAnsi="Consolas"/>
      <w:sz w:val="22"/>
    </w:rPr>
  </w:style>
  <w:style w:type="character" w:customStyle="1" w:styleId="InformationTok">
    <w:name w:val="InformationTok"/>
    <w:basedOn w:val="VerbatimChar"/>
    <w:uiPriority w:val="99"/>
    <w:rPr>
      <w:rFonts w:ascii="Consolas" w:hAnsi="Consolas"/>
      <w:b/>
      <w:i/>
      <w:color w:val="60a0b0"/>
      <w:sz w:val="22"/>
    </w:rPr>
  </w:style>
  <w:style w:type="character" w:customStyle="1" w:styleId="WarningTok">
    <w:name w:val="WarningTok"/>
    <w:basedOn w:val="VerbatimChar"/>
    <w:uiPriority w:val="99"/>
    <w:rPr>
      <w:rFonts w:ascii="Consolas" w:hAnsi="Consolas"/>
      <w:b/>
      <w:i/>
      <w:color w:val="60a0b0"/>
      <w:sz w:val="22"/>
    </w:rPr>
  </w:style>
  <w:style w:type="character" w:customStyle="1" w:styleId="AlertTok">
    <w:name w:val="AlertTok"/>
    <w:basedOn w:val="VerbatimChar"/>
    <w:uiPriority w:val="99"/>
    <w:rPr>
      <w:rFonts w:ascii="Consolas" w:hAnsi="Consolas"/>
      <w:b/>
      <w:color w:val="ff0000"/>
      <w:sz w:val="22"/>
    </w:rPr>
  </w:style>
  <w:style w:type="character" w:customStyle="1" w:styleId="ErrorTok">
    <w:name w:val="ErrorTok"/>
    <w:basedOn w:val="VerbatimChar"/>
    <w:uiPriority w:val="99"/>
    <w:rPr>
      <w:rFonts w:ascii="Consolas" w:hAnsi="Consolas"/>
      <w:b/>
      <w:color w:val="ff0000"/>
      <w:sz w:val="22"/>
    </w:rPr>
  </w:style>
  <w:style w:type="character" w:customStyle="1" w:styleId="NormalTok">
    <w:name w:val="NormalTok"/>
    <w:basedOn w:val="VerbatimChar"/>
    <w:uiPriority w:val="99"/>
    <w:rPr>
      <w:rFonts w:ascii="Consolas" w:hAnsi="Consolas"/>
      <w:sz w:val="22"/>
    </w:rPr>
  </w:style>
  <w:style w:type="paragraph" w:styleId="Normal(Web)">
    <w:name w:val="Normal (Web)"/>
    <w:basedOn w:val="Normal"/>
    <w:uiPriority w:val="99"/>
    <w:unhideWhenUsed w:val="on"/>
    <w:pPr>
      <w:spacing w:before="100" w:after="100"/>
    </w:pPr>
    <w:rPr>
      <w:rFonts w:ascii="Times New Roman" w:cs="Times New Roman" w:eastAsia="Times New Roman" w:hAnsi="Times New Roman"/>
    </w:rPr>
  </w:style>
  <w:style w:type="character" w:styleId="Strong">
    <w:name w:val="Strong"/>
    <w:basedOn w:val="DefaultParagraphFont"/>
    <w:uiPriority w:val="22"/>
    <w:qFormat w:val="on"/>
    <w:rPr>
      <w:b/>
      <w:bCs/>
    </w:rPr>
  </w:style>
  <w:style w:type="table" w:styleId="TableGrid">
    <w:name w:val="Table Grid"/>
    <w:basedOn w:val="NormalTable"/>
    <w:uiPriority w:val="9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4701">
      <w:bodyDiv w:val="1"/>
      <w:marLeft w:val="0"/>
      <w:marRight w:val="0"/>
      <w:marTop w:val="0"/>
      <w:marBottom w:val="0"/>
      <w:divBdr>
        <w:top w:val="none" w:sz="0" w:space="0" w:color="auto"/>
        <w:left w:val="none" w:sz="0" w:space="0" w:color="auto"/>
        <w:bottom w:val="none" w:sz="0" w:space="0" w:color="auto"/>
        <w:right w:val="none" w:sz="0" w:space="0" w:color="auto"/>
      </w:divBdr>
    </w:div>
    <w:div w:id="26175579">
      <w:bodyDiv w:val="1"/>
      <w:marLeft w:val="0"/>
      <w:marRight w:val="0"/>
      <w:marTop w:val="0"/>
      <w:marBottom w:val="0"/>
      <w:divBdr>
        <w:top w:val="none" w:sz="0" w:space="0" w:color="auto"/>
        <w:left w:val="none" w:sz="0" w:space="0" w:color="auto"/>
        <w:bottom w:val="none" w:sz="0" w:space="0" w:color="auto"/>
        <w:right w:val="none" w:sz="0" w:space="0" w:color="auto"/>
      </w:divBdr>
      <w:divsChild>
        <w:div w:id="1538857863">
          <w:marLeft w:val="0"/>
          <w:marRight w:val="0"/>
          <w:marTop w:val="0"/>
          <w:marBottom w:val="0"/>
          <w:divBdr>
            <w:top w:val="none" w:sz="0" w:space="0" w:color="auto"/>
            <w:left w:val="none" w:sz="0" w:space="0" w:color="auto"/>
            <w:bottom w:val="none" w:sz="0" w:space="0" w:color="auto"/>
            <w:right w:val="none" w:sz="0" w:space="0" w:color="auto"/>
          </w:divBdr>
          <w:divsChild>
            <w:div w:id="1946229584">
              <w:marLeft w:val="0"/>
              <w:marRight w:val="0"/>
              <w:marTop w:val="0"/>
              <w:marBottom w:val="0"/>
              <w:divBdr>
                <w:top w:val="none" w:sz="0" w:space="0" w:color="auto"/>
                <w:left w:val="none" w:sz="0" w:space="0" w:color="auto"/>
                <w:bottom w:val="none" w:sz="0" w:space="0" w:color="auto"/>
                <w:right w:val="none" w:sz="0" w:space="0" w:color="auto"/>
              </w:divBdr>
            </w:div>
          </w:divsChild>
        </w:div>
        <w:div w:id="886257558">
          <w:marLeft w:val="0"/>
          <w:marRight w:val="0"/>
          <w:marTop w:val="0"/>
          <w:marBottom w:val="0"/>
          <w:divBdr>
            <w:top w:val="none" w:sz="0" w:space="0" w:color="auto"/>
            <w:left w:val="none" w:sz="0" w:space="0" w:color="auto"/>
            <w:bottom w:val="none" w:sz="0" w:space="0" w:color="auto"/>
            <w:right w:val="none" w:sz="0" w:space="0" w:color="auto"/>
          </w:divBdr>
          <w:divsChild>
            <w:div w:id="1124618620">
              <w:marLeft w:val="0"/>
              <w:marRight w:val="0"/>
              <w:marTop w:val="0"/>
              <w:marBottom w:val="0"/>
              <w:divBdr>
                <w:top w:val="none" w:sz="0" w:space="0" w:color="auto"/>
                <w:left w:val="none" w:sz="0" w:space="0" w:color="auto"/>
                <w:bottom w:val="none" w:sz="0" w:space="0" w:color="auto"/>
                <w:right w:val="none" w:sz="0" w:space="0" w:color="auto"/>
              </w:divBdr>
            </w:div>
          </w:divsChild>
        </w:div>
        <w:div w:id="619385976">
          <w:marLeft w:val="0"/>
          <w:marRight w:val="0"/>
          <w:marTop w:val="0"/>
          <w:marBottom w:val="0"/>
          <w:divBdr>
            <w:top w:val="none" w:sz="0" w:space="0" w:color="auto"/>
            <w:left w:val="none" w:sz="0" w:space="0" w:color="auto"/>
            <w:bottom w:val="none" w:sz="0" w:space="0" w:color="auto"/>
            <w:right w:val="none" w:sz="0" w:space="0" w:color="auto"/>
          </w:divBdr>
          <w:divsChild>
            <w:div w:id="1578130519">
              <w:marLeft w:val="0"/>
              <w:marRight w:val="0"/>
              <w:marTop w:val="0"/>
              <w:marBottom w:val="0"/>
              <w:divBdr>
                <w:top w:val="none" w:sz="0" w:space="0" w:color="auto"/>
                <w:left w:val="none" w:sz="0" w:space="0" w:color="auto"/>
                <w:bottom w:val="none" w:sz="0" w:space="0" w:color="auto"/>
                <w:right w:val="none" w:sz="0" w:space="0" w:color="auto"/>
              </w:divBdr>
            </w:div>
          </w:divsChild>
        </w:div>
        <w:div w:id="465437032">
          <w:marLeft w:val="0"/>
          <w:marRight w:val="0"/>
          <w:marTop w:val="0"/>
          <w:marBottom w:val="0"/>
          <w:divBdr>
            <w:top w:val="none" w:sz="0" w:space="0" w:color="auto"/>
            <w:left w:val="none" w:sz="0" w:space="0" w:color="auto"/>
            <w:bottom w:val="none" w:sz="0" w:space="0" w:color="auto"/>
            <w:right w:val="none" w:sz="0" w:space="0" w:color="auto"/>
          </w:divBdr>
          <w:divsChild>
            <w:div w:id="16928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18785">
      <w:bodyDiv w:val="1"/>
      <w:marLeft w:val="0"/>
      <w:marRight w:val="0"/>
      <w:marTop w:val="0"/>
      <w:marBottom w:val="0"/>
      <w:divBdr>
        <w:top w:val="none" w:sz="0" w:space="0" w:color="auto"/>
        <w:left w:val="none" w:sz="0" w:space="0" w:color="auto"/>
        <w:bottom w:val="none" w:sz="0" w:space="0" w:color="auto"/>
        <w:right w:val="none" w:sz="0" w:space="0" w:color="auto"/>
      </w:divBdr>
    </w:div>
    <w:div w:id="615261513">
      <w:bodyDiv w:val="1"/>
      <w:marLeft w:val="0"/>
      <w:marRight w:val="0"/>
      <w:marTop w:val="0"/>
      <w:marBottom w:val="0"/>
      <w:divBdr>
        <w:top w:val="none" w:sz="0" w:space="0" w:color="auto"/>
        <w:left w:val="none" w:sz="0" w:space="0" w:color="auto"/>
        <w:bottom w:val="none" w:sz="0" w:space="0" w:color="auto"/>
        <w:right w:val="none" w:sz="0" w:space="0" w:color="auto"/>
      </w:divBdr>
    </w:div>
    <w:div w:id="644119534">
      <w:bodyDiv w:val="1"/>
      <w:marLeft w:val="0"/>
      <w:marRight w:val="0"/>
      <w:marTop w:val="0"/>
      <w:marBottom w:val="0"/>
      <w:divBdr>
        <w:top w:val="none" w:sz="0" w:space="0" w:color="auto"/>
        <w:left w:val="none" w:sz="0" w:space="0" w:color="auto"/>
        <w:bottom w:val="none" w:sz="0" w:space="0" w:color="auto"/>
        <w:right w:val="none" w:sz="0" w:space="0" w:color="auto"/>
      </w:divBdr>
    </w:div>
    <w:div w:id="771705616">
      <w:bodyDiv w:val="1"/>
      <w:marLeft w:val="0"/>
      <w:marRight w:val="0"/>
      <w:marTop w:val="0"/>
      <w:marBottom w:val="0"/>
      <w:divBdr>
        <w:top w:val="none" w:sz="0" w:space="0" w:color="auto"/>
        <w:left w:val="none" w:sz="0" w:space="0" w:color="auto"/>
        <w:bottom w:val="none" w:sz="0" w:space="0" w:color="auto"/>
        <w:right w:val="none" w:sz="0" w:space="0" w:color="auto"/>
      </w:divBdr>
    </w:div>
    <w:div w:id="1018701171">
      <w:bodyDiv w:val="1"/>
      <w:marLeft w:val="0"/>
      <w:marRight w:val="0"/>
      <w:marTop w:val="0"/>
      <w:marBottom w:val="0"/>
      <w:divBdr>
        <w:top w:val="none" w:sz="0" w:space="0" w:color="auto"/>
        <w:left w:val="none" w:sz="0" w:space="0" w:color="auto"/>
        <w:bottom w:val="none" w:sz="0" w:space="0" w:color="auto"/>
        <w:right w:val="none" w:sz="0" w:space="0" w:color="auto"/>
      </w:divBdr>
    </w:div>
    <w:div w:id="1197741629">
      <w:bodyDiv w:val="1"/>
      <w:marLeft w:val="0"/>
      <w:marRight w:val="0"/>
      <w:marTop w:val="0"/>
      <w:marBottom w:val="0"/>
      <w:divBdr>
        <w:top w:val="none" w:sz="0" w:space="0" w:color="auto"/>
        <w:left w:val="none" w:sz="0" w:space="0" w:color="auto"/>
        <w:bottom w:val="none" w:sz="0" w:space="0" w:color="auto"/>
        <w:right w:val="none" w:sz="0" w:space="0" w:color="auto"/>
      </w:divBdr>
      <w:divsChild>
        <w:div w:id="693652005">
          <w:marLeft w:val="0"/>
          <w:marRight w:val="0"/>
          <w:marTop w:val="0"/>
          <w:marBottom w:val="0"/>
          <w:divBdr>
            <w:top w:val="none" w:sz="0" w:space="0" w:color="auto"/>
            <w:left w:val="none" w:sz="0" w:space="0" w:color="auto"/>
            <w:bottom w:val="none" w:sz="0" w:space="0" w:color="auto"/>
            <w:right w:val="none" w:sz="0" w:space="0" w:color="auto"/>
          </w:divBdr>
          <w:divsChild>
            <w:div w:id="796069967">
              <w:marLeft w:val="0"/>
              <w:marRight w:val="0"/>
              <w:marTop w:val="0"/>
              <w:marBottom w:val="0"/>
              <w:divBdr>
                <w:top w:val="none" w:sz="0" w:space="0" w:color="auto"/>
                <w:left w:val="none" w:sz="0" w:space="0" w:color="auto"/>
                <w:bottom w:val="none" w:sz="0" w:space="0" w:color="auto"/>
                <w:right w:val="none" w:sz="0" w:space="0" w:color="auto"/>
              </w:divBdr>
            </w:div>
          </w:divsChild>
        </w:div>
        <w:div w:id="943615613">
          <w:marLeft w:val="0"/>
          <w:marRight w:val="0"/>
          <w:marTop w:val="0"/>
          <w:marBottom w:val="0"/>
          <w:divBdr>
            <w:top w:val="none" w:sz="0" w:space="0" w:color="auto"/>
            <w:left w:val="none" w:sz="0" w:space="0" w:color="auto"/>
            <w:bottom w:val="none" w:sz="0" w:space="0" w:color="auto"/>
            <w:right w:val="none" w:sz="0" w:space="0" w:color="auto"/>
          </w:divBdr>
          <w:divsChild>
            <w:div w:id="1988705606">
              <w:marLeft w:val="0"/>
              <w:marRight w:val="0"/>
              <w:marTop w:val="0"/>
              <w:marBottom w:val="0"/>
              <w:divBdr>
                <w:top w:val="none" w:sz="0" w:space="0" w:color="auto"/>
                <w:left w:val="none" w:sz="0" w:space="0" w:color="auto"/>
                <w:bottom w:val="none" w:sz="0" w:space="0" w:color="auto"/>
                <w:right w:val="none" w:sz="0" w:space="0" w:color="auto"/>
              </w:divBdr>
            </w:div>
          </w:divsChild>
        </w:div>
        <w:div w:id="686448754">
          <w:marLeft w:val="0"/>
          <w:marRight w:val="0"/>
          <w:marTop w:val="0"/>
          <w:marBottom w:val="0"/>
          <w:divBdr>
            <w:top w:val="none" w:sz="0" w:space="0" w:color="auto"/>
            <w:left w:val="none" w:sz="0" w:space="0" w:color="auto"/>
            <w:bottom w:val="none" w:sz="0" w:space="0" w:color="auto"/>
            <w:right w:val="none" w:sz="0" w:space="0" w:color="auto"/>
          </w:divBdr>
          <w:divsChild>
            <w:div w:id="1644770989">
              <w:marLeft w:val="0"/>
              <w:marRight w:val="0"/>
              <w:marTop w:val="0"/>
              <w:marBottom w:val="0"/>
              <w:divBdr>
                <w:top w:val="none" w:sz="0" w:space="0" w:color="auto"/>
                <w:left w:val="none" w:sz="0" w:space="0" w:color="auto"/>
                <w:bottom w:val="none" w:sz="0" w:space="0" w:color="auto"/>
                <w:right w:val="none" w:sz="0" w:space="0" w:color="auto"/>
              </w:divBdr>
            </w:div>
          </w:divsChild>
        </w:div>
        <w:div w:id="1899395079">
          <w:marLeft w:val="0"/>
          <w:marRight w:val="0"/>
          <w:marTop w:val="0"/>
          <w:marBottom w:val="0"/>
          <w:divBdr>
            <w:top w:val="none" w:sz="0" w:space="0" w:color="auto"/>
            <w:left w:val="none" w:sz="0" w:space="0" w:color="auto"/>
            <w:bottom w:val="none" w:sz="0" w:space="0" w:color="auto"/>
            <w:right w:val="none" w:sz="0" w:space="0" w:color="auto"/>
          </w:divBdr>
          <w:divsChild>
            <w:div w:id="4361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14744">
      <w:bodyDiv w:val="1"/>
      <w:marLeft w:val="0"/>
      <w:marRight w:val="0"/>
      <w:marTop w:val="0"/>
      <w:marBottom w:val="0"/>
      <w:divBdr>
        <w:top w:val="none" w:sz="0" w:space="0" w:color="auto"/>
        <w:left w:val="none" w:sz="0" w:space="0" w:color="auto"/>
        <w:bottom w:val="none" w:sz="0" w:space="0" w:color="auto"/>
        <w:right w:val="none" w:sz="0" w:space="0" w:color="auto"/>
      </w:divBdr>
    </w:div>
    <w:div w:id="1827017223">
      <w:bodyDiv w:val="1"/>
      <w:marLeft w:val="0"/>
      <w:marRight w:val="0"/>
      <w:marTop w:val="0"/>
      <w:marBottom w:val="0"/>
      <w:divBdr>
        <w:top w:val="none" w:sz="0" w:space="0" w:color="auto"/>
        <w:left w:val="none" w:sz="0" w:space="0" w:color="auto"/>
        <w:bottom w:val="none" w:sz="0" w:space="0" w:color="auto"/>
        <w:right w:val="none" w:sz="0" w:space="0" w:color="auto"/>
      </w:divBdr>
    </w:div>
    <w:div w:id="20712206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theme" Target="theme/theme1.xml"/><Relationship Id="rId2" Type="http://schemas.openxmlformats.org/officeDocument/2006/relationships/styles" Target="styles.xml"/><Relationship Id="rId4" Type="http://schemas.openxmlformats.org/officeDocument/2006/relationships/settings" Target="settings.xml"/><Relationship Id="rId9" Type="http://schemas.openxmlformats.org/officeDocument/2006/relationships/fontTable" Target="fontTable.xml"/><Relationship Id="rId3" Type="http://schemas.microsoft.com/office/2007/relationships/stylesWithEffects" Target="stylesWithEffects.xml"/><Relationship Id="rId5" Type="http://schemas.openxmlformats.org/officeDocument/2006/relationships/webSettings" Target="webSettings.xml"/><Relationship Id="rId6" Type="http://schemas.openxmlformats.org/officeDocument/2006/relationships/hyperlink" Target="https://www.budapestopenaccessinitiative.org" TargetMode="External"/><Relationship Id="rId7" Type="http://schemas.openxmlformats.org/officeDocument/2006/relationships/hyperlink" Target="https://doi.org/10.7717/peerj.4375" TargetMode="External"/><Relationship Id="rId8" Type="http://schemas.openxmlformats.org/officeDocument/2006/relationships/hyperlink" Target="https://doi.org/10.1186/s12916-015-0469-2" TargetMode="Externa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15</Pages>
  <Words>4454</Words>
  <Characters>25389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 Salami</dc:creator>
  <cp:lastModifiedBy>Ayo Salami</cp:lastModifiedBy>
</cp:coreProperties>
</file>