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62"/>
        <w:jc w:val="center"/>
        <w:rPr/>
      </w:pPr>
      <w:r>
        <w:t>IMPACT OF TERRORISM AND ARMED INSECURITY ON LIBRARY AND INFORMATION SYSTEMS DEVELOPMENT IN NORTHERN NIGERIA: AN INTEGRATIVE NARRATIVE REVIEW</w:t>
      </w:r>
    </w:p>
    <w:p>
      <w:pPr>
        <w:pStyle w:val="style0"/>
        <w:spacing w:after="40" w:lineRule="auto" w:line="240"/>
        <w:ind w:firstLine="0"/>
        <w:jc w:val="center"/>
        <w:rPr/>
      </w:pPr>
      <w:r>
        <w:rPr>
          <w:b/>
        </w:rPr>
        <w:t>Binshak, Monday Daniel</w:t>
      </w:r>
    </w:p>
    <w:p>
      <w:pPr>
        <w:pStyle w:val="style0"/>
        <w:spacing w:after="20" w:lineRule="auto" w:line="240"/>
        <w:ind w:firstLine="0"/>
        <w:jc w:val="center"/>
        <w:rPr/>
      </w:pPr>
      <w:r>
        <w:rPr>
          <w:sz w:val="20"/>
        </w:rPr>
        <w:t>Mewar International University, Nigeria</w:t>
      </w:r>
    </w:p>
    <w:p>
      <w:pPr>
        <w:pStyle w:val="style0"/>
        <w:spacing w:after="20" w:lineRule="auto" w:line="240"/>
        <w:ind w:firstLine="0"/>
        <w:jc w:val="center"/>
        <w:rPr/>
      </w:pPr>
      <w:r>
        <w:rPr>
          <w:sz w:val="20"/>
          <w:lang w:val="en-US"/>
        </w:rPr>
        <w:t xml:space="preserve">mdbinshak@miu.edu.ng </w:t>
      </w:r>
    </w:p>
    <w:p>
      <w:pPr>
        <w:pStyle w:val="style0"/>
        <w:spacing w:after="20" w:lineRule="auto" w:line="240"/>
        <w:ind w:firstLine="0"/>
        <w:jc w:val="center"/>
        <w:rPr/>
      </w:pPr>
      <w:r>
        <w:rPr>
          <w:sz w:val="20"/>
        </w:rPr>
        <w:t>Tel: +(234) 081-3408-4085</w:t>
      </w:r>
    </w:p>
    <w:p>
      <w:pPr>
        <w:pStyle w:val="style0"/>
        <w:spacing w:after="40" w:lineRule="auto" w:line="240"/>
        <w:ind w:firstLine="0"/>
        <w:jc w:val="center"/>
        <w:rPr/>
      </w:pPr>
      <w:r>
        <w:rPr>
          <w:b/>
        </w:rPr>
        <w:t>Dosumu Kehinde Paul</w:t>
      </w:r>
    </w:p>
    <w:p>
      <w:pPr>
        <w:pStyle w:val="style0"/>
        <w:spacing w:after="20" w:lineRule="auto" w:line="240"/>
        <w:ind w:firstLine="0"/>
        <w:jc w:val="center"/>
        <w:rPr/>
      </w:pPr>
      <w:r>
        <w:rPr>
          <w:sz w:val="20"/>
        </w:rPr>
        <w:t>Adeseun Ogundoyin Polytechnic</w:t>
      </w:r>
    </w:p>
    <w:p>
      <w:pPr>
        <w:pStyle w:val="style0"/>
        <w:spacing w:after="20" w:lineRule="auto" w:line="240"/>
        <w:ind w:firstLine="0"/>
        <w:jc w:val="center"/>
        <w:rPr/>
      </w:pPr>
      <w:r>
        <w:rPr>
          <w:sz w:val="20"/>
        </w:rPr>
        <w:t>Email: pauloluwafemi0@gmail.com</w:t>
      </w:r>
    </w:p>
    <w:p>
      <w:pPr>
        <w:pStyle w:val="style0"/>
        <w:spacing w:after="40" w:lineRule="auto" w:line="240"/>
        <w:ind w:firstLine="0"/>
        <w:jc w:val="center"/>
        <w:rPr/>
      </w:pPr>
      <w:r>
        <w:rPr>
          <w:b/>
        </w:rPr>
        <w:t>Akor Gloria Ene</w:t>
      </w:r>
    </w:p>
    <w:p>
      <w:pPr>
        <w:pStyle w:val="style0"/>
        <w:spacing w:after="20" w:lineRule="auto" w:line="240"/>
        <w:ind w:firstLine="0"/>
        <w:jc w:val="center"/>
        <w:rPr/>
      </w:pPr>
      <w:r>
        <w:rPr>
          <w:sz w:val="20"/>
        </w:rPr>
        <w:t>Mewar International University, Nigeria</w:t>
      </w:r>
    </w:p>
    <w:p>
      <w:pPr>
        <w:pStyle w:val="style0"/>
        <w:spacing w:after="20" w:lineRule="auto" w:line="240"/>
        <w:ind w:firstLine="0"/>
        <w:jc w:val="center"/>
        <w:rPr/>
      </w:pPr>
      <w:r>
        <w:rPr>
          <w:sz w:val="20"/>
        </w:rPr>
        <w:t>Email: korgloriaene@gmail.com</w:t>
      </w:r>
    </w:p>
    <w:p>
      <w:pPr>
        <w:pStyle w:val="style0"/>
        <w:spacing w:lineRule="auto" w:line="240"/>
        <w:rPr/>
      </w:pPr>
    </w:p>
    <w:p>
      <w:pPr>
        <w:pStyle w:val="style1"/>
        <w:rPr/>
      </w:pPr>
      <w:r>
        <w:t>Abstract</w:t>
      </w:r>
    </w:p>
    <w:p>
      <w:pPr>
        <w:pStyle w:val="style4116"/>
        <w:jc w:val="left"/>
        <w:rPr/>
      </w:pPr>
      <w:r>
        <w:t>Violent insecurity has disrupted education and public services across Northern Nigeria, but its implications for library and information systems (LIS) have seldom been examined together. This article brings Nigerian library studies, research on educational disruption and institutional reports into an integrative narrative review. It considers damage to buildings and collections, interruption of information services, pressures on library personnel and the adequacy of disaster preparedness. Direct research from the North-East documents losses to library assets, while studies of university and public libraries reveal uneven access to disaster-control measures. Research involving internally displaced persons points to persistent information needs and the importance of outreach beyond conventional library buildings. Nevertheless, direct evidence on the scale of service interruption and library staff displacement remains limited; claims that library programmes independently reduce insurgency have not been established. Drawing on human security and institutional-resilience perspectives, the article explains how armed insecurity can deepen information exclusion and delay institutional recovery. It recommends conflict-sensitive continuity plans, secure preservation and backup systems, staff safety and professional development, and partnerships for displaced-community information services. Multi-site field studies are needed to assess these effects more precisely and inform locally appropriate recovery policies.</w:t>
      </w:r>
    </w:p>
    <w:p>
      <w:pPr>
        <w:pStyle w:val="style4116"/>
        <w:spacing w:before="80"/>
        <w:jc w:val="left"/>
        <w:rPr/>
      </w:pPr>
      <w:r>
        <w:t>Keywords: armed insecurity; terrorism; libraries; information services; Northern Nigeria; displacement; institutional resilience</w:t>
      </w:r>
    </w:p>
    <w:p>
      <w:pPr>
        <w:pStyle w:val="style1"/>
        <w:rPr/>
      </w:pPr>
      <w:r>
        <w:t>1. Introduction</w:t>
      </w:r>
    </w:p>
    <w:p>
      <w:pPr>
        <w:pStyle w:val="style0"/>
        <w:jc w:val="both"/>
        <w:rPr/>
      </w:pPr>
      <w:r>
        <w:t>Violent insecurity in Northern Nigeria has consequences beyond casualties, destroyed property and displaced households. It affects the institutions through which people learn, obtain public information and preserve community records. The nature of insecurity also varies across the region. Boko Haram and associated insurgent activities have been especially prominent in the North-East; banditry and kidnapping have affected communities in the North-West; and communal conflict, farmer–herder violence and other armed threats have shaped insecurity in parts of the North-Central zone. These differences matter because terrorism, insurgency and armed criminal violence should not be treated as identical phenomena, even where their effects on public institutions overlap (Bilyaminu et al., 2017; International Organization for Migration [IOM], 2025a, 2025b).</w:t>
      </w:r>
    </w:p>
    <w:p>
      <w:pPr>
        <w:pStyle w:val="style0"/>
        <w:jc w:val="both"/>
        <w:rPr/>
      </w:pPr>
      <w:r>
        <w:t>Libraries depend on the safety of their buildings, the mobility of users, the availability of trained staff and the continuity of their parent institutions. A library may lose its capacity to serve a community without being directly attacked: schools may close, roads may become unsafe, budgets may contract and equipment may remain idle. Conversely, displaced people may need more reliable information just as nearby services become less accessible. These practical difficulties suggest that the consequences of insecurity for LIS development should be assessed in terms of both physical losses and reduced access to information.</w:t>
      </w:r>
    </w:p>
    <w:p>
      <w:pPr>
        <w:pStyle w:val="style0"/>
        <w:jc w:val="both"/>
        <w:rPr/>
      </w:pPr>
      <w:r>
        <w:t>Much of the published discussion has examined either the damage caused by insurgency to educational institutions or library preparedness for emergencies. Far fewer studies measure the duration of library closures, the relocation of library personnel or the effectiveness of services provided to displaced users. This article therefore revisits the existing evidence with four questions in view: What is known about damage to library resources? How does insecurity affect service continuity? What can be said about professional capacity? And how prepared are libraries to respond and recover? The review also considers whether libraries can support educational recovery and informed civic participation without being assigned the functions of security agencies.</w:t>
      </w:r>
    </w:p>
    <w:p>
      <w:pPr>
        <w:pStyle w:val="style1"/>
        <w:rPr/>
      </w:pPr>
      <w:r>
        <w:t>2. Conceptual and Empirical Perspectives</w:t>
      </w:r>
    </w:p>
    <w:p>
      <w:pPr>
        <w:pStyle w:val="style2"/>
        <w:rPr/>
      </w:pPr>
      <w:r>
        <w:t>2.1 Armed Insecurity and Library Development</w:t>
      </w:r>
    </w:p>
    <w:p>
      <w:pPr>
        <w:pStyle w:val="style0"/>
        <w:jc w:val="both"/>
        <w:rPr/>
      </w:pPr>
      <w:r>
        <w:t>Terrorism involves violence intended to intimidate or coerce audiences beyond its immediate victims, whereas the broader category of armed insecurity includes insurgency, organised criminal attacks and communal violence. These categories are not interchangeable in legal or political terms. They are considered together here because each may expose libraries and their users to disrupted movement, damage, institutional closure and loss of public services. Regional displacement assessments illustrate the differences: IOM (2025b) recorded 2,333,190 internally displaced persons in its October 2025 North-East assessment, while its North-Central/North-West assessment identified 1,378,124 people displaced across ten states (IOM, 2025a). These are population figures, not counts of affected libraries.</w:t>
      </w:r>
    </w:p>
    <w:p>
      <w:pPr>
        <w:pStyle w:val="style0"/>
        <w:jc w:val="both"/>
        <w:rPr/>
      </w:pPr>
      <w:r>
        <w:t>The developmental importance of libraries extends beyond the number of premises or books held. Library services support reading, research, access to official information, digital participation and the preservation of local records. Abubakar (2013) examined ways public libraries could contribute to poverty alleviation in Nigeria, and Mngutyo et al. (2020) discussed the relationship between public library provision and national development. Such functions require continuity. The loss of a collection is visible, but the educational cost of a library that cannot open, update its materials or reach its users may accumulate less visibly over time.</w:t>
      </w:r>
    </w:p>
    <w:p>
      <w:pPr>
        <w:pStyle w:val="style2"/>
        <w:rPr/>
      </w:pPr>
      <w:r>
        <w:t>2.2 Human Security and Information Access</w:t>
      </w:r>
    </w:p>
    <w:p>
      <w:pPr>
        <w:pStyle w:val="style0"/>
        <w:jc w:val="both"/>
        <w:rPr/>
      </w:pPr>
      <w:r>
        <w:t>Human security provides a useful standpoint because it asks how threats affect people's daily capabilities rather than considering security only as the protection of territory. The United Nations Development Programme (1994) identified interconnected dimensions of human security that include personal, community and economic well-being. For a learner who has left home because of violence, the availability of textbooks, reliable public information and a safe learning space may become part of the practical conditions for resuming education.</w:t>
      </w:r>
    </w:p>
    <w:p>
      <w:pPr>
        <w:pStyle w:val="style0"/>
        <w:jc w:val="both"/>
        <w:rPr/>
      </w:pPr>
      <w:r>
        <w:t>In this review, information deprivation refers to an interruption in people's reasonable ability to obtain and use information required for learning, public participation or recovery. The concept connects physical disruption to its social consequences but should not be treated as a separately measured outcome in the studies considered here. The extent of deprivation is likely to differ among urban and rural communities, library types and groups of users. A useful LIS response must therefore consider who loses access, what information is needed and which alternative channels remain available.</w:t>
      </w:r>
    </w:p>
    <w:p>
      <w:pPr>
        <w:pStyle w:val="style2"/>
        <w:rPr/>
      </w:pPr>
      <w:r>
        <w:t>2.3 Library Infrastructure and Documentary Loss</w:t>
      </w:r>
    </w:p>
    <w:p>
      <w:pPr>
        <w:pStyle w:val="style0"/>
        <w:jc w:val="both"/>
        <w:rPr/>
      </w:pPr>
      <w:r>
        <w:t>The clearest library-specific evidence concerns damage to premises and documentary resources. Abdullahi et al. (2025), drawing on information from 28 librarians in conflict-affected parts of North-East Nigeria, reported destruction affecting library buildings, collections and related facilities. The study is valuable because its unit of observation is the library itself rather than educational infrastructure in general. Its small and purposive context, however, cannot establish the prevalence of damage across every state or type of library in Northern Nigeria.</w:t>
      </w:r>
    </w:p>
    <w:p>
      <w:pPr>
        <w:pStyle w:val="style0"/>
        <w:jc w:val="both"/>
        <w:rPr/>
      </w:pPr>
      <w:r>
        <w:t>Preparedness research also describes the vulnerability of public libraries in the North-West. Esse et al. (2022) examined disaster-management readiness in that setting and identified weaknesses that could make recovery difficult. The studies are complementary but answer different questions: one investigates conflict-related physical damage, while the other assesses institutions' readiness for destructive events. Neither should be used to infer a precise regional total of destroyed libraries. The practical implication is that restoration must address collections, equipment, catalogues, records and the ability to reopen services, not buildings alone.</w:t>
      </w:r>
    </w:p>
    <w:p>
      <w:pPr>
        <w:pStyle w:val="style2"/>
        <w:rPr/>
      </w:pPr>
      <w:r>
        <w:t>2.4 Information Services for Displaced Communities</w:t>
      </w:r>
    </w:p>
    <w:p>
      <w:pPr>
        <w:pStyle w:val="style0"/>
        <w:jc w:val="both"/>
        <w:rPr/>
      </w:pPr>
      <w:r>
        <w:t>Displacement makes conventional building-based library provision less reliable. Lawal (2016) argued, on the basis of a study of Nigerian public library services to displaced persons, for clearer policy and stronger partnerships with community stakeholders. Ifijeh et al. (2019) proposed educational and information services for displaced people in the North-East and highlighted the role public libraries might play when appropriately supported. These contributions are concerned primarily with service needs and proposals; they do not quantify the aggregate number of library service days lost to conflict.</w:t>
      </w:r>
    </w:p>
    <w:p>
      <w:pPr>
        <w:pStyle w:val="style0"/>
        <w:jc w:val="both"/>
        <w:rPr/>
      </w:pPr>
      <w:r>
        <w:t>Eneasato and Jidere (2024) assessed the needs of internally displaced persons and advocated a coordinated outreach approach. Their work included 230 displaced persons and placed education among the priorities identified by participants. Taken together, these studies support a shift from asking only whether a library building is open to asking whether usable information reaches those who need it. Mobile collections, shared learning locations, printed guidance and low-bandwidth digital services may all have a role, provided that safety, accessibility and local preferences guide delivery.</w:t>
      </w:r>
    </w:p>
    <w:p>
      <w:pPr>
        <w:pStyle w:val="style2"/>
        <w:rPr/>
      </w:pPr>
      <w:r>
        <w:t>2.5 Professional Capacity and Service Continuity</w:t>
      </w:r>
    </w:p>
    <w:p>
      <w:pPr>
        <w:pStyle w:val="style0"/>
        <w:jc w:val="both"/>
        <w:rPr/>
      </w:pPr>
      <w:r>
        <w:t>Library services depend on cataloguers, reference librarians, information-technology personnel and other workers who maintain collections and interpret users' needs. Institutional closure can interrupt their work even when they remain employed. Abubakar (2022), in a conceptual analysis of ICT adoption during insecurity, identified educational closures and weak technology adoption as connected difficulties in parts of the North-West and North-Central zones. The article is useful for understanding conditions that may impede remote services, but it did not measure how many librarians were displaced.</w:t>
      </w:r>
    </w:p>
    <w:p>
      <w:pPr>
        <w:pStyle w:val="style0"/>
        <w:jc w:val="both"/>
        <w:rPr/>
      </w:pPr>
      <w:r>
        <w:t>The available literature therefore permits a cautious claim: armed insecurity creates plausible pressures on library staffing and service delivery, but the size of these effects has not been established by representative library-workforce data. Treating broad civilian displacement as a direct count of displaced librarians would overstate what is known. Future studies should record staff transfers, vacancies, periods of closure, changes in opening hours and the extent to which alternative services continued during particular episodes of violence.</w:t>
      </w:r>
    </w:p>
    <w:p>
      <w:pPr>
        <w:pStyle w:val="style2"/>
        <w:rPr/>
      </w:pPr>
      <w:r>
        <w:t>2.6 Disaster Preparedness and Institutional Resilience</w:t>
      </w:r>
    </w:p>
    <w:p>
      <w:pPr>
        <w:pStyle w:val="style0"/>
        <w:jc w:val="both"/>
        <w:rPr/>
      </w:pPr>
      <w:r>
        <w:t>Disaster management is often discussed as an emergency reaction, yet preparedness also concerns whether essential functions can continue under restricted conditions. Nwokedi et al. (2017) investigated fire-disaster preparedness at the University of Jos Library, while Esse et al. (2022) examined public-library disaster readiness in the North-West. Because the Jos study concerned fire safety, its findings should not be recast as direct measurements of preparedness for terrorist attacks. It nevertheless offers relevant evidence about the organisation of emergency planning and staff responses.</w:t>
      </w:r>
    </w:p>
    <w:p>
      <w:pPr>
        <w:pStyle w:val="style0"/>
        <w:jc w:val="both"/>
        <w:rPr/>
      </w:pPr>
      <w:r>
        <w:t>A more recent survey of 428 library personnel in federal universities in the North-East found that some disaster-control measures were available, but their accessibility was relatively low (Makinde &amp; Maimako, 2026). The hazards considered were broader than armed conflict, making it inappropriate to interpret the study as a terrorism-impact estimate. Comparative work from Ghana similarly reported weaknesses in library disaster planning (Ayoung et al., 2016). Garnett (2021) argues for resilience approaches that integrate anticipation, adaptation and recovery into ordinary library management. For northern Nigerian libraries, the resulting priority is not simply increased physical security; it is a plan for protecting staff and preserving usable services when routine operations are interrupted.</w:t>
      </w:r>
    </w:p>
    <w:p>
      <w:pPr>
        <w:pStyle w:val="style2"/>
        <w:rPr/>
      </w:pPr>
      <w:r>
        <w:t>2.7 Libraries, Information Literacy, and Community Recovery</w:t>
      </w:r>
    </w:p>
    <w:p>
      <w:pPr>
        <w:pStyle w:val="style0"/>
        <w:jc w:val="both"/>
        <w:rPr/>
      </w:pPr>
      <w:r>
        <w:t>Nigerian LIS authors have considered the contribution of libraries to public awareness and national security. Ossai-Ugbah (2013) discussed their role in civic information, while Ogugua and Ikeagwuani (2024) identified information access, outreach and institutional support as relevant to responses to terrorism. Nsirim et al. (2024) likewise reviewed the possibilities for libraries to encourage informed citizenship and community resilience. These publications provide useful professional arguments, but they do not establish that particular library programmes caused a reduction in insurgent incidents.</w:t>
      </w:r>
    </w:p>
    <w:p>
      <w:pPr>
        <w:pStyle w:val="style0"/>
        <w:jc w:val="both"/>
        <w:rPr/>
      </w:pPr>
      <w:r>
        <w:t>The strongest case for involvement is educational and humanitarian. Libraries can help users assess misinformation, locate trustworthy public guidance, maintain learning and document community experience. Their contribution is likely to depend on user trust; consequently, the protection of confidentiality, intellectual freedom and equitable access should remain central. Assigning surveillance duties to libraries would risk undermining the very relationships on which effective information provision depends.</w:t>
      </w:r>
    </w:p>
    <w:p>
      <w:pPr>
        <w:pStyle w:val="style0"/>
        <w:jc w:val="both"/>
        <w:rPr/>
      </w:pPr>
      <w:r>
        <w:t>These discussions suggest an integrated pathway: conflict can damage or close institutions, thereby restricting information access, while existing continuity arrangements and partnerships may reduce the duration of that restriction. Figure 1 summarises this relationship as a conceptual interpretation of the literature. It is not a tested causal model and does not assume the same effects in every location.</w:t>
      </w:r>
    </w:p>
    <w:p>
      <w:pPr>
        <w:pStyle w:val="style0"/>
        <w:spacing w:lineRule="auto" w:line="240"/>
        <w:ind w:firstLine="0"/>
        <w:jc w:val="center"/>
        <w:rPr/>
      </w:pPr>
      <w:r>
        <w:rPr/>
        <w:drawing>
          <wp:inline distL="0" distT="0" distB="0" distR="0">
            <wp:extent cx="5897880" cy="2741947"/>
            <wp:effectExtent l="0" t="0" r="0" b="0"/>
            <wp:docPr id="1026" name="Picture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 cstate="print"/>
                    <a:srcRect l="0" t="0" r="0" b="0"/>
                    <a:stretch/>
                  </pic:blipFill>
                  <pic:spPr>
                    <a:xfrm rot="0">
                      <a:off x="0" y="0"/>
                      <a:ext cx="5897880" cy="2741947"/>
                    </a:xfrm>
                    <a:prstGeom prst="rect"/>
                  </pic:spPr>
                </pic:pic>
              </a:graphicData>
            </a:graphic>
          </wp:inline>
        </w:drawing>
      </w:r>
    </w:p>
    <w:p>
      <w:pPr>
        <w:pStyle w:val="style4117"/>
        <w:spacing w:before="80" w:after="60"/>
        <w:rPr/>
      </w:pPr>
      <w:r>
        <w:rPr>
          <w:i/>
        </w:rPr>
        <w:t>Figure 1. Conflict exposure, information-system disruption and resilience: an interpretive framework based on the literature reviewed.</w:t>
      </w:r>
    </w:p>
    <w:p>
      <w:pPr>
        <w:pStyle w:val="style1"/>
        <w:rPr/>
      </w:pPr>
      <w:r>
        <w:t>3. Methodology</w:t>
      </w:r>
    </w:p>
    <w:p>
      <w:pPr>
        <w:pStyle w:val="style0"/>
        <w:jc w:val="both"/>
        <w:rPr/>
      </w:pPr>
      <w:r>
        <w:t>An integrative narrative review was used because the relevant research includes surveys of library personnel, studies of displaced populations, conceptual articles and reports on regional displacement. These sources differ in purpose, design and measurement, making statistical aggregation unsuitable. The manuscript draws on Nigerian LIS scholarship and selected comparative disaster-preparedness literature already assembled for the study, with particular attention to studies directly concerned with libraries in the northern geopolitical zones. Authoritative displacement reports are used only to establish the wider context of insecurity.</w:t>
      </w:r>
    </w:p>
    <w:p>
      <w:pPr>
        <w:pStyle w:val="style0"/>
        <w:jc w:val="both"/>
        <w:rPr/>
      </w:pPr>
      <w:r>
        <w:t>The analysis was organised around four concerns: infrastructure and collections; services and access; professional capacity; and preparedness and recovery. Sources were considered in relation to the population studied, location, study design and the claims their evidence could support. Direct observations about library buildings or personnel were distinguished from inferences made from studies of education or general displacement. Comparisons with libraries outside Northern Nigeria were used to illuminate preparedness practices, not as proof of conflict effects within the region.</w:t>
      </w:r>
    </w:p>
    <w:p>
      <w:pPr>
        <w:pStyle w:val="style0"/>
        <w:jc w:val="both"/>
        <w:rPr/>
      </w:pPr>
      <w:r>
        <w:t>This is not presented as a systematic review. The source material does not provide a complete prospective record of every database search, screening decision or excluded item, so a PRISMA-style numerical flow chart would be misleading. No original survey was conducted for this article, and the tables summarise published findings and reasoned policy implications rather than newly collected respondent data. The review's principal limitation is uneven direct LIS evidence across the North-East, North-West and North-Central zones. The interpretation below respects that limitation.</w:t>
      </w:r>
    </w:p>
    <w:p>
      <w:pPr>
        <w:pStyle w:val="style4117"/>
        <w:spacing w:before="80" w:after="60"/>
        <w:rPr/>
      </w:pPr>
      <w:r>
        <w:rPr>
          <w:i/>
        </w:rPr>
        <w:t>Table 1. Selected studies and the limits of the claims they support.</w:t>
      </w:r>
    </w:p>
    <w:tbl>
      <w:tblPr>
        <w:tblStyle w:val="style154"/>
        <w:tblW w:w="0" w:type="auto"/>
        <w:jc w:val="center"/>
        <w:tblLayout w:type="fixed"/>
        <w:tblLook w:val="04A0" w:firstRow="1" w:lastRow="0" w:firstColumn="1" w:lastColumn="0" w:noHBand="0" w:noVBand="1"/>
      </w:tblPr>
      <w:tblGrid>
        <w:gridCol w:w="2088"/>
        <w:gridCol w:w="2189"/>
        <w:gridCol w:w="2347"/>
        <w:gridCol w:w="2362"/>
      </w:tblGrid>
      <w:tr>
        <w:trPr>
          <w:cantSplit/>
          <w:tblHeader/>
          <w:jc w:val="center"/>
        </w:trPr>
        <w:tc>
          <w:tcPr>
            <w:tcW w:w="2088" w:type="dxa"/>
            <w:tcBorders>
              <w:top w:val="single" w:sz="4" w:space="0" w:color="888888"/>
              <w:left w:val="single" w:sz="4" w:space="0" w:color="888888"/>
              <w:bottom w:val="single" w:sz="4" w:space="0" w:color="888888"/>
              <w:right w:val="single" w:sz="4" w:space="0" w:color="888888"/>
            </w:tcBorders>
            <w:shd w:val="nil" w:color="auto" w:fill="eeeeee"/>
            <w:vAlign w:val="center"/>
          </w:tcPr>
          <w:p>
            <w:pPr>
              <w:pStyle w:val="style0"/>
              <w:spacing w:before="0" w:after="20" w:lineRule="auto" w:line="240"/>
              <w:ind w:firstLine="0"/>
              <w:jc w:val="left"/>
              <w:rPr/>
            </w:pPr>
            <w:r>
              <w:rPr>
                <w:rFonts w:ascii="Times New Roman" w:hAnsi="Times New Roman"/>
                <w:b/>
                <w:sz w:val="18"/>
              </w:rPr>
              <w:t>Study</w:t>
            </w:r>
          </w:p>
        </w:tc>
        <w:tc>
          <w:tcPr>
            <w:tcW w:w="2189" w:type="dxa"/>
            <w:tcBorders>
              <w:top w:val="single" w:sz="4" w:space="0" w:color="888888"/>
              <w:left w:val="single" w:sz="4" w:space="0" w:color="888888"/>
              <w:bottom w:val="single" w:sz="4" w:space="0" w:color="888888"/>
              <w:right w:val="single" w:sz="4" w:space="0" w:color="888888"/>
            </w:tcBorders>
            <w:shd w:val="nil" w:color="auto" w:fill="eeeeee"/>
            <w:vAlign w:val="center"/>
          </w:tcPr>
          <w:p>
            <w:pPr>
              <w:pStyle w:val="style0"/>
              <w:spacing w:before="0" w:after="20" w:lineRule="auto" w:line="240"/>
              <w:ind w:firstLine="0"/>
              <w:jc w:val="left"/>
              <w:rPr/>
            </w:pPr>
            <w:r>
              <w:rPr>
                <w:rFonts w:ascii="Times New Roman" w:hAnsi="Times New Roman"/>
                <w:b/>
                <w:sz w:val="18"/>
              </w:rPr>
              <w:t>Evidence considered</w:t>
            </w:r>
          </w:p>
        </w:tc>
        <w:tc>
          <w:tcPr>
            <w:tcW w:w="2347" w:type="dxa"/>
            <w:tcBorders>
              <w:top w:val="single" w:sz="4" w:space="0" w:color="888888"/>
              <w:left w:val="single" w:sz="4" w:space="0" w:color="888888"/>
              <w:bottom w:val="single" w:sz="4" w:space="0" w:color="888888"/>
              <w:right w:val="single" w:sz="4" w:space="0" w:color="888888"/>
            </w:tcBorders>
            <w:shd w:val="nil" w:color="auto" w:fill="eeeeee"/>
            <w:vAlign w:val="center"/>
          </w:tcPr>
          <w:p>
            <w:pPr>
              <w:pStyle w:val="style0"/>
              <w:spacing w:before="0" w:after="20" w:lineRule="auto" w:line="240"/>
              <w:ind w:firstLine="0"/>
              <w:jc w:val="left"/>
              <w:rPr/>
            </w:pPr>
            <w:r>
              <w:rPr>
                <w:rFonts w:ascii="Times New Roman" w:hAnsi="Times New Roman"/>
                <w:b/>
                <w:sz w:val="18"/>
              </w:rPr>
              <w:t>Relevance to this review</w:t>
            </w:r>
          </w:p>
        </w:tc>
        <w:tc>
          <w:tcPr>
            <w:tcW w:w="2362" w:type="dxa"/>
            <w:tcBorders>
              <w:top w:val="single" w:sz="4" w:space="0" w:color="888888"/>
              <w:left w:val="single" w:sz="4" w:space="0" w:color="888888"/>
              <w:bottom w:val="single" w:sz="4" w:space="0" w:color="888888"/>
              <w:right w:val="single" w:sz="4" w:space="0" w:color="888888"/>
            </w:tcBorders>
            <w:shd w:val="nil" w:color="auto" w:fill="eeeeee"/>
            <w:vAlign w:val="center"/>
          </w:tcPr>
          <w:p>
            <w:pPr>
              <w:pStyle w:val="style0"/>
              <w:spacing w:before="0" w:after="20" w:lineRule="auto" w:line="240"/>
              <w:ind w:firstLine="0"/>
              <w:jc w:val="left"/>
              <w:rPr/>
            </w:pPr>
            <w:r>
              <w:rPr>
                <w:rFonts w:ascii="Times New Roman" w:hAnsi="Times New Roman"/>
                <w:b/>
                <w:sz w:val="18"/>
              </w:rPr>
              <w:t>Main limitation</w:t>
            </w:r>
          </w:p>
        </w:tc>
      </w:tr>
      <w:tr>
        <w:tblPrEx/>
        <w:trPr>
          <w:cantSplit/>
          <w:jc w:val="center"/>
        </w:trPr>
        <w:tc>
          <w:tcPr>
            <w:tcW w:w="2088" w:type="dxa"/>
            <w:tcBorders>
              <w:top w:val="single" w:sz="4" w:space="0" w:color="888888"/>
              <w:left w:val="single" w:sz="4" w:space="0" w:color="888888"/>
              <w:bottom w:val="single" w:sz="4" w:space="0" w:color="888888"/>
              <w:right w:val="single" w:sz="4" w:space="0" w:color="888888"/>
            </w:tcBorders>
            <w:vAlign w:val="center"/>
          </w:tcPr>
          <w:p>
            <w:pPr>
              <w:pStyle w:val="style0"/>
              <w:spacing w:before="0" w:after="20" w:lineRule="auto" w:line="240"/>
              <w:ind w:firstLine="0"/>
              <w:jc w:val="left"/>
              <w:rPr/>
            </w:pPr>
            <w:r>
              <w:rPr>
                <w:rFonts w:ascii="Times New Roman" w:hAnsi="Times New Roman"/>
                <w:sz w:val="18"/>
              </w:rPr>
              <w:t>Abdullahi et al. (2025)</w:t>
            </w:r>
          </w:p>
        </w:tc>
        <w:tc>
          <w:tcPr>
            <w:tcW w:w="2189" w:type="dxa"/>
            <w:tcBorders>
              <w:top w:val="single" w:sz="4" w:space="0" w:color="888888"/>
              <w:left w:val="single" w:sz="4" w:space="0" w:color="888888"/>
              <w:bottom w:val="single" w:sz="4" w:space="0" w:color="888888"/>
              <w:right w:val="single" w:sz="4" w:space="0" w:color="888888"/>
            </w:tcBorders>
            <w:vAlign w:val="center"/>
          </w:tcPr>
          <w:p>
            <w:pPr>
              <w:pStyle w:val="style0"/>
              <w:spacing w:before="0" w:after="20" w:lineRule="auto" w:line="240"/>
              <w:ind w:firstLine="0"/>
              <w:jc w:val="left"/>
              <w:rPr/>
            </w:pPr>
            <w:r>
              <w:rPr>
                <w:rFonts w:ascii="Times New Roman" w:hAnsi="Times New Roman"/>
                <w:sz w:val="18"/>
              </w:rPr>
              <w:t>Report from 28 librarians in conflict-affected North-East settings</w:t>
            </w:r>
          </w:p>
        </w:tc>
        <w:tc>
          <w:tcPr>
            <w:tcW w:w="2347" w:type="dxa"/>
            <w:tcBorders>
              <w:top w:val="single" w:sz="4" w:space="0" w:color="888888"/>
              <w:left w:val="single" w:sz="4" w:space="0" w:color="888888"/>
              <w:bottom w:val="single" w:sz="4" w:space="0" w:color="888888"/>
              <w:right w:val="single" w:sz="4" w:space="0" w:color="888888"/>
            </w:tcBorders>
            <w:vAlign w:val="center"/>
          </w:tcPr>
          <w:p>
            <w:pPr>
              <w:pStyle w:val="style0"/>
              <w:spacing w:before="0" w:after="20" w:lineRule="auto" w:line="240"/>
              <w:ind w:firstLine="0"/>
              <w:jc w:val="left"/>
              <w:rPr/>
            </w:pPr>
            <w:r>
              <w:rPr>
                <w:rFonts w:ascii="Times New Roman" w:hAnsi="Times New Roman"/>
                <w:sz w:val="18"/>
              </w:rPr>
              <w:t>Destruction of library buildings, collections and equipment</w:t>
            </w:r>
          </w:p>
        </w:tc>
        <w:tc>
          <w:tcPr>
            <w:tcW w:w="2362" w:type="dxa"/>
            <w:tcBorders>
              <w:top w:val="single" w:sz="4" w:space="0" w:color="888888"/>
              <w:left w:val="single" w:sz="4" w:space="0" w:color="888888"/>
              <w:bottom w:val="single" w:sz="4" w:space="0" w:color="888888"/>
              <w:right w:val="single" w:sz="4" w:space="0" w:color="888888"/>
            </w:tcBorders>
            <w:vAlign w:val="center"/>
          </w:tcPr>
          <w:p>
            <w:pPr>
              <w:pStyle w:val="style0"/>
              <w:spacing w:before="0" w:after="20" w:lineRule="auto" w:line="240"/>
              <w:ind w:firstLine="0"/>
              <w:jc w:val="left"/>
              <w:rPr/>
            </w:pPr>
            <w:r>
              <w:rPr>
                <w:rFonts w:ascii="Times New Roman" w:hAnsi="Times New Roman"/>
                <w:sz w:val="18"/>
              </w:rPr>
              <w:t>Limited coverage; not a regional prevalence estimate</w:t>
            </w:r>
          </w:p>
        </w:tc>
      </w:tr>
      <w:tr>
        <w:tblPrEx/>
        <w:trPr>
          <w:cantSplit/>
          <w:jc w:val="center"/>
        </w:trPr>
        <w:tc>
          <w:tcPr>
            <w:tcW w:w="2088" w:type="dxa"/>
            <w:tcBorders>
              <w:top w:val="single" w:sz="4" w:space="0" w:color="888888"/>
              <w:left w:val="single" w:sz="4" w:space="0" w:color="888888"/>
              <w:bottom w:val="single" w:sz="4" w:space="0" w:color="888888"/>
              <w:right w:val="single" w:sz="4" w:space="0" w:color="888888"/>
            </w:tcBorders>
            <w:vAlign w:val="center"/>
          </w:tcPr>
          <w:p>
            <w:pPr>
              <w:pStyle w:val="style0"/>
              <w:spacing w:before="0" w:after="20" w:lineRule="auto" w:line="240"/>
              <w:ind w:firstLine="0"/>
              <w:jc w:val="left"/>
              <w:rPr/>
            </w:pPr>
            <w:r>
              <w:rPr>
                <w:rFonts w:ascii="Times New Roman" w:hAnsi="Times New Roman"/>
                <w:sz w:val="18"/>
              </w:rPr>
              <w:t>Esse et al. (2022)</w:t>
            </w:r>
          </w:p>
        </w:tc>
        <w:tc>
          <w:tcPr>
            <w:tcW w:w="2189" w:type="dxa"/>
            <w:tcBorders>
              <w:top w:val="single" w:sz="4" w:space="0" w:color="888888"/>
              <w:left w:val="single" w:sz="4" w:space="0" w:color="888888"/>
              <w:bottom w:val="single" w:sz="4" w:space="0" w:color="888888"/>
              <w:right w:val="single" w:sz="4" w:space="0" w:color="888888"/>
            </w:tcBorders>
            <w:vAlign w:val="center"/>
          </w:tcPr>
          <w:p>
            <w:pPr>
              <w:pStyle w:val="style0"/>
              <w:spacing w:before="0" w:after="20" w:lineRule="auto" w:line="240"/>
              <w:ind w:firstLine="0"/>
              <w:jc w:val="left"/>
              <w:rPr/>
            </w:pPr>
            <w:r>
              <w:rPr>
                <w:rFonts w:ascii="Times New Roman" w:hAnsi="Times New Roman"/>
                <w:sz w:val="18"/>
              </w:rPr>
              <w:t>Public libraries in North-West Nigeria</w:t>
            </w:r>
          </w:p>
        </w:tc>
        <w:tc>
          <w:tcPr>
            <w:tcW w:w="2347" w:type="dxa"/>
            <w:tcBorders>
              <w:top w:val="single" w:sz="4" w:space="0" w:color="888888"/>
              <w:left w:val="single" w:sz="4" w:space="0" w:color="888888"/>
              <w:bottom w:val="single" w:sz="4" w:space="0" w:color="888888"/>
              <w:right w:val="single" w:sz="4" w:space="0" w:color="888888"/>
            </w:tcBorders>
            <w:vAlign w:val="center"/>
          </w:tcPr>
          <w:p>
            <w:pPr>
              <w:pStyle w:val="style0"/>
              <w:spacing w:before="0" w:after="20" w:lineRule="auto" w:line="240"/>
              <w:ind w:firstLine="0"/>
              <w:jc w:val="left"/>
              <w:rPr/>
            </w:pPr>
            <w:r>
              <w:rPr>
                <w:rFonts w:ascii="Times New Roman" w:hAnsi="Times New Roman"/>
                <w:sz w:val="18"/>
              </w:rPr>
              <w:t>Disaster-readiness concerns under insecurity</w:t>
            </w:r>
          </w:p>
        </w:tc>
        <w:tc>
          <w:tcPr>
            <w:tcW w:w="2362" w:type="dxa"/>
            <w:tcBorders>
              <w:top w:val="single" w:sz="4" w:space="0" w:color="888888"/>
              <w:left w:val="single" w:sz="4" w:space="0" w:color="888888"/>
              <w:bottom w:val="single" w:sz="4" w:space="0" w:color="888888"/>
              <w:right w:val="single" w:sz="4" w:space="0" w:color="888888"/>
            </w:tcBorders>
            <w:vAlign w:val="center"/>
          </w:tcPr>
          <w:p>
            <w:pPr>
              <w:pStyle w:val="style0"/>
              <w:spacing w:before="0" w:after="20" w:lineRule="auto" w:line="240"/>
              <w:ind w:firstLine="0"/>
              <w:jc w:val="left"/>
              <w:rPr/>
            </w:pPr>
            <w:r>
              <w:rPr>
                <w:rFonts w:ascii="Times New Roman" w:hAnsi="Times New Roman"/>
                <w:sz w:val="18"/>
              </w:rPr>
              <w:t>Readiness is not a direct count of conflict damage</w:t>
            </w:r>
          </w:p>
        </w:tc>
      </w:tr>
      <w:tr>
        <w:tblPrEx/>
        <w:trPr>
          <w:cantSplit/>
          <w:jc w:val="center"/>
        </w:trPr>
        <w:tc>
          <w:tcPr>
            <w:tcW w:w="2088" w:type="dxa"/>
            <w:tcBorders>
              <w:top w:val="single" w:sz="4" w:space="0" w:color="888888"/>
              <w:left w:val="single" w:sz="4" w:space="0" w:color="888888"/>
              <w:bottom w:val="single" w:sz="4" w:space="0" w:color="888888"/>
              <w:right w:val="single" w:sz="4" w:space="0" w:color="888888"/>
            </w:tcBorders>
            <w:vAlign w:val="center"/>
          </w:tcPr>
          <w:p>
            <w:pPr>
              <w:pStyle w:val="style0"/>
              <w:spacing w:before="0" w:after="20" w:lineRule="auto" w:line="240"/>
              <w:ind w:firstLine="0"/>
              <w:jc w:val="left"/>
              <w:rPr/>
            </w:pPr>
            <w:r>
              <w:rPr>
                <w:rFonts w:ascii="Times New Roman" w:hAnsi="Times New Roman"/>
                <w:sz w:val="18"/>
              </w:rPr>
              <w:t>Makinde &amp; Maimako (2026)</w:t>
            </w:r>
          </w:p>
        </w:tc>
        <w:tc>
          <w:tcPr>
            <w:tcW w:w="2189" w:type="dxa"/>
            <w:tcBorders>
              <w:top w:val="single" w:sz="4" w:space="0" w:color="888888"/>
              <w:left w:val="single" w:sz="4" w:space="0" w:color="888888"/>
              <w:bottom w:val="single" w:sz="4" w:space="0" w:color="888888"/>
              <w:right w:val="single" w:sz="4" w:space="0" w:color="888888"/>
            </w:tcBorders>
            <w:vAlign w:val="center"/>
          </w:tcPr>
          <w:p>
            <w:pPr>
              <w:pStyle w:val="style0"/>
              <w:spacing w:before="0" w:after="20" w:lineRule="auto" w:line="240"/>
              <w:ind w:firstLine="0"/>
              <w:jc w:val="left"/>
              <w:rPr/>
            </w:pPr>
            <w:r>
              <w:rPr>
                <w:rFonts w:ascii="Times New Roman" w:hAnsi="Times New Roman"/>
                <w:sz w:val="18"/>
              </w:rPr>
              <w:t>Survey of 428 federal university library personnel, North-East</w:t>
            </w:r>
          </w:p>
        </w:tc>
        <w:tc>
          <w:tcPr>
            <w:tcW w:w="2347" w:type="dxa"/>
            <w:tcBorders>
              <w:top w:val="single" w:sz="4" w:space="0" w:color="888888"/>
              <w:left w:val="single" w:sz="4" w:space="0" w:color="888888"/>
              <w:bottom w:val="single" w:sz="4" w:space="0" w:color="888888"/>
              <w:right w:val="single" w:sz="4" w:space="0" w:color="888888"/>
            </w:tcBorders>
            <w:vAlign w:val="center"/>
          </w:tcPr>
          <w:p>
            <w:pPr>
              <w:pStyle w:val="style0"/>
              <w:spacing w:before="0" w:after="20" w:lineRule="auto" w:line="240"/>
              <w:ind w:firstLine="0"/>
              <w:jc w:val="left"/>
              <w:rPr/>
            </w:pPr>
            <w:r>
              <w:rPr>
                <w:rFonts w:ascii="Times New Roman" w:hAnsi="Times New Roman"/>
                <w:sz w:val="18"/>
              </w:rPr>
              <w:t>Uneven access to disaster-control measures</w:t>
            </w:r>
          </w:p>
        </w:tc>
        <w:tc>
          <w:tcPr>
            <w:tcW w:w="2362" w:type="dxa"/>
            <w:tcBorders>
              <w:top w:val="single" w:sz="4" w:space="0" w:color="888888"/>
              <w:left w:val="single" w:sz="4" w:space="0" w:color="888888"/>
              <w:bottom w:val="single" w:sz="4" w:space="0" w:color="888888"/>
              <w:right w:val="single" w:sz="4" w:space="0" w:color="888888"/>
            </w:tcBorders>
            <w:vAlign w:val="center"/>
          </w:tcPr>
          <w:p>
            <w:pPr>
              <w:pStyle w:val="style0"/>
              <w:spacing w:before="0" w:after="20" w:lineRule="auto" w:line="240"/>
              <w:ind w:firstLine="0"/>
              <w:jc w:val="left"/>
              <w:rPr/>
            </w:pPr>
            <w:r>
              <w:rPr>
                <w:rFonts w:ascii="Times New Roman" w:hAnsi="Times New Roman"/>
                <w:sz w:val="18"/>
              </w:rPr>
              <w:t>Hazards investigated extend beyond armed conflict</w:t>
            </w:r>
          </w:p>
        </w:tc>
      </w:tr>
      <w:tr>
        <w:tblPrEx/>
        <w:trPr>
          <w:cantSplit/>
          <w:jc w:val="center"/>
        </w:trPr>
        <w:tc>
          <w:tcPr>
            <w:tcW w:w="2088" w:type="dxa"/>
            <w:tcBorders>
              <w:top w:val="single" w:sz="4" w:space="0" w:color="888888"/>
              <w:left w:val="single" w:sz="4" w:space="0" w:color="888888"/>
              <w:bottom w:val="single" w:sz="4" w:space="0" w:color="888888"/>
              <w:right w:val="single" w:sz="4" w:space="0" w:color="888888"/>
            </w:tcBorders>
            <w:vAlign w:val="center"/>
          </w:tcPr>
          <w:p>
            <w:pPr>
              <w:pStyle w:val="style0"/>
              <w:spacing w:before="0" w:after="20" w:lineRule="auto" w:line="240"/>
              <w:ind w:firstLine="0"/>
              <w:jc w:val="left"/>
              <w:rPr/>
            </w:pPr>
            <w:r>
              <w:rPr>
                <w:rFonts w:ascii="Times New Roman" w:hAnsi="Times New Roman"/>
                <w:sz w:val="18"/>
              </w:rPr>
              <w:t>Lawal (2016); Eneasato &amp; Jidere (2024)</w:t>
            </w:r>
          </w:p>
        </w:tc>
        <w:tc>
          <w:tcPr>
            <w:tcW w:w="2189" w:type="dxa"/>
            <w:tcBorders>
              <w:top w:val="single" w:sz="4" w:space="0" w:color="888888"/>
              <w:left w:val="single" w:sz="4" w:space="0" w:color="888888"/>
              <w:bottom w:val="single" w:sz="4" w:space="0" w:color="888888"/>
              <w:right w:val="single" w:sz="4" w:space="0" w:color="888888"/>
            </w:tcBorders>
            <w:vAlign w:val="center"/>
          </w:tcPr>
          <w:p>
            <w:pPr>
              <w:pStyle w:val="style0"/>
              <w:spacing w:before="0" w:after="20" w:lineRule="auto" w:line="240"/>
              <w:ind w:firstLine="0"/>
              <w:jc w:val="left"/>
              <w:rPr/>
            </w:pPr>
            <w:r>
              <w:rPr>
                <w:rFonts w:ascii="Times New Roman" w:hAnsi="Times New Roman"/>
                <w:sz w:val="18"/>
              </w:rPr>
              <w:t>Studies addressing IDP information needs</w:t>
            </w:r>
          </w:p>
        </w:tc>
        <w:tc>
          <w:tcPr>
            <w:tcW w:w="2347" w:type="dxa"/>
            <w:tcBorders>
              <w:top w:val="single" w:sz="4" w:space="0" w:color="888888"/>
              <w:left w:val="single" w:sz="4" w:space="0" w:color="888888"/>
              <w:bottom w:val="single" w:sz="4" w:space="0" w:color="888888"/>
              <w:right w:val="single" w:sz="4" w:space="0" w:color="888888"/>
            </w:tcBorders>
            <w:vAlign w:val="center"/>
          </w:tcPr>
          <w:p>
            <w:pPr>
              <w:pStyle w:val="style0"/>
              <w:spacing w:before="0" w:after="20" w:lineRule="auto" w:line="240"/>
              <w:ind w:firstLine="0"/>
              <w:jc w:val="left"/>
              <w:rPr/>
            </w:pPr>
            <w:r>
              <w:rPr>
                <w:rFonts w:ascii="Times New Roman" w:hAnsi="Times New Roman"/>
                <w:sz w:val="18"/>
              </w:rPr>
              <w:t>Case for deliberate public-library outreach and partnerships</w:t>
            </w:r>
          </w:p>
        </w:tc>
        <w:tc>
          <w:tcPr>
            <w:tcW w:w="2362" w:type="dxa"/>
            <w:tcBorders>
              <w:top w:val="single" w:sz="4" w:space="0" w:color="888888"/>
              <w:left w:val="single" w:sz="4" w:space="0" w:color="888888"/>
              <w:bottom w:val="single" w:sz="4" w:space="0" w:color="888888"/>
              <w:right w:val="single" w:sz="4" w:space="0" w:color="888888"/>
            </w:tcBorders>
            <w:vAlign w:val="center"/>
          </w:tcPr>
          <w:p>
            <w:pPr>
              <w:pStyle w:val="style0"/>
              <w:spacing w:before="0" w:after="20" w:lineRule="auto" w:line="240"/>
              <w:ind w:firstLine="0"/>
              <w:jc w:val="left"/>
              <w:rPr/>
            </w:pPr>
            <w:r>
              <w:rPr>
                <w:rFonts w:ascii="Times New Roman" w:hAnsi="Times New Roman"/>
                <w:sz w:val="18"/>
              </w:rPr>
              <w:t>Cannot quantify conflict-related library closure</w:t>
            </w:r>
          </w:p>
        </w:tc>
      </w:tr>
      <w:tr>
        <w:tblPrEx/>
        <w:trPr>
          <w:cantSplit/>
          <w:jc w:val="center"/>
        </w:trPr>
        <w:tc>
          <w:tcPr>
            <w:tcW w:w="2088" w:type="dxa"/>
            <w:tcBorders>
              <w:top w:val="single" w:sz="4" w:space="0" w:color="888888"/>
              <w:left w:val="single" w:sz="4" w:space="0" w:color="888888"/>
              <w:bottom w:val="single" w:sz="4" w:space="0" w:color="888888"/>
              <w:right w:val="single" w:sz="4" w:space="0" w:color="888888"/>
            </w:tcBorders>
            <w:vAlign w:val="center"/>
          </w:tcPr>
          <w:p>
            <w:pPr>
              <w:pStyle w:val="style0"/>
              <w:spacing w:before="0" w:after="20" w:lineRule="auto" w:line="240"/>
              <w:ind w:firstLine="0"/>
              <w:jc w:val="left"/>
              <w:rPr/>
            </w:pPr>
            <w:r>
              <w:rPr>
                <w:rFonts w:ascii="Times New Roman" w:hAnsi="Times New Roman"/>
                <w:sz w:val="18"/>
              </w:rPr>
              <w:t>Abubakar (2022)</w:t>
            </w:r>
          </w:p>
        </w:tc>
        <w:tc>
          <w:tcPr>
            <w:tcW w:w="2189" w:type="dxa"/>
            <w:tcBorders>
              <w:top w:val="single" w:sz="4" w:space="0" w:color="888888"/>
              <w:left w:val="single" w:sz="4" w:space="0" w:color="888888"/>
              <w:bottom w:val="single" w:sz="4" w:space="0" w:color="888888"/>
              <w:right w:val="single" w:sz="4" w:space="0" w:color="888888"/>
            </w:tcBorders>
            <w:vAlign w:val="center"/>
          </w:tcPr>
          <w:p>
            <w:pPr>
              <w:pStyle w:val="style0"/>
              <w:spacing w:before="0" w:after="20" w:lineRule="auto" w:line="240"/>
              <w:ind w:firstLine="0"/>
              <w:jc w:val="left"/>
              <w:rPr/>
            </w:pPr>
            <w:r>
              <w:rPr>
                <w:rFonts w:ascii="Times New Roman" w:hAnsi="Times New Roman"/>
                <w:sz w:val="18"/>
              </w:rPr>
              <w:t>Conceptual analysis of ICT adoption during insecurity</w:t>
            </w:r>
          </w:p>
        </w:tc>
        <w:tc>
          <w:tcPr>
            <w:tcW w:w="2347" w:type="dxa"/>
            <w:tcBorders>
              <w:top w:val="single" w:sz="4" w:space="0" w:color="888888"/>
              <w:left w:val="single" w:sz="4" w:space="0" w:color="888888"/>
              <w:bottom w:val="single" w:sz="4" w:space="0" w:color="888888"/>
              <w:right w:val="single" w:sz="4" w:space="0" w:color="888888"/>
            </w:tcBorders>
            <w:vAlign w:val="center"/>
          </w:tcPr>
          <w:p>
            <w:pPr>
              <w:pStyle w:val="style0"/>
              <w:spacing w:before="0" w:after="20" w:lineRule="auto" w:line="240"/>
              <w:ind w:firstLine="0"/>
              <w:jc w:val="left"/>
              <w:rPr/>
            </w:pPr>
            <w:r>
              <w:rPr>
                <w:rFonts w:ascii="Times New Roman" w:hAnsi="Times New Roman"/>
                <w:sz w:val="18"/>
              </w:rPr>
              <w:t>Potential barriers to remote information services</w:t>
            </w:r>
          </w:p>
        </w:tc>
        <w:tc>
          <w:tcPr>
            <w:tcW w:w="2362" w:type="dxa"/>
            <w:tcBorders>
              <w:top w:val="single" w:sz="4" w:space="0" w:color="888888"/>
              <w:left w:val="single" w:sz="4" w:space="0" w:color="888888"/>
              <w:bottom w:val="single" w:sz="4" w:space="0" w:color="888888"/>
              <w:right w:val="single" w:sz="4" w:space="0" w:color="888888"/>
            </w:tcBorders>
            <w:vAlign w:val="center"/>
          </w:tcPr>
          <w:p>
            <w:pPr>
              <w:pStyle w:val="style0"/>
              <w:spacing w:before="0" w:after="20" w:lineRule="auto" w:line="240"/>
              <w:ind w:firstLine="0"/>
              <w:jc w:val="left"/>
              <w:rPr/>
            </w:pPr>
            <w:r>
              <w:rPr>
                <w:rFonts w:ascii="Times New Roman" w:hAnsi="Times New Roman"/>
                <w:sz w:val="18"/>
              </w:rPr>
              <w:t>Not a survey of displaced library personnel</w:t>
            </w:r>
          </w:p>
        </w:tc>
      </w:tr>
      <w:tr>
        <w:tblPrEx/>
        <w:trPr>
          <w:cantSplit/>
          <w:jc w:val="center"/>
        </w:trPr>
        <w:tc>
          <w:tcPr>
            <w:tcW w:w="2088" w:type="dxa"/>
            <w:tcBorders>
              <w:top w:val="single" w:sz="4" w:space="0" w:color="888888"/>
              <w:left w:val="single" w:sz="4" w:space="0" w:color="888888"/>
              <w:bottom w:val="single" w:sz="4" w:space="0" w:color="888888"/>
              <w:right w:val="single" w:sz="4" w:space="0" w:color="888888"/>
            </w:tcBorders>
            <w:vAlign w:val="center"/>
          </w:tcPr>
          <w:p>
            <w:pPr>
              <w:pStyle w:val="style0"/>
              <w:spacing w:before="0" w:after="20" w:lineRule="auto" w:line="240"/>
              <w:ind w:firstLine="0"/>
              <w:jc w:val="left"/>
              <w:rPr/>
            </w:pPr>
            <w:r>
              <w:rPr>
                <w:rFonts w:ascii="Times New Roman" w:hAnsi="Times New Roman"/>
                <w:sz w:val="18"/>
              </w:rPr>
              <w:t>Nsirim et al. (2024)</w:t>
            </w:r>
          </w:p>
        </w:tc>
        <w:tc>
          <w:tcPr>
            <w:tcW w:w="2189" w:type="dxa"/>
            <w:tcBorders>
              <w:top w:val="single" w:sz="4" w:space="0" w:color="888888"/>
              <w:left w:val="single" w:sz="4" w:space="0" w:color="888888"/>
              <w:bottom w:val="single" w:sz="4" w:space="0" w:color="888888"/>
              <w:right w:val="single" w:sz="4" w:space="0" w:color="888888"/>
            </w:tcBorders>
            <w:vAlign w:val="center"/>
          </w:tcPr>
          <w:p>
            <w:pPr>
              <w:pStyle w:val="style0"/>
              <w:spacing w:before="0" w:after="20" w:lineRule="auto" w:line="240"/>
              <w:ind w:firstLine="0"/>
              <w:jc w:val="left"/>
              <w:rPr/>
            </w:pPr>
            <w:r>
              <w:rPr>
                <w:rFonts w:ascii="Times New Roman" w:hAnsi="Times New Roman"/>
                <w:sz w:val="18"/>
              </w:rPr>
              <w:t>Literature-based discussion of libraries and security</w:t>
            </w:r>
          </w:p>
        </w:tc>
        <w:tc>
          <w:tcPr>
            <w:tcW w:w="2347" w:type="dxa"/>
            <w:tcBorders>
              <w:top w:val="single" w:sz="4" w:space="0" w:color="888888"/>
              <w:left w:val="single" w:sz="4" w:space="0" w:color="888888"/>
              <w:bottom w:val="single" w:sz="4" w:space="0" w:color="888888"/>
              <w:right w:val="single" w:sz="4" w:space="0" w:color="888888"/>
            </w:tcBorders>
            <w:vAlign w:val="center"/>
          </w:tcPr>
          <w:p>
            <w:pPr>
              <w:pStyle w:val="style0"/>
              <w:spacing w:before="0" w:after="20" w:lineRule="auto" w:line="240"/>
              <w:ind w:firstLine="0"/>
              <w:jc w:val="left"/>
              <w:rPr/>
            </w:pPr>
            <w:r>
              <w:rPr>
                <w:rFonts w:ascii="Times New Roman" w:hAnsi="Times New Roman"/>
                <w:sz w:val="18"/>
              </w:rPr>
              <w:t>Possible information-literacy and civic-information roles</w:t>
            </w:r>
          </w:p>
        </w:tc>
        <w:tc>
          <w:tcPr>
            <w:tcW w:w="2362" w:type="dxa"/>
            <w:tcBorders>
              <w:top w:val="single" w:sz="4" w:space="0" w:color="888888"/>
              <w:left w:val="single" w:sz="4" w:space="0" w:color="888888"/>
              <w:bottom w:val="single" w:sz="4" w:space="0" w:color="888888"/>
              <w:right w:val="single" w:sz="4" w:space="0" w:color="888888"/>
            </w:tcBorders>
            <w:vAlign w:val="center"/>
          </w:tcPr>
          <w:p>
            <w:pPr>
              <w:pStyle w:val="style0"/>
              <w:spacing w:before="0" w:after="20" w:lineRule="auto" w:line="240"/>
              <w:ind w:firstLine="0"/>
              <w:jc w:val="left"/>
              <w:rPr/>
            </w:pPr>
            <w:r>
              <w:rPr>
                <w:rFonts w:ascii="Times New Roman" w:hAnsi="Times New Roman"/>
                <w:sz w:val="18"/>
              </w:rPr>
              <w:t>No causal measurement of counter-insurgency outcomes</w:t>
            </w:r>
          </w:p>
        </w:tc>
      </w:tr>
    </w:tbl>
    <w:p>
      <w:pPr>
        <w:pStyle w:val="style1"/>
        <w:rPr/>
      </w:pPr>
      <w:r>
        <w:t>4. Thematic Synthesis and Discussion</w:t>
      </w:r>
    </w:p>
    <w:p>
      <w:pPr>
        <w:pStyle w:val="style0"/>
        <w:jc w:val="both"/>
        <w:rPr/>
      </w:pPr>
      <w:r>
        <w:t>The literature supports a differentiated account of LIS vulnerability. Physical losses have been reported in conflict-affected libraries in the North-East, while surveys in the North-East and North-West document weaknesses in disaster-management capacity. These findings justify practical attention to prevention and recovery, but they cannot establish a common rate of damage across the northern region (Abdullahi et al., 2025; Esse et al., 2022; Makinde &amp; Maimako, 2026).</w:t>
      </w:r>
    </w:p>
    <w:p>
      <w:pPr>
        <w:pStyle w:val="style0"/>
        <w:jc w:val="both"/>
        <w:rPr/>
      </w:pPr>
      <w:r>
        <w:t>The evidence for service interruption is more indirect. Displacement studies show that communities need educational, health, livelihood and civic information, while library authors have proposed outreach arrangements that could address aspects of that need (Lawal, 2016; Eneasato &amp; Jidere, 2024). Yet a household's displacement does not by itself demonstrate that a particular library has closed. The missing evidence is operational: opening hours, service records, circulation changes, access to digital resources and documented periods when libraries could not function.</w:t>
      </w:r>
    </w:p>
    <w:p>
      <w:pPr>
        <w:pStyle w:val="style0"/>
        <w:jc w:val="both"/>
        <w:rPr/>
      </w:pPr>
      <w:r>
        <w:t>Regional variation further complicates a single account of insecurity. The humanitarian reports identify a large displacement burden in the North-East and in parts of the North-Central and North-West, but the causes are not uniform. In the North-Central/North-West assessment, banditry, kidnapping and farmer–herder clashes were important displacement drivers (IOM, 2025a). Treating all such events as terrorism would obscure the conditions to which libraries must respond. Table 2 therefore distinguishes the regional context from what is directly known about libraries.</w:t>
      </w:r>
    </w:p>
    <w:p>
      <w:pPr>
        <w:pStyle w:val="style4117"/>
        <w:spacing w:before="80" w:after="60"/>
        <w:rPr/>
      </w:pPr>
      <w:r>
        <w:rPr>
          <w:i/>
        </w:rPr>
        <w:t>Table 2. Regional patterns of insecurity and the available LIS evidence.</w:t>
      </w:r>
    </w:p>
    <w:tbl>
      <w:tblPr>
        <w:tblStyle w:val="style154"/>
        <w:tblW w:w="0" w:type="auto"/>
        <w:jc w:val="center"/>
        <w:tblLayout w:type="fixed"/>
        <w:tblLook w:val="04A0" w:firstRow="1" w:lastRow="0" w:firstColumn="1" w:lastColumn="0" w:noHBand="0" w:noVBand="1"/>
      </w:tblPr>
      <w:tblGrid>
        <w:gridCol w:w="1094"/>
        <w:gridCol w:w="2304"/>
        <w:gridCol w:w="2736"/>
        <w:gridCol w:w="2851"/>
      </w:tblGrid>
      <w:tr>
        <w:trPr>
          <w:cantSplit/>
          <w:tblHeader/>
          <w:jc w:val="center"/>
        </w:trPr>
        <w:tc>
          <w:tcPr>
            <w:tcW w:w="1094" w:type="dxa"/>
            <w:tcBorders>
              <w:top w:val="single" w:sz="4" w:space="0" w:color="888888"/>
              <w:left w:val="single" w:sz="4" w:space="0" w:color="888888"/>
              <w:bottom w:val="single" w:sz="4" w:space="0" w:color="888888"/>
              <w:right w:val="single" w:sz="4" w:space="0" w:color="888888"/>
            </w:tcBorders>
            <w:shd w:val="nil" w:color="auto" w:fill="eeeeee"/>
            <w:vAlign w:val="center"/>
          </w:tcPr>
          <w:p>
            <w:pPr>
              <w:pStyle w:val="style0"/>
              <w:spacing w:before="0" w:after="20" w:lineRule="auto" w:line="240"/>
              <w:ind w:firstLine="0"/>
              <w:jc w:val="left"/>
              <w:rPr/>
            </w:pPr>
            <w:r>
              <w:rPr>
                <w:rFonts w:ascii="Times New Roman" w:hAnsi="Times New Roman"/>
                <w:b/>
                <w:sz w:val="18"/>
              </w:rPr>
              <w:t>Zone</w:t>
            </w:r>
          </w:p>
        </w:tc>
        <w:tc>
          <w:tcPr>
            <w:tcW w:w="2304" w:type="dxa"/>
            <w:tcBorders>
              <w:top w:val="single" w:sz="4" w:space="0" w:color="888888"/>
              <w:left w:val="single" w:sz="4" w:space="0" w:color="888888"/>
              <w:bottom w:val="single" w:sz="4" w:space="0" w:color="888888"/>
              <w:right w:val="single" w:sz="4" w:space="0" w:color="888888"/>
            </w:tcBorders>
            <w:shd w:val="nil" w:color="auto" w:fill="eeeeee"/>
            <w:vAlign w:val="center"/>
          </w:tcPr>
          <w:p>
            <w:pPr>
              <w:pStyle w:val="style0"/>
              <w:spacing w:before="0" w:after="20" w:lineRule="auto" w:line="240"/>
              <w:ind w:firstLine="0"/>
              <w:jc w:val="left"/>
              <w:rPr/>
            </w:pPr>
            <w:r>
              <w:rPr>
                <w:rFonts w:ascii="Times New Roman" w:hAnsi="Times New Roman"/>
                <w:b/>
                <w:sz w:val="18"/>
              </w:rPr>
              <w:t>Security context</w:t>
            </w:r>
          </w:p>
        </w:tc>
        <w:tc>
          <w:tcPr>
            <w:tcW w:w="2736" w:type="dxa"/>
            <w:tcBorders>
              <w:top w:val="single" w:sz="4" w:space="0" w:color="888888"/>
              <w:left w:val="single" w:sz="4" w:space="0" w:color="888888"/>
              <w:bottom w:val="single" w:sz="4" w:space="0" w:color="888888"/>
              <w:right w:val="single" w:sz="4" w:space="0" w:color="888888"/>
            </w:tcBorders>
            <w:shd w:val="nil" w:color="auto" w:fill="eeeeee"/>
            <w:vAlign w:val="center"/>
          </w:tcPr>
          <w:p>
            <w:pPr>
              <w:pStyle w:val="style0"/>
              <w:spacing w:before="0" w:after="20" w:lineRule="auto" w:line="240"/>
              <w:ind w:firstLine="0"/>
              <w:jc w:val="left"/>
              <w:rPr/>
            </w:pPr>
            <w:r>
              <w:rPr>
                <w:rFonts w:ascii="Times New Roman" w:hAnsi="Times New Roman"/>
                <w:b/>
                <w:sz w:val="18"/>
              </w:rPr>
              <w:t>Library-focused evidence</w:t>
            </w:r>
          </w:p>
        </w:tc>
        <w:tc>
          <w:tcPr>
            <w:tcW w:w="2851" w:type="dxa"/>
            <w:tcBorders>
              <w:top w:val="single" w:sz="4" w:space="0" w:color="888888"/>
              <w:left w:val="single" w:sz="4" w:space="0" w:color="888888"/>
              <w:bottom w:val="single" w:sz="4" w:space="0" w:color="888888"/>
              <w:right w:val="single" w:sz="4" w:space="0" w:color="888888"/>
            </w:tcBorders>
            <w:shd w:val="nil" w:color="auto" w:fill="eeeeee"/>
            <w:vAlign w:val="center"/>
          </w:tcPr>
          <w:p>
            <w:pPr>
              <w:pStyle w:val="style0"/>
              <w:spacing w:before="0" w:after="20" w:lineRule="auto" w:line="240"/>
              <w:ind w:firstLine="0"/>
              <w:jc w:val="left"/>
              <w:rPr/>
            </w:pPr>
            <w:r>
              <w:rPr>
                <w:rFonts w:ascii="Times New Roman" w:hAnsi="Times New Roman"/>
                <w:b/>
                <w:sz w:val="18"/>
              </w:rPr>
              <w:t>Evidence still required</w:t>
            </w:r>
          </w:p>
        </w:tc>
      </w:tr>
      <w:tr>
        <w:tblPrEx/>
        <w:trPr>
          <w:cantSplit/>
          <w:jc w:val="center"/>
        </w:trPr>
        <w:tc>
          <w:tcPr>
            <w:tcW w:w="1094" w:type="dxa"/>
            <w:tcBorders>
              <w:top w:val="single" w:sz="4" w:space="0" w:color="888888"/>
              <w:left w:val="single" w:sz="4" w:space="0" w:color="888888"/>
              <w:bottom w:val="single" w:sz="4" w:space="0" w:color="888888"/>
              <w:right w:val="single" w:sz="4" w:space="0" w:color="888888"/>
            </w:tcBorders>
            <w:vAlign w:val="center"/>
          </w:tcPr>
          <w:p>
            <w:pPr>
              <w:pStyle w:val="style0"/>
              <w:spacing w:before="0" w:after="20" w:lineRule="auto" w:line="240"/>
              <w:ind w:firstLine="0"/>
              <w:jc w:val="left"/>
              <w:rPr/>
            </w:pPr>
            <w:r>
              <w:rPr>
                <w:rFonts w:ascii="Times New Roman" w:hAnsi="Times New Roman"/>
                <w:sz w:val="18"/>
              </w:rPr>
              <w:t>North-East</w:t>
            </w:r>
          </w:p>
        </w:tc>
        <w:tc>
          <w:tcPr>
            <w:tcW w:w="2304" w:type="dxa"/>
            <w:tcBorders>
              <w:top w:val="single" w:sz="4" w:space="0" w:color="888888"/>
              <w:left w:val="single" w:sz="4" w:space="0" w:color="888888"/>
              <w:bottom w:val="single" w:sz="4" w:space="0" w:color="888888"/>
              <w:right w:val="single" w:sz="4" w:space="0" w:color="888888"/>
            </w:tcBorders>
            <w:vAlign w:val="center"/>
          </w:tcPr>
          <w:p>
            <w:pPr>
              <w:pStyle w:val="style0"/>
              <w:spacing w:before="0" w:after="20" w:lineRule="auto" w:line="240"/>
              <w:ind w:firstLine="0"/>
              <w:jc w:val="left"/>
              <w:rPr/>
            </w:pPr>
            <w:r>
              <w:rPr>
                <w:rFonts w:ascii="Times New Roman" w:hAnsi="Times New Roman"/>
                <w:sz w:val="18"/>
              </w:rPr>
              <w:t>Prolonged insurgency and displacement</w:t>
            </w:r>
          </w:p>
        </w:tc>
        <w:tc>
          <w:tcPr>
            <w:tcW w:w="2736" w:type="dxa"/>
            <w:tcBorders>
              <w:top w:val="single" w:sz="4" w:space="0" w:color="888888"/>
              <w:left w:val="single" w:sz="4" w:space="0" w:color="888888"/>
              <w:bottom w:val="single" w:sz="4" w:space="0" w:color="888888"/>
              <w:right w:val="single" w:sz="4" w:space="0" w:color="888888"/>
            </w:tcBorders>
            <w:vAlign w:val="center"/>
          </w:tcPr>
          <w:p>
            <w:pPr>
              <w:pStyle w:val="style0"/>
              <w:spacing w:before="0" w:after="20" w:lineRule="auto" w:line="240"/>
              <w:ind w:firstLine="0"/>
              <w:jc w:val="left"/>
              <w:rPr/>
            </w:pPr>
            <w:r>
              <w:rPr>
                <w:rFonts w:ascii="Times New Roman" w:hAnsi="Times New Roman"/>
                <w:sz w:val="18"/>
              </w:rPr>
              <w:t>Documented damage to library assets; university disaster-control survey</w:t>
            </w:r>
          </w:p>
        </w:tc>
        <w:tc>
          <w:tcPr>
            <w:tcW w:w="2851" w:type="dxa"/>
            <w:tcBorders>
              <w:top w:val="single" w:sz="4" w:space="0" w:color="888888"/>
              <w:left w:val="single" w:sz="4" w:space="0" w:color="888888"/>
              <w:bottom w:val="single" w:sz="4" w:space="0" w:color="888888"/>
              <w:right w:val="single" w:sz="4" w:space="0" w:color="888888"/>
            </w:tcBorders>
            <w:vAlign w:val="center"/>
          </w:tcPr>
          <w:p>
            <w:pPr>
              <w:pStyle w:val="style0"/>
              <w:spacing w:before="0" w:after="20" w:lineRule="auto" w:line="240"/>
              <w:ind w:firstLine="0"/>
              <w:jc w:val="left"/>
              <w:rPr/>
            </w:pPr>
            <w:r>
              <w:rPr>
                <w:rFonts w:ascii="Times New Roman" w:hAnsi="Times New Roman"/>
                <w:sz w:val="18"/>
              </w:rPr>
              <w:t>Multi-site figures on closures, losses, recovery costs and staff movement</w:t>
            </w:r>
          </w:p>
        </w:tc>
      </w:tr>
      <w:tr>
        <w:tblPrEx/>
        <w:trPr>
          <w:cantSplit/>
          <w:jc w:val="center"/>
        </w:trPr>
        <w:tc>
          <w:tcPr>
            <w:tcW w:w="1094" w:type="dxa"/>
            <w:tcBorders>
              <w:top w:val="single" w:sz="4" w:space="0" w:color="888888"/>
              <w:left w:val="single" w:sz="4" w:space="0" w:color="888888"/>
              <w:bottom w:val="single" w:sz="4" w:space="0" w:color="888888"/>
              <w:right w:val="single" w:sz="4" w:space="0" w:color="888888"/>
            </w:tcBorders>
            <w:vAlign w:val="center"/>
          </w:tcPr>
          <w:p>
            <w:pPr>
              <w:pStyle w:val="style0"/>
              <w:spacing w:before="0" w:after="20" w:lineRule="auto" w:line="240"/>
              <w:ind w:firstLine="0"/>
              <w:jc w:val="left"/>
              <w:rPr/>
            </w:pPr>
            <w:r>
              <w:rPr>
                <w:rFonts w:ascii="Times New Roman" w:hAnsi="Times New Roman"/>
                <w:sz w:val="18"/>
              </w:rPr>
              <w:t>North-West</w:t>
            </w:r>
          </w:p>
        </w:tc>
        <w:tc>
          <w:tcPr>
            <w:tcW w:w="2304" w:type="dxa"/>
            <w:tcBorders>
              <w:top w:val="single" w:sz="4" w:space="0" w:color="888888"/>
              <w:left w:val="single" w:sz="4" w:space="0" w:color="888888"/>
              <w:bottom w:val="single" w:sz="4" w:space="0" w:color="888888"/>
              <w:right w:val="single" w:sz="4" w:space="0" w:color="888888"/>
            </w:tcBorders>
            <w:vAlign w:val="center"/>
          </w:tcPr>
          <w:p>
            <w:pPr>
              <w:pStyle w:val="style0"/>
              <w:spacing w:before="0" w:after="20" w:lineRule="auto" w:line="240"/>
              <w:ind w:firstLine="0"/>
              <w:jc w:val="left"/>
              <w:rPr/>
            </w:pPr>
            <w:r>
              <w:rPr>
                <w:rFonts w:ascii="Times New Roman" w:hAnsi="Times New Roman"/>
                <w:sz w:val="18"/>
              </w:rPr>
              <w:t>Banditry, kidnapping and community-level insecurity</w:t>
            </w:r>
          </w:p>
        </w:tc>
        <w:tc>
          <w:tcPr>
            <w:tcW w:w="2736" w:type="dxa"/>
            <w:tcBorders>
              <w:top w:val="single" w:sz="4" w:space="0" w:color="888888"/>
              <w:left w:val="single" w:sz="4" w:space="0" w:color="888888"/>
              <w:bottom w:val="single" w:sz="4" w:space="0" w:color="888888"/>
              <w:right w:val="single" w:sz="4" w:space="0" w:color="888888"/>
            </w:tcBorders>
            <w:vAlign w:val="center"/>
          </w:tcPr>
          <w:p>
            <w:pPr>
              <w:pStyle w:val="style0"/>
              <w:spacing w:before="0" w:after="20" w:lineRule="auto" w:line="240"/>
              <w:ind w:firstLine="0"/>
              <w:jc w:val="left"/>
              <w:rPr/>
            </w:pPr>
            <w:r>
              <w:rPr>
                <w:rFonts w:ascii="Times New Roman" w:hAnsi="Times New Roman"/>
                <w:sz w:val="18"/>
              </w:rPr>
              <w:t>Public-library disaster-readiness study; discussion of ICT constraints</w:t>
            </w:r>
          </w:p>
        </w:tc>
        <w:tc>
          <w:tcPr>
            <w:tcW w:w="2851" w:type="dxa"/>
            <w:tcBorders>
              <w:top w:val="single" w:sz="4" w:space="0" w:color="888888"/>
              <w:left w:val="single" w:sz="4" w:space="0" w:color="888888"/>
              <w:bottom w:val="single" w:sz="4" w:space="0" w:color="888888"/>
              <w:right w:val="single" w:sz="4" w:space="0" w:color="888888"/>
            </w:tcBorders>
            <w:vAlign w:val="center"/>
          </w:tcPr>
          <w:p>
            <w:pPr>
              <w:pStyle w:val="style0"/>
              <w:spacing w:before="0" w:after="20" w:lineRule="auto" w:line="240"/>
              <w:ind w:firstLine="0"/>
              <w:jc w:val="left"/>
              <w:rPr/>
            </w:pPr>
            <w:r>
              <w:rPr>
                <w:rFonts w:ascii="Times New Roman" w:hAnsi="Times New Roman"/>
                <w:sz w:val="18"/>
              </w:rPr>
              <w:t>Direct measurement of disruption and alternative services</w:t>
            </w:r>
          </w:p>
        </w:tc>
      </w:tr>
      <w:tr>
        <w:tblPrEx/>
        <w:trPr>
          <w:cantSplit/>
          <w:jc w:val="center"/>
        </w:trPr>
        <w:tc>
          <w:tcPr>
            <w:tcW w:w="1094" w:type="dxa"/>
            <w:tcBorders>
              <w:top w:val="single" w:sz="4" w:space="0" w:color="888888"/>
              <w:left w:val="single" w:sz="4" w:space="0" w:color="888888"/>
              <w:bottom w:val="single" w:sz="4" w:space="0" w:color="888888"/>
              <w:right w:val="single" w:sz="4" w:space="0" w:color="888888"/>
            </w:tcBorders>
            <w:vAlign w:val="center"/>
          </w:tcPr>
          <w:p>
            <w:pPr>
              <w:pStyle w:val="style0"/>
              <w:spacing w:before="0" w:after="20" w:lineRule="auto" w:line="240"/>
              <w:ind w:firstLine="0"/>
              <w:jc w:val="left"/>
              <w:rPr/>
            </w:pPr>
            <w:r>
              <w:rPr>
                <w:rFonts w:ascii="Times New Roman" w:hAnsi="Times New Roman"/>
                <w:sz w:val="18"/>
              </w:rPr>
              <w:t>North-Central</w:t>
            </w:r>
          </w:p>
        </w:tc>
        <w:tc>
          <w:tcPr>
            <w:tcW w:w="2304" w:type="dxa"/>
            <w:tcBorders>
              <w:top w:val="single" w:sz="4" w:space="0" w:color="888888"/>
              <w:left w:val="single" w:sz="4" w:space="0" w:color="888888"/>
              <w:bottom w:val="single" w:sz="4" w:space="0" w:color="888888"/>
              <w:right w:val="single" w:sz="4" w:space="0" w:color="888888"/>
            </w:tcBorders>
            <w:vAlign w:val="center"/>
          </w:tcPr>
          <w:p>
            <w:pPr>
              <w:pStyle w:val="style0"/>
              <w:spacing w:before="0" w:after="20" w:lineRule="auto" w:line="240"/>
              <w:ind w:firstLine="0"/>
              <w:jc w:val="left"/>
              <w:rPr/>
            </w:pPr>
            <w:r>
              <w:rPr>
                <w:rFonts w:ascii="Times New Roman" w:hAnsi="Times New Roman"/>
                <w:sz w:val="18"/>
              </w:rPr>
              <w:t>Communal conflict, farmer–herder violence and related insecurity</w:t>
            </w:r>
          </w:p>
        </w:tc>
        <w:tc>
          <w:tcPr>
            <w:tcW w:w="2736" w:type="dxa"/>
            <w:tcBorders>
              <w:top w:val="single" w:sz="4" w:space="0" w:color="888888"/>
              <w:left w:val="single" w:sz="4" w:space="0" w:color="888888"/>
              <w:bottom w:val="single" w:sz="4" w:space="0" w:color="888888"/>
              <w:right w:val="single" w:sz="4" w:space="0" w:color="888888"/>
            </w:tcBorders>
            <w:vAlign w:val="center"/>
          </w:tcPr>
          <w:p>
            <w:pPr>
              <w:pStyle w:val="style0"/>
              <w:spacing w:before="0" w:after="20" w:lineRule="auto" w:line="240"/>
              <w:ind w:firstLine="0"/>
              <w:jc w:val="left"/>
              <w:rPr/>
            </w:pPr>
            <w:r>
              <w:rPr>
                <w:rFonts w:ascii="Times New Roman" w:hAnsi="Times New Roman"/>
                <w:sz w:val="18"/>
              </w:rPr>
              <w:t>University of Jos emergency-preparedness study; adjacent education/ICT literature</w:t>
            </w:r>
          </w:p>
        </w:tc>
        <w:tc>
          <w:tcPr>
            <w:tcW w:w="2851" w:type="dxa"/>
            <w:tcBorders>
              <w:top w:val="single" w:sz="4" w:space="0" w:color="888888"/>
              <w:left w:val="single" w:sz="4" w:space="0" w:color="888888"/>
              <w:bottom w:val="single" w:sz="4" w:space="0" w:color="888888"/>
              <w:right w:val="single" w:sz="4" w:space="0" w:color="888888"/>
            </w:tcBorders>
            <w:vAlign w:val="center"/>
          </w:tcPr>
          <w:p>
            <w:pPr>
              <w:pStyle w:val="style0"/>
              <w:spacing w:before="0" w:after="20" w:lineRule="auto" w:line="240"/>
              <w:ind w:firstLine="0"/>
              <w:jc w:val="left"/>
              <w:rPr/>
            </w:pPr>
            <w:r>
              <w:rPr>
                <w:rFonts w:ascii="Times New Roman" w:hAnsi="Times New Roman"/>
                <w:sz w:val="18"/>
              </w:rPr>
              <w:t>Conflict-specific library data across institutions and states</w:t>
            </w:r>
          </w:p>
        </w:tc>
      </w:tr>
    </w:tbl>
    <w:p>
      <w:pPr>
        <w:pStyle w:val="style0"/>
        <w:jc w:val="both"/>
        <w:rPr/>
      </w:pPr>
      <w:r>
        <w:t>A second pattern is the gap between the importance of continuity and the evidence available to assess it. Preparedness studies evaluate policies, equipment or staff awareness; they rarely follow a library through a specific security incident and document its return to service. A stronger research design would combine incident histories with library administrative records, interviews with staff and users, and observations of the services actually available during displacement. Such evidence could distinguish the effects of insecurity from long-standing problems of finance, electricity supply and technology adoption.</w:t>
      </w:r>
    </w:p>
    <w:p>
      <w:pPr>
        <w:pStyle w:val="style0"/>
        <w:jc w:val="both"/>
        <w:rPr/>
      </w:pPr>
      <w:r>
        <w:t>The human-security perspective clarifies why continuity deserves attention. Loss of access to learning material, trusted public guidance and digital information can intensify difficulties already facing displaced or isolated populations. This does not mean that every educational setback is attributable to the absence of a library. Rather, library access is one institutional resource within a wider recovery environment. The relevant policy question is how information institutions can maintain a dependable minimum service during disruption and rebuild provision as conditions permit.</w:t>
      </w:r>
    </w:p>
    <w:p>
      <w:pPr>
        <w:pStyle w:val="style0"/>
        <w:jc w:val="both"/>
        <w:rPr/>
      </w:pPr>
      <w:r>
        <w:t>Table 3 sets out the level of support that the reviewed literature provides for the article's central claims. These assessments are qualitative judgements about the fit between evidence and claim, not statistical confidence intervals or formal risk-of-bias scores. They help avoid presenting a persuasive policy proposal as an already demonstrated effect.</w:t>
      </w:r>
    </w:p>
    <w:p>
      <w:pPr>
        <w:pStyle w:val="style4117"/>
        <w:spacing w:before="80" w:after="60"/>
        <w:rPr/>
      </w:pPr>
      <w:r>
        <w:rPr>
          <w:i/>
        </w:rPr>
        <w:t>Table 3. Evidence-to-claim appraisal of the main findings.</w:t>
      </w:r>
    </w:p>
    <w:tbl>
      <w:tblPr>
        <w:tblStyle w:val="style154"/>
        <w:tblW w:w="0" w:type="auto"/>
        <w:jc w:val="center"/>
        <w:tblLayout w:type="fixed"/>
        <w:tblLook w:val="04A0" w:firstRow="1" w:lastRow="0" w:firstColumn="1" w:lastColumn="0" w:noHBand="0" w:noVBand="1"/>
      </w:tblPr>
      <w:tblGrid>
        <w:gridCol w:w="2362"/>
        <w:gridCol w:w="3053"/>
        <w:gridCol w:w="3571"/>
      </w:tblGrid>
      <w:tr>
        <w:trPr>
          <w:cantSplit/>
          <w:tblHeader/>
          <w:jc w:val="center"/>
        </w:trPr>
        <w:tc>
          <w:tcPr>
            <w:tcW w:w="2362" w:type="dxa"/>
            <w:tcBorders>
              <w:top w:val="single" w:sz="4" w:space="0" w:color="888888"/>
              <w:left w:val="single" w:sz="4" w:space="0" w:color="888888"/>
              <w:bottom w:val="single" w:sz="4" w:space="0" w:color="888888"/>
              <w:right w:val="single" w:sz="4" w:space="0" w:color="888888"/>
            </w:tcBorders>
            <w:shd w:val="nil" w:color="auto" w:fill="eeeeee"/>
            <w:vAlign w:val="center"/>
          </w:tcPr>
          <w:p>
            <w:pPr>
              <w:pStyle w:val="style0"/>
              <w:spacing w:before="0" w:after="20" w:lineRule="auto" w:line="240"/>
              <w:ind w:firstLine="0"/>
              <w:jc w:val="left"/>
              <w:rPr/>
            </w:pPr>
            <w:r>
              <w:rPr>
                <w:rFonts w:ascii="Times New Roman" w:hAnsi="Times New Roman"/>
                <w:b/>
                <w:sz w:val="18"/>
              </w:rPr>
              <w:t>Claim</w:t>
            </w:r>
          </w:p>
        </w:tc>
        <w:tc>
          <w:tcPr>
            <w:tcW w:w="3053" w:type="dxa"/>
            <w:tcBorders>
              <w:top w:val="single" w:sz="4" w:space="0" w:color="888888"/>
              <w:left w:val="single" w:sz="4" w:space="0" w:color="888888"/>
              <w:bottom w:val="single" w:sz="4" w:space="0" w:color="888888"/>
              <w:right w:val="single" w:sz="4" w:space="0" w:color="888888"/>
            </w:tcBorders>
            <w:shd w:val="nil" w:color="auto" w:fill="eeeeee"/>
            <w:vAlign w:val="center"/>
          </w:tcPr>
          <w:p>
            <w:pPr>
              <w:pStyle w:val="style0"/>
              <w:spacing w:before="0" w:after="20" w:lineRule="auto" w:line="240"/>
              <w:ind w:firstLine="0"/>
              <w:jc w:val="left"/>
              <w:rPr/>
            </w:pPr>
            <w:r>
              <w:rPr>
                <w:rFonts w:ascii="Times New Roman" w:hAnsi="Times New Roman"/>
                <w:b/>
                <w:sz w:val="18"/>
              </w:rPr>
              <w:t>Available support</w:t>
            </w:r>
          </w:p>
        </w:tc>
        <w:tc>
          <w:tcPr>
            <w:tcW w:w="3571" w:type="dxa"/>
            <w:tcBorders>
              <w:top w:val="single" w:sz="4" w:space="0" w:color="888888"/>
              <w:left w:val="single" w:sz="4" w:space="0" w:color="888888"/>
              <w:bottom w:val="single" w:sz="4" w:space="0" w:color="888888"/>
              <w:right w:val="single" w:sz="4" w:space="0" w:color="888888"/>
            </w:tcBorders>
            <w:shd w:val="nil" w:color="auto" w:fill="eeeeee"/>
            <w:vAlign w:val="center"/>
          </w:tcPr>
          <w:p>
            <w:pPr>
              <w:pStyle w:val="style0"/>
              <w:spacing w:before="0" w:after="20" w:lineRule="auto" w:line="240"/>
              <w:ind w:firstLine="0"/>
              <w:jc w:val="left"/>
              <w:rPr/>
            </w:pPr>
            <w:r>
              <w:rPr>
                <w:rFonts w:ascii="Times New Roman" w:hAnsi="Times New Roman"/>
                <w:b/>
                <w:sz w:val="18"/>
              </w:rPr>
              <w:t>Appropriate interpretation</w:t>
            </w:r>
          </w:p>
        </w:tc>
      </w:tr>
      <w:tr>
        <w:tblPrEx/>
        <w:trPr>
          <w:cantSplit/>
          <w:jc w:val="center"/>
        </w:trPr>
        <w:tc>
          <w:tcPr>
            <w:tcW w:w="2362" w:type="dxa"/>
            <w:tcBorders>
              <w:top w:val="single" w:sz="4" w:space="0" w:color="888888"/>
              <w:left w:val="single" w:sz="4" w:space="0" w:color="888888"/>
              <w:bottom w:val="single" w:sz="4" w:space="0" w:color="888888"/>
              <w:right w:val="single" w:sz="4" w:space="0" w:color="888888"/>
            </w:tcBorders>
            <w:vAlign w:val="center"/>
          </w:tcPr>
          <w:p>
            <w:pPr>
              <w:pStyle w:val="style0"/>
              <w:spacing w:before="0" w:after="20" w:lineRule="auto" w:line="240"/>
              <w:ind w:firstLine="0"/>
              <w:jc w:val="left"/>
              <w:rPr/>
            </w:pPr>
            <w:r>
              <w:rPr>
                <w:rFonts w:ascii="Times New Roman" w:hAnsi="Times New Roman"/>
                <w:sz w:val="18"/>
              </w:rPr>
              <w:t>Library infrastructure can be damaged by conflict.</w:t>
            </w:r>
          </w:p>
        </w:tc>
        <w:tc>
          <w:tcPr>
            <w:tcW w:w="3053" w:type="dxa"/>
            <w:tcBorders>
              <w:top w:val="single" w:sz="4" w:space="0" w:color="888888"/>
              <w:left w:val="single" w:sz="4" w:space="0" w:color="888888"/>
              <w:bottom w:val="single" w:sz="4" w:space="0" w:color="888888"/>
              <w:right w:val="single" w:sz="4" w:space="0" w:color="888888"/>
            </w:tcBorders>
            <w:vAlign w:val="center"/>
          </w:tcPr>
          <w:p>
            <w:pPr>
              <w:pStyle w:val="style0"/>
              <w:spacing w:before="0" w:after="20" w:lineRule="auto" w:line="240"/>
              <w:ind w:firstLine="0"/>
              <w:jc w:val="left"/>
              <w:rPr/>
            </w:pPr>
            <w:r>
              <w:rPr>
                <w:rFonts w:ascii="Times New Roman" w:hAnsi="Times New Roman"/>
                <w:sz w:val="18"/>
              </w:rPr>
              <w:t>Direct evidence from selected North-East libraries.</w:t>
            </w:r>
          </w:p>
        </w:tc>
        <w:tc>
          <w:tcPr>
            <w:tcW w:w="3571" w:type="dxa"/>
            <w:tcBorders>
              <w:top w:val="single" w:sz="4" w:space="0" w:color="888888"/>
              <w:left w:val="single" w:sz="4" w:space="0" w:color="888888"/>
              <w:bottom w:val="single" w:sz="4" w:space="0" w:color="888888"/>
              <w:right w:val="single" w:sz="4" w:space="0" w:color="888888"/>
            </w:tcBorders>
            <w:vAlign w:val="center"/>
          </w:tcPr>
          <w:p>
            <w:pPr>
              <w:pStyle w:val="style0"/>
              <w:spacing w:before="0" w:after="20" w:lineRule="auto" w:line="240"/>
              <w:ind w:firstLine="0"/>
              <w:jc w:val="left"/>
              <w:rPr/>
            </w:pPr>
            <w:r>
              <w:rPr>
                <w:rFonts w:ascii="Times New Roman" w:hAnsi="Times New Roman"/>
                <w:sz w:val="18"/>
              </w:rPr>
              <w:t>Supported for documented settings; extent across the region is unknown.</w:t>
            </w:r>
          </w:p>
        </w:tc>
      </w:tr>
      <w:tr>
        <w:tblPrEx/>
        <w:trPr>
          <w:cantSplit/>
          <w:jc w:val="center"/>
        </w:trPr>
        <w:tc>
          <w:tcPr>
            <w:tcW w:w="2362" w:type="dxa"/>
            <w:tcBorders>
              <w:top w:val="single" w:sz="4" w:space="0" w:color="888888"/>
              <w:left w:val="single" w:sz="4" w:space="0" w:color="888888"/>
              <w:bottom w:val="single" w:sz="4" w:space="0" w:color="888888"/>
              <w:right w:val="single" w:sz="4" w:space="0" w:color="888888"/>
            </w:tcBorders>
            <w:vAlign w:val="center"/>
          </w:tcPr>
          <w:p>
            <w:pPr>
              <w:pStyle w:val="style0"/>
              <w:spacing w:before="0" w:after="20" w:lineRule="auto" w:line="240"/>
              <w:ind w:firstLine="0"/>
              <w:jc w:val="left"/>
              <w:rPr/>
            </w:pPr>
            <w:r>
              <w:rPr>
                <w:rFonts w:ascii="Times New Roman" w:hAnsi="Times New Roman"/>
                <w:sz w:val="18"/>
              </w:rPr>
              <w:t>Library disaster preparedness is uneven.</w:t>
            </w:r>
          </w:p>
        </w:tc>
        <w:tc>
          <w:tcPr>
            <w:tcW w:w="3053" w:type="dxa"/>
            <w:tcBorders>
              <w:top w:val="single" w:sz="4" w:space="0" w:color="888888"/>
              <w:left w:val="single" w:sz="4" w:space="0" w:color="888888"/>
              <w:bottom w:val="single" w:sz="4" w:space="0" w:color="888888"/>
              <w:right w:val="single" w:sz="4" w:space="0" w:color="888888"/>
            </w:tcBorders>
            <w:vAlign w:val="center"/>
          </w:tcPr>
          <w:p>
            <w:pPr>
              <w:pStyle w:val="style0"/>
              <w:spacing w:before="0" w:after="20" w:lineRule="auto" w:line="240"/>
              <w:ind w:firstLine="0"/>
              <w:jc w:val="left"/>
              <w:rPr/>
            </w:pPr>
            <w:r>
              <w:rPr>
                <w:rFonts w:ascii="Times New Roman" w:hAnsi="Times New Roman"/>
                <w:sz w:val="18"/>
              </w:rPr>
              <w:t>Direct library surveys in the North-East and North-West; institutional case evidence.</w:t>
            </w:r>
          </w:p>
        </w:tc>
        <w:tc>
          <w:tcPr>
            <w:tcW w:w="3571" w:type="dxa"/>
            <w:tcBorders>
              <w:top w:val="single" w:sz="4" w:space="0" w:color="888888"/>
              <w:left w:val="single" w:sz="4" w:space="0" w:color="888888"/>
              <w:bottom w:val="single" w:sz="4" w:space="0" w:color="888888"/>
              <w:right w:val="single" w:sz="4" w:space="0" w:color="888888"/>
            </w:tcBorders>
            <w:vAlign w:val="center"/>
          </w:tcPr>
          <w:p>
            <w:pPr>
              <w:pStyle w:val="style0"/>
              <w:spacing w:before="0" w:after="20" w:lineRule="auto" w:line="240"/>
              <w:ind w:firstLine="0"/>
              <w:jc w:val="left"/>
              <w:rPr/>
            </w:pPr>
            <w:r>
              <w:rPr>
                <w:rFonts w:ascii="Times New Roman" w:hAnsi="Times New Roman"/>
                <w:sz w:val="18"/>
              </w:rPr>
              <w:t>Well supported within studied organisations; varies by institution and hazard.</w:t>
            </w:r>
          </w:p>
        </w:tc>
      </w:tr>
      <w:tr>
        <w:tblPrEx/>
        <w:trPr>
          <w:cantSplit/>
          <w:jc w:val="center"/>
        </w:trPr>
        <w:tc>
          <w:tcPr>
            <w:tcW w:w="2362" w:type="dxa"/>
            <w:tcBorders>
              <w:top w:val="single" w:sz="4" w:space="0" w:color="888888"/>
              <w:left w:val="single" w:sz="4" w:space="0" w:color="888888"/>
              <w:bottom w:val="single" w:sz="4" w:space="0" w:color="888888"/>
              <w:right w:val="single" w:sz="4" w:space="0" w:color="888888"/>
            </w:tcBorders>
            <w:vAlign w:val="center"/>
          </w:tcPr>
          <w:p>
            <w:pPr>
              <w:pStyle w:val="style0"/>
              <w:spacing w:before="0" w:after="20" w:lineRule="auto" w:line="240"/>
              <w:ind w:firstLine="0"/>
              <w:jc w:val="left"/>
              <w:rPr/>
            </w:pPr>
            <w:r>
              <w:rPr>
                <w:rFonts w:ascii="Times New Roman" w:hAnsi="Times New Roman"/>
                <w:sz w:val="18"/>
              </w:rPr>
              <w:t>Displaced people face unmet information needs.</w:t>
            </w:r>
          </w:p>
        </w:tc>
        <w:tc>
          <w:tcPr>
            <w:tcW w:w="3053" w:type="dxa"/>
            <w:tcBorders>
              <w:top w:val="single" w:sz="4" w:space="0" w:color="888888"/>
              <w:left w:val="single" w:sz="4" w:space="0" w:color="888888"/>
              <w:bottom w:val="single" w:sz="4" w:space="0" w:color="888888"/>
              <w:right w:val="single" w:sz="4" w:space="0" w:color="888888"/>
            </w:tcBorders>
            <w:vAlign w:val="center"/>
          </w:tcPr>
          <w:p>
            <w:pPr>
              <w:pStyle w:val="style0"/>
              <w:spacing w:before="0" w:after="20" w:lineRule="auto" w:line="240"/>
              <w:ind w:firstLine="0"/>
              <w:jc w:val="left"/>
              <w:rPr/>
            </w:pPr>
            <w:r>
              <w:rPr>
                <w:rFonts w:ascii="Times New Roman" w:hAnsi="Times New Roman"/>
                <w:sz w:val="18"/>
              </w:rPr>
              <w:t>Studies of IDPs and policy proposals for library outreach.</w:t>
            </w:r>
          </w:p>
        </w:tc>
        <w:tc>
          <w:tcPr>
            <w:tcW w:w="3571" w:type="dxa"/>
            <w:tcBorders>
              <w:top w:val="single" w:sz="4" w:space="0" w:color="888888"/>
              <w:left w:val="single" w:sz="4" w:space="0" w:color="888888"/>
              <w:bottom w:val="single" w:sz="4" w:space="0" w:color="888888"/>
              <w:right w:val="single" w:sz="4" w:space="0" w:color="888888"/>
            </w:tcBorders>
            <w:vAlign w:val="center"/>
          </w:tcPr>
          <w:p>
            <w:pPr>
              <w:pStyle w:val="style0"/>
              <w:spacing w:before="0" w:after="20" w:lineRule="auto" w:line="240"/>
              <w:ind w:firstLine="0"/>
              <w:jc w:val="left"/>
              <w:rPr/>
            </w:pPr>
            <w:r>
              <w:rPr>
                <w:rFonts w:ascii="Times New Roman" w:hAnsi="Times New Roman"/>
                <w:sz w:val="18"/>
              </w:rPr>
              <w:t>Reasonable basis for improved services; closure rates remain unmeasured.</w:t>
            </w:r>
          </w:p>
        </w:tc>
      </w:tr>
      <w:tr>
        <w:tblPrEx/>
        <w:trPr>
          <w:cantSplit/>
          <w:jc w:val="center"/>
        </w:trPr>
        <w:tc>
          <w:tcPr>
            <w:tcW w:w="2362" w:type="dxa"/>
            <w:tcBorders>
              <w:top w:val="single" w:sz="4" w:space="0" w:color="888888"/>
              <w:left w:val="single" w:sz="4" w:space="0" w:color="888888"/>
              <w:bottom w:val="single" w:sz="4" w:space="0" w:color="888888"/>
              <w:right w:val="single" w:sz="4" w:space="0" w:color="888888"/>
            </w:tcBorders>
            <w:vAlign w:val="center"/>
          </w:tcPr>
          <w:p>
            <w:pPr>
              <w:pStyle w:val="style0"/>
              <w:spacing w:before="0" w:after="20" w:lineRule="auto" w:line="240"/>
              <w:ind w:firstLine="0"/>
              <w:jc w:val="left"/>
              <w:rPr/>
            </w:pPr>
            <w:r>
              <w:rPr>
                <w:rFonts w:ascii="Times New Roman" w:hAnsi="Times New Roman"/>
                <w:sz w:val="18"/>
              </w:rPr>
              <w:t>Insecurity leads to library staff displacement.</w:t>
            </w:r>
          </w:p>
        </w:tc>
        <w:tc>
          <w:tcPr>
            <w:tcW w:w="3053" w:type="dxa"/>
            <w:tcBorders>
              <w:top w:val="single" w:sz="4" w:space="0" w:color="888888"/>
              <w:left w:val="single" w:sz="4" w:space="0" w:color="888888"/>
              <w:bottom w:val="single" w:sz="4" w:space="0" w:color="888888"/>
              <w:right w:val="single" w:sz="4" w:space="0" w:color="888888"/>
            </w:tcBorders>
            <w:vAlign w:val="center"/>
          </w:tcPr>
          <w:p>
            <w:pPr>
              <w:pStyle w:val="style0"/>
              <w:spacing w:before="0" w:after="20" w:lineRule="auto" w:line="240"/>
              <w:ind w:firstLine="0"/>
              <w:jc w:val="left"/>
              <w:rPr/>
            </w:pPr>
            <w:r>
              <w:rPr>
                <w:rFonts w:ascii="Times New Roman" w:hAnsi="Times New Roman"/>
                <w:sz w:val="18"/>
              </w:rPr>
              <w:t>Limited library-specific data; related education-sector disruption.</w:t>
            </w:r>
          </w:p>
        </w:tc>
        <w:tc>
          <w:tcPr>
            <w:tcW w:w="3571" w:type="dxa"/>
            <w:tcBorders>
              <w:top w:val="single" w:sz="4" w:space="0" w:color="888888"/>
              <w:left w:val="single" w:sz="4" w:space="0" w:color="888888"/>
              <w:bottom w:val="single" w:sz="4" w:space="0" w:color="888888"/>
              <w:right w:val="single" w:sz="4" w:space="0" w:color="888888"/>
            </w:tcBorders>
            <w:vAlign w:val="center"/>
          </w:tcPr>
          <w:p>
            <w:pPr>
              <w:pStyle w:val="style0"/>
              <w:spacing w:before="0" w:after="20" w:lineRule="auto" w:line="240"/>
              <w:ind w:firstLine="0"/>
              <w:jc w:val="left"/>
              <w:rPr/>
            </w:pPr>
            <w:r>
              <w:rPr>
                <w:rFonts w:ascii="Times New Roman" w:hAnsi="Times New Roman"/>
                <w:sz w:val="18"/>
              </w:rPr>
              <w:t>Important question, but the size and direction of the effect need direct study.</w:t>
            </w:r>
          </w:p>
        </w:tc>
      </w:tr>
      <w:tr>
        <w:tblPrEx/>
        <w:trPr>
          <w:cantSplit/>
          <w:jc w:val="center"/>
        </w:trPr>
        <w:tc>
          <w:tcPr>
            <w:tcW w:w="2362" w:type="dxa"/>
            <w:tcBorders>
              <w:top w:val="single" w:sz="4" w:space="0" w:color="888888"/>
              <w:left w:val="single" w:sz="4" w:space="0" w:color="888888"/>
              <w:bottom w:val="single" w:sz="4" w:space="0" w:color="888888"/>
              <w:right w:val="single" w:sz="4" w:space="0" w:color="888888"/>
            </w:tcBorders>
            <w:vAlign w:val="center"/>
          </w:tcPr>
          <w:p>
            <w:pPr>
              <w:pStyle w:val="style0"/>
              <w:spacing w:before="0" w:after="20" w:lineRule="auto" w:line="240"/>
              <w:ind w:firstLine="0"/>
              <w:jc w:val="left"/>
              <w:rPr/>
            </w:pPr>
            <w:r>
              <w:rPr>
                <w:rFonts w:ascii="Times New Roman" w:hAnsi="Times New Roman"/>
                <w:sz w:val="18"/>
              </w:rPr>
              <w:t>Libraries can reduce extremism or insurgency.</w:t>
            </w:r>
          </w:p>
        </w:tc>
        <w:tc>
          <w:tcPr>
            <w:tcW w:w="3053" w:type="dxa"/>
            <w:tcBorders>
              <w:top w:val="single" w:sz="4" w:space="0" w:color="888888"/>
              <w:left w:val="single" w:sz="4" w:space="0" w:color="888888"/>
              <w:bottom w:val="single" w:sz="4" w:space="0" w:color="888888"/>
              <w:right w:val="single" w:sz="4" w:space="0" w:color="888888"/>
            </w:tcBorders>
            <w:vAlign w:val="center"/>
          </w:tcPr>
          <w:p>
            <w:pPr>
              <w:pStyle w:val="style0"/>
              <w:spacing w:before="0" w:after="20" w:lineRule="auto" w:line="240"/>
              <w:ind w:firstLine="0"/>
              <w:jc w:val="left"/>
              <w:rPr/>
            </w:pPr>
            <w:r>
              <w:rPr>
                <w:rFonts w:ascii="Times New Roman" w:hAnsi="Times New Roman"/>
                <w:sz w:val="18"/>
              </w:rPr>
              <w:t>Conceptual and literature-based security discussions.</w:t>
            </w:r>
          </w:p>
        </w:tc>
        <w:tc>
          <w:tcPr>
            <w:tcW w:w="3571" w:type="dxa"/>
            <w:tcBorders>
              <w:top w:val="single" w:sz="4" w:space="0" w:color="888888"/>
              <w:left w:val="single" w:sz="4" w:space="0" w:color="888888"/>
              <w:bottom w:val="single" w:sz="4" w:space="0" w:color="888888"/>
              <w:right w:val="single" w:sz="4" w:space="0" w:color="888888"/>
            </w:tcBorders>
            <w:vAlign w:val="center"/>
          </w:tcPr>
          <w:p>
            <w:pPr>
              <w:pStyle w:val="style0"/>
              <w:spacing w:before="0" w:after="20" w:lineRule="auto" w:line="240"/>
              <w:ind w:firstLine="0"/>
              <w:jc w:val="left"/>
              <w:rPr/>
            </w:pPr>
            <w:r>
              <w:rPr>
                <w:rFonts w:ascii="Times New Roman" w:hAnsi="Times New Roman"/>
                <w:sz w:val="18"/>
              </w:rPr>
              <w:t>Potential contribution through education; no demonstrated causal effect.</w:t>
            </w:r>
          </w:p>
        </w:tc>
      </w:tr>
    </w:tbl>
    <w:p>
      <w:pPr>
        <w:pStyle w:val="style0"/>
        <w:jc w:val="both"/>
        <w:rPr/>
      </w:pPr>
      <w:r>
        <w:t>The distinctive contribution of this review is not a claim to have discovered new incidents or collected fresh field data. It is the distinction between three forms of institutional harm that are often combined: physical loss, service inaccessibility and weakened recovery capacity. This distinction matters for planning. A damaged library requires restoration of assets; a safe but closed library may require alternative service arrangements; and an institution with staff or continuity deficits may need organisational support even after buildings have been repaired. Response strategies should begin with the type of failure actually observed.</w:t>
      </w:r>
    </w:p>
    <w:p>
      <w:pPr>
        <w:pStyle w:val="style0"/>
        <w:jc w:val="both"/>
        <w:rPr/>
      </w:pPr>
      <w:r>
        <w:t>A related contribution is to regard information-service continuity as an element of recovery rather than an optional activity after reconstruction. In practice, a modest service that remains available may be more useful to displaced users than a restored building they cannot safely reach. The effectiveness of mobile provision, offline collections and partnerships remains a question for assessment, but the literature offers sufficient justification for piloting and evaluating such arrangements.</w:t>
      </w:r>
    </w:p>
    <w:p>
      <w:pPr>
        <w:pStyle w:val="style1"/>
        <w:rPr/>
      </w:pPr>
      <w:r>
        <w:t>5. Recommendations</w:t>
      </w:r>
    </w:p>
    <w:p>
      <w:pPr>
        <w:pStyle w:val="style0"/>
        <w:jc w:val="both"/>
        <w:rPr/>
      </w:pPr>
      <w:r>
        <w:t>First, library governing authorities and parent institutions in conflict-exposed areas should adopt written, locally tailored continuity plans. Each plan should identify emergency contacts, decision-making responsibilities, evacuation procedures, priorities for saving collections and the minimum services to be maintained during temporary closure. Practical exercises and periodic review should be required, rather than leaving the plan unused in a file.</w:t>
      </w:r>
    </w:p>
    <w:p>
      <w:pPr>
        <w:pStyle w:val="style0"/>
        <w:jc w:val="both"/>
        <w:rPr/>
      </w:pPr>
      <w:r>
        <w:t>Second, LIS institutions should protect essential records and collections through routine backups, off-site copies of critical data and low-bandwidth or offline methods of access. Digital investment should respond to local electricity and connectivity constraints and be supported by tested restoration procedures. The priority is to preserve access to materials, not merely to purchase more equipment.</w:t>
      </w:r>
    </w:p>
    <w:p>
      <w:pPr>
        <w:pStyle w:val="style0"/>
        <w:jc w:val="both"/>
        <w:rPr/>
      </w:pPr>
      <w:r>
        <w:t>Third, employers, professional associations and LIS schools should provide staff safety guidance, crisis communication training and continuity-management skills. Training should address user privacy, the protection of rare materials, remote reference services and communication with displaced communities. Institutions should also document staffing interruptions so that future decisions can rest on evidence instead of assumption.</w:t>
      </w:r>
    </w:p>
    <w:p>
      <w:pPr>
        <w:pStyle w:val="style0"/>
        <w:jc w:val="both"/>
        <w:rPr/>
      </w:pPr>
      <w:r>
        <w:t>Fourth, public libraries, the National Library of Nigeria, local authorities and humanitarian organisations should establish partnerships to deliver appropriate information services to displaced persons and host communities. Service design should begin with local needs assessment and include accessible learning resources and dependable information about education, health, rights and available support. Pilot services should record reach, use and barriers to access.</w:t>
      </w:r>
    </w:p>
    <w:p>
      <w:pPr>
        <w:pStyle w:val="style0"/>
        <w:jc w:val="both"/>
        <w:rPr/>
      </w:pPr>
      <w:r>
        <w:t>Fifth, state-level education recovery plans should recognise libraries as supporting institutions. School reopening, community learning provision and library recovery should be coordinated where feasible, while maintaining the independence and trust needed for credible information services. Information-literacy activities should promote critical assessment of sources without turning libraries into surveillance facilities.</w:t>
      </w:r>
    </w:p>
    <w:p>
      <w:pPr>
        <w:pStyle w:val="style0"/>
        <w:jc w:val="both"/>
        <w:rPr/>
      </w:pPr>
      <w:r>
        <w:t>Sixth, researchers and LIS professional bodies should commission comparative field studies across the three northern geopolitical zones. Studies should collect directly attributable measures of library damage, closure duration, lost resources, staff mobility, service demand and recovery. Clear reporting of search strategies, samples and limitations will enable later reviews to test patterns currently supported only by small or non-comparable studies.</w:t>
      </w:r>
    </w:p>
    <w:p>
      <w:pPr>
        <w:pStyle w:val="style4117"/>
        <w:spacing w:before="80" w:after="60"/>
        <w:rPr/>
      </w:pPr>
      <w:r>
        <w:rPr>
          <w:i/>
        </w:rPr>
        <w:t>Table 4. Suggested priorities, responsibilities and indicators for implementation.</w:t>
      </w:r>
    </w:p>
    <w:tbl>
      <w:tblPr>
        <w:tblStyle w:val="style154"/>
        <w:tblW w:w="0" w:type="auto"/>
        <w:jc w:val="center"/>
        <w:tblLayout w:type="fixed"/>
        <w:tblLook w:val="04A0" w:firstRow="1" w:lastRow="0" w:firstColumn="1" w:lastColumn="0" w:noHBand="0" w:noVBand="1"/>
      </w:tblPr>
      <w:tblGrid>
        <w:gridCol w:w="3384"/>
        <w:gridCol w:w="2822"/>
        <w:gridCol w:w="2779"/>
      </w:tblGrid>
      <w:tr>
        <w:trPr>
          <w:cantSplit/>
          <w:tblHeader/>
          <w:jc w:val="center"/>
        </w:trPr>
        <w:tc>
          <w:tcPr>
            <w:tcW w:w="3384" w:type="dxa"/>
            <w:tcBorders>
              <w:top w:val="single" w:sz="4" w:space="0" w:color="888888"/>
              <w:left w:val="single" w:sz="4" w:space="0" w:color="888888"/>
              <w:bottom w:val="single" w:sz="4" w:space="0" w:color="888888"/>
              <w:right w:val="single" w:sz="4" w:space="0" w:color="888888"/>
            </w:tcBorders>
            <w:shd w:val="nil" w:color="auto" w:fill="eeeeee"/>
            <w:vAlign w:val="center"/>
          </w:tcPr>
          <w:p>
            <w:pPr>
              <w:pStyle w:val="style0"/>
              <w:spacing w:before="0" w:after="20" w:lineRule="auto" w:line="240"/>
              <w:ind w:firstLine="0"/>
              <w:jc w:val="left"/>
              <w:rPr/>
            </w:pPr>
            <w:r>
              <w:rPr>
                <w:rFonts w:ascii="Times New Roman" w:hAnsi="Times New Roman"/>
                <w:b/>
                <w:sz w:val="18"/>
              </w:rPr>
              <w:t>Priority action</w:t>
            </w:r>
          </w:p>
        </w:tc>
        <w:tc>
          <w:tcPr>
            <w:tcW w:w="2822" w:type="dxa"/>
            <w:tcBorders>
              <w:top w:val="single" w:sz="4" w:space="0" w:color="888888"/>
              <w:left w:val="single" w:sz="4" w:space="0" w:color="888888"/>
              <w:bottom w:val="single" w:sz="4" w:space="0" w:color="888888"/>
              <w:right w:val="single" w:sz="4" w:space="0" w:color="888888"/>
            </w:tcBorders>
            <w:shd w:val="nil" w:color="auto" w:fill="eeeeee"/>
            <w:vAlign w:val="center"/>
          </w:tcPr>
          <w:p>
            <w:pPr>
              <w:pStyle w:val="style0"/>
              <w:spacing w:before="0" w:after="20" w:lineRule="auto" w:line="240"/>
              <w:ind w:firstLine="0"/>
              <w:jc w:val="left"/>
              <w:rPr/>
            </w:pPr>
            <w:r>
              <w:rPr>
                <w:rFonts w:ascii="Times New Roman" w:hAnsi="Times New Roman"/>
                <w:b/>
                <w:sz w:val="18"/>
              </w:rPr>
              <w:t>Lead participants</w:t>
            </w:r>
          </w:p>
        </w:tc>
        <w:tc>
          <w:tcPr>
            <w:tcW w:w="2779" w:type="dxa"/>
            <w:tcBorders>
              <w:top w:val="single" w:sz="4" w:space="0" w:color="888888"/>
              <w:left w:val="single" w:sz="4" w:space="0" w:color="888888"/>
              <w:bottom w:val="single" w:sz="4" w:space="0" w:color="888888"/>
              <w:right w:val="single" w:sz="4" w:space="0" w:color="888888"/>
            </w:tcBorders>
            <w:shd w:val="nil" w:color="auto" w:fill="eeeeee"/>
            <w:vAlign w:val="center"/>
          </w:tcPr>
          <w:p>
            <w:pPr>
              <w:pStyle w:val="style0"/>
              <w:spacing w:before="0" w:after="20" w:lineRule="auto" w:line="240"/>
              <w:ind w:firstLine="0"/>
              <w:jc w:val="left"/>
              <w:rPr/>
            </w:pPr>
            <w:r>
              <w:rPr>
                <w:rFonts w:ascii="Times New Roman" w:hAnsi="Times New Roman"/>
                <w:b/>
                <w:sz w:val="18"/>
              </w:rPr>
              <w:t>Practical indicator</w:t>
            </w:r>
          </w:p>
        </w:tc>
      </w:tr>
      <w:tr>
        <w:tblPrEx/>
        <w:trPr>
          <w:cantSplit/>
          <w:jc w:val="center"/>
        </w:trPr>
        <w:tc>
          <w:tcPr>
            <w:tcW w:w="3384" w:type="dxa"/>
            <w:tcBorders>
              <w:top w:val="single" w:sz="4" w:space="0" w:color="888888"/>
              <w:left w:val="single" w:sz="4" w:space="0" w:color="888888"/>
              <w:bottom w:val="single" w:sz="4" w:space="0" w:color="888888"/>
              <w:right w:val="single" w:sz="4" w:space="0" w:color="888888"/>
            </w:tcBorders>
            <w:vAlign w:val="center"/>
          </w:tcPr>
          <w:p>
            <w:pPr>
              <w:pStyle w:val="style0"/>
              <w:spacing w:before="0" w:after="20" w:lineRule="auto" w:line="240"/>
              <w:ind w:firstLine="0"/>
              <w:jc w:val="left"/>
              <w:rPr/>
            </w:pPr>
            <w:r>
              <w:rPr>
                <w:rFonts w:ascii="Times New Roman" w:hAnsi="Times New Roman"/>
                <w:sz w:val="18"/>
              </w:rPr>
              <w:t>Document and test continuity plans</w:t>
            </w:r>
          </w:p>
        </w:tc>
        <w:tc>
          <w:tcPr>
            <w:tcW w:w="2822" w:type="dxa"/>
            <w:tcBorders>
              <w:top w:val="single" w:sz="4" w:space="0" w:color="888888"/>
              <w:left w:val="single" w:sz="4" w:space="0" w:color="888888"/>
              <w:bottom w:val="single" w:sz="4" w:space="0" w:color="888888"/>
              <w:right w:val="single" w:sz="4" w:space="0" w:color="888888"/>
            </w:tcBorders>
            <w:vAlign w:val="center"/>
          </w:tcPr>
          <w:p>
            <w:pPr>
              <w:pStyle w:val="style0"/>
              <w:spacing w:before="0" w:after="20" w:lineRule="auto" w:line="240"/>
              <w:ind w:firstLine="0"/>
              <w:jc w:val="left"/>
              <w:rPr/>
            </w:pPr>
            <w:r>
              <w:rPr>
                <w:rFonts w:ascii="Times New Roman" w:hAnsi="Times New Roman"/>
                <w:sz w:val="18"/>
              </w:rPr>
              <w:t>Library management; parent institutions; emergency planners</w:t>
            </w:r>
          </w:p>
        </w:tc>
        <w:tc>
          <w:tcPr>
            <w:tcW w:w="2779" w:type="dxa"/>
            <w:tcBorders>
              <w:top w:val="single" w:sz="4" w:space="0" w:color="888888"/>
              <w:left w:val="single" w:sz="4" w:space="0" w:color="888888"/>
              <w:bottom w:val="single" w:sz="4" w:space="0" w:color="888888"/>
              <w:right w:val="single" w:sz="4" w:space="0" w:color="888888"/>
            </w:tcBorders>
            <w:vAlign w:val="center"/>
          </w:tcPr>
          <w:p>
            <w:pPr>
              <w:pStyle w:val="style0"/>
              <w:spacing w:before="0" w:after="20" w:lineRule="auto" w:line="240"/>
              <w:ind w:firstLine="0"/>
              <w:jc w:val="left"/>
              <w:rPr/>
            </w:pPr>
            <w:r>
              <w:rPr>
                <w:rFonts w:ascii="Times New Roman" w:hAnsi="Times New Roman"/>
                <w:sz w:val="18"/>
              </w:rPr>
              <w:t>Approved plan and evidence of regular exercises</w:t>
            </w:r>
          </w:p>
        </w:tc>
      </w:tr>
      <w:tr>
        <w:tblPrEx/>
        <w:trPr>
          <w:cantSplit/>
          <w:jc w:val="center"/>
        </w:trPr>
        <w:tc>
          <w:tcPr>
            <w:tcW w:w="3384" w:type="dxa"/>
            <w:tcBorders>
              <w:top w:val="single" w:sz="4" w:space="0" w:color="888888"/>
              <w:left w:val="single" w:sz="4" w:space="0" w:color="888888"/>
              <w:bottom w:val="single" w:sz="4" w:space="0" w:color="888888"/>
              <w:right w:val="single" w:sz="4" w:space="0" w:color="888888"/>
            </w:tcBorders>
            <w:vAlign w:val="center"/>
          </w:tcPr>
          <w:p>
            <w:pPr>
              <w:pStyle w:val="style0"/>
              <w:spacing w:before="0" w:after="20" w:lineRule="auto" w:line="240"/>
              <w:ind w:firstLine="0"/>
              <w:jc w:val="left"/>
              <w:rPr/>
            </w:pPr>
            <w:r>
              <w:rPr>
                <w:rFonts w:ascii="Times New Roman" w:hAnsi="Times New Roman"/>
                <w:sz w:val="18"/>
              </w:rPr>
              <w:t>Preserve essential data and collections</w:t>
            </w:r>
          </w:p>
        </w:tc>
        <w:tc>
          <w:tcPr>
            <w:tcW w:w="2822" w:type="dxa"/>
            <w:tcBorders>
              <w:top w:val="single" w:sz="4" w:space="0" w:color="888888"/>
              <w:left w:val="single" w:sz="4" w:space="0" w:color="888888"/>
              <w:bottom w:val="single" w:sz="4" w:space="0" w:color="888888"/>
              <w:right w:val="single" w:sz="4" w:space="0" w:color="888888"/>
            </w:tcBorders>
            <w:vAlign w:val="center"/>
          </w:tcPr>
          <w:p>
            <w:pPr>
              <w:pStyle w:val="style0"/>
              <w:spacing w:before="0" w:after="20" w:lineRule="auto" w:line="240"/>
              <w:ind w:firstLine="0"/>
              <w:jc w:val="left"/>
              <w:rPr/>
            </w:pPr>
            <w:r>
              <w:rPr>
                <w:rFonts w:ascii="Times New Roman" w:hAnsi="Times New Roman"/>
                <w:sz w:val="18"/>
              </w:rPr>
              <w:t>Libraries; ICT units; funders</w:t>
            </w:r>
          </w:p>
        </w:tc>
        <w:tc>
          <w:tcPr>
            <w:tcW w:w="2779" w:type="dxa"/>
            <w:tcBorders>
              <w:top w:val="single" w:sz="4" w:space="0" w:color="888888"/>
              <w:left w:val="single" w:sz="4" w:space="0" w:color="888888"/>
              <w:bottom w:val="single" w:sz="4" w:space="0" w:color="888888"/>
              <w:right w:val="single" w:sz="4" w:space="0" w:color="888888"/>
            </w:tcBorders>
            <w:vAlign w:val="center"/>
          </w:tcPr>
          <w:p>
            <w:pPr>
              <w:pStyle w:val="style0"/>
              <w:spacing w:before="0" w:after="20" w:lineRule="auto" w:line="240"/>
              <w:ind w:firstLine="0"/>
              <w:jc w:val="left"/>
              <w:rPr/>
            </w:pPr>
            <w:r>
              <w:rPr>
                <w:rFonts w:ascii="Times New Roman" w:hAnsi="Times New Roman"/>
                <w:sz w:val="18"/>
              </w:rPr>
              <w:t>Backup coverage and successful restoration test</w:t>
            </w:r>
          </w:p>
        </w:tc>
      </w:tr>
      <w:tr>
        <w:tblPrEx/>
        <w:trPr>
          <w:cantSplit/>
          <w:jc w:val="center"/>
        </w:trPr>
        <w:tc>
          <w:tcPr>
            <w:tcW w:w="3384" w:type="dxa"/>
            <w:tcBorders>
              <w:top w:val="single" w:sz="4" w:space="0" w:color="888888"/>
              <w:left w:val="single" w:sz="4" w:space="0" w:color="888888"/>
              <w:bottom w:val="single" w:sz="4" w:space="0" w:color="888888"/>
              <w:right w:val="single" w:sz="4" w:space="0" w:color="888888"/>
            </w:tcBorders>
            <w:vAlign w:val="center"/>
          </w:tcPr>
          <w:p>
            <w:pPr>
              <w:pStyle w:val="style0"/>
              <w:spacing w:before="0" w:after="20" w:lineRule="auto" w:line="240"/>
              <w:ind w:firstLine="0"/>
              <w:jc w:val="left"/>
              <w:rPr/>
            </w:pPr>
            <w:r>
              <w:rPr>
                <w:rFonts w:ascii="Times New Roman" w:hAnsi="Times New Roman"/>
                <w:sz w:val="18"/>
              </w:rPr>
              <w:t>Strengthen staff safety and recovery competence</w:t>
            </w:r>
          </w:p>
        </w:tc>
        <w:tc>
          <w:tcPr>
            <w:tcW w:w="2822" w:type="dxa"/>
            <w:tcBorders>
              <w:top w:val="single" w:sz="4" w:space="0" w:color="888888"/>
              <w:left w:val="single" w:sz="4" w:space="0" w:color="888888"/>
              <w:bottom w:val="single" w:sz="4" w:space="0" w:color="888888"/>
              <w:right w:val="single" w:sz="4" w:space="0" w:color="888888"/>
            </w:tcBorders>
            <w:vAlign w:val="center"/>
          </w:tcPr>
          <w:p>
            <w:pPr>
              <w:pStyle w:val="style0"/>
              <w:spacing w:before="0" w:after="20" w:lineRule="auto" w:line="240"/>
              <w:ind w:firstLine="0"/>
              <w:jc w:val="left"/>
              <w:rPr/>
            </w:pPr>
            <w:r>
              <w:rPr>
                <w:rFonts w:ascii="Times New Roman" w:hAnsi="Times New Roman"/>
                <w:sz w:val="18"/>
              </w:rPr>
              <w:t>LIS schools; employers; professional bodies</w:t>
            </w:r>
          </w:p>
        </w:tc>
        <w:tc>
          <w:tcPr>
            <w:tcW w:w="2779" w:type="dxa"/>
            <w:tcBorders>
              <w:top w:val="single" w:sz="4" w:space="0" w:color="888888"/>
              <w:left w:val="single" w:sz="4" w:space="0" w:color="888888"/>
              <w:bottom w:val="single" w:sz="4" w:space="0" w:color="888888"/>
              <w:right w:val="single" w:sz="4" w:space="0" w:color="888888"/>
            </w:tcBorders>
            <w:vAlign w:val="center"/>
          </w:tcPr>
          <w:p>
            <w:pPr>
              <w:pStyle w:val="style0"/>
              <w:spacing w:before="0" w:after="20" w:lineRule="auto" w:line="240"/>
              <w:ind w:firstLine="0"/>
              <w:jc w:val="left"/>
              <w:rPr/>
            </w:pPr>
            <w:r>
              <w:rPr>
                <w:rFonts w:ascii="Times New Roman" w:hAnsi="Times New Roman"/>
                <w:sz w:val="18"/>
              </w:rPr>
              <w:t>Staff trained and roles assigned</w:t>
            </w:r>
          </w:p>
        </w:tc>
      </w:tr>
      <w:tr>
        <w:tblPrEx/>
        <w:trPr>
          <w:cantSplit/>
          <w:jc w:val="center"/>
        </w:trPr>
        <w:tc>
          <w:tcPr>
            <w:tcW w:w="3384" w:type="dxa"/>
            <w:tcBorders>
              <w:top w:val="single" w:sz="4" w:space="0" w:color="888888"/>
              <w:left w:val="single" w:sz="4" w:space="0" w:color="888888"/>
              <w:bottom w:val="single" w:sz="4" w:space="0" w:color="888888"/>
              <w:right w:val="single" w:sz="4" w:space="0" w:color="888888"/>
            </w:tcBorders>
            <w:vAlign w:val="center"/>
          </w:tcPr>
          <w:p>
            <w:pPr>
              <w:pStyle w:val="style0"/>
              <w:spacing w:before="0" w:after="20" w:lineRule="auto" w:line="240"/>
              <w:ind w:firstLine="0"/>
              <w:jc w:val="left"/>
              <w:rPr/>
            </w:pPr>
            <w:r>
              <w:rPr>
                <w:rFonts w:ascii="Times New Roman" w:hAnsi="Times New Roman"/>
                <w:sz w:val="18"/>
              </w:rPr>
              <w:t>Provide outreach for displaced communities</w:t>
            </w:r>
          </w:p>
        </w:tc>
        <w:tc>
          <w:tcPr>
            <w:tcW w:w="2822" w:type="dxa"/>
            <w:tcBorders>
              <w:top w:val="single" w:sz="4" w:space="0" w:color="888888"/>
              <w:left w:val="single" w:sz="4" w:space="0" w:color="888888"/>
              <w:bottom w:val="single" w:sz="4" w:space="0" w:color="888888"/>
              <w:right w:val="single" w:sz="4" w:space="0" w:color="888888"/>
            </w:tcBorders>
            <w:vAlign w:val="center"/>
          </w:tcPr>
          <w:p>
            <w:pPr>
              <w:pStyle w:val="style0"/>
              <w:spacing w:before="0" w:after="20" w:lineRule="auto" w:line="240"/>
              <w:ind w:firstLine="0"/>
              <w:jc w:val="left"/>
              <w:rPr/>
            </w:pPr>
            <w:r>
              <w:rPr>
                <w:rFonts w:ascii="Times New Roman" w:hAnsi="Times New Roman"/>
                <w:sz w:val="18"/>
              </w:rPr>
              <w:t>Public libraries; National Library; NGOs; local partners</w:t>
            </w:r>
          </w:p>
        </w:tc>
        <w:tc>
          <w:tcPr>
            <w:tcW w:w="2779" w:type="dxa"/>
            <w:tcBorders>
              <w:top w:val="single" w:sz="4" w:space="0" w:color="888888"/>
              <w:left w:val="single" w:sz="4" w:space="0" w:color="888888"/>
              <w:bottom w:val="single" w:sz="4" w:space="0" w:color="888888"/>
              <w:right w:val="single" w:sz="4" w:space="0" w:color="888888"/>
            </w:tcBorders>
            <w:vAlign w:val="center"/>
          </w:tcPr>
          <w:p>
            <w:pPr>
              <w:pStyle w:val="style0"/>
              <w:spacing w:before="0" w:after="20" w:lineRule="auto" w:line="240"/>
              <w:ind w:firstLine="0"/>
              <w:jc w:val="left"/>
              <w:rPr/>
            </w:pPr>
            <w:r>
              <w:rPr>
                <w:rFonts w:ascii="Times New Roman" w:hAnsi="Times New Roman"/>
                <w:sz w:val="18"/>
              </w:rPr>
              <w:t>Communities reached and services used</w:t>
            </w:r>
          </w:p>
        </w:tc>
      </w:tr>
      <w:tr>
        <w:tblPrEx/>
        <w:trPr>
          <w:cantSplit/>
          <w:jc w:val="center"/>
        </w:trPr>
        <w:tc>
          <w:tcPr>
            <w:tcW w:w="3384" w:type="dxa"/>
            <w:tcBorders>
              <w:top w:val="single" w:sz="4" w:space="0" w:color="888888"/>
              <w:left w:val="single" w:sz="4" w:space="0" w:color="888888"/>
              <w:bottom w:val="single" w:sz="4" w:space="0" w:color="888888"/>
              <w:right w:val="single" w:sz="4" w:space="0" w:color="888888"/>
            </w:tcBorders>
            <w:vAlign w:val="center"/>
          </w:tcPr>
          <w:p>
            <w:pPr>
              <w:pStyle w:val="style0"/>
              <w:spacing w:before="0" w:after="20" w:lineRule="auto" w:line="240"/>
              <w:ind w:firstLine="0"/>
              <w:jc w:val="left"/>
              <w:rPr/>
            </w:pPr>
            <w:r>
              <w:rPr>
                <w:rFonts w:ascii="Times New Roman" w:hAnsi="Times New Roman"/>
                <w:sz w:val="18"/>
              </w:rPr>
              <w:t>Evaluate conflict-related disruption</w:t>
            </w:r>
          </w:p>
        </w:tc>
        <w:tc>
          <w:tcPr>
            <w:tcW w:w="2822" w:type="dxa"/>
            <w:tcBorders>
              <w:top w:val="single" w:sz="4" w:space="0" w:color="888888"/>
              <w:left w:val="single" w:sz="4" w:space="0" w:color="888888"/>
              <w:bottom w:val="single" w:sz="4" w:space="0" w:color="888888"/>
              <w:right w:val="single" w:sz="4" w:space="0" w:color="888888"/>
            </w:tcBorders>
            <w:vAlign w:val="center"/>
          </w:tcPr>
          <w:p>
            <w:pPr>
              <w:pStyle w:val="style0"/>
              <w:spacing w:before="0" w:after="20" w:lineRule="auto" w:line="240"/>
              <w:ind w:firstLine="0"/>
              <w:jc w:val="left"/>
              <w:rPr/>
            </w:pPr>
            <w:r>
              <w:rPr>
                <w:rFonts w:ascii="Times New Roman" w:hAnsi="Times New Roman"/>
                <w:sz w:val="18"/>
              </w:rPr>
              <w:t>Researchers; LIS associations; state education authorities</w:t>
            </w:r>
          </w:p>
        </w:tc>
        <w:tc>
          <w:tcPr>
            <w:tcW w:w="2779" w:type="dxa"/>
            <w:tcBorders>
              <w:top w:val="single" w:sz="4" w:space="0" w:color="888888"/>
              <w:left w:val="single" w:sz="4" w:space="0" w:color="888888"/>
              <w:bottom w:val="single" w:sz="4" w:space="0" w:color="888888"/>
              <w:right w:val="single" w:sz="4" w:space="0" w:color="888888"/>
            </w:tcBorders>
            <w:vAlign w:val="center"/>
          </w:tcPr>
          <w:p>
            <w:pPr>
              <w:pStyle w:val="style0"/>
              <w:spacing w:before="0" w:after="20" w:lineRule="auto" w:line="240"/>
              <w:ind w:firstLine="0"/>
              <w:jc w:val="left"/>
              <w:rPr/>
            </w:pPr>
            <w:r>
              <w:rPr>
                <w:rFonts w:ascii="Times New Roman" w:hAnsi="Times New Roman"/>
                <w:sz w:val="18"/>
              </w:rPr>
              <w:t>Comparable records of closures, losses and recovery</w:t>
            </w:r>
          </w:p>
        </w:tc>
      </w:tr>
    </w:tbl>
    <w:p>
      <w:pPr>
        <w:pStyle w:val="style1"/>
        <w:rPr/>
      </w:pPr>
      <w:r>
        <w:t>6. Conclusion</w:t>
      </w:r>
    </w:p>
    <w:p>
      <w:pPr>
        <w:pStyle w:val="style0"/>
        <w:jc w:val="both"/>
        <w:rPr/>
      </w:pPr>
      <w:r>
        <w:t>Terrorism and other forms of armed insecurity pose a serious challenge to library and information systems development in Northern Nigeria, but the available evidence is not equally strong for every form of harm. Studies of selected libraries document physical losses and shortfalls in disaster preparedness. Research on displaced persons demonstrates the need for accessible information provision, while direct data on library-specific staff displacement, closure duration and the effects of recovery interventions remain limited.</w:t>
      </w:r>
    </w:p>
    <w:p>
      <w:pPr>
        <w:pStyle w:val="style0"/>
        <w:jc w:val="both"/>
        <w:rPr/>
      </w:pPr>
      <w:r>
        <w:t>The most defensible response is therefore twofold: protect the institutions that preserve and distribute knowledge, and sustain information access for people whose daily lives are disrupted by violence. Effective continuity planning, secure preservation, professional preparation and locally grounded outreach are practical starting points. Future research should determine which interventions work, for whom and under what security conditions.</w:t>
      </w:r>
    </w:p>
    <w:p>
      <w:pPr>
        <w:pStyle w:val="style1"/>
        <w:rPr/>
      </w:pPr>
      <w:r>
        <w:t>References</w:t>
      </w:r>
    </w:p>
    <w:p>
      <w:pPr>
        <w:pStyle w:val="style4118"/>
        <w:spacing w:after="60"/>
        <w:jc w:val="left"/>
        <w:rPr/>
      </w:pPr>
      <w:r>
        <w:t xml:space="preserve">Abdullahi, M. A., Garba, S. M., &amp; Saad, A. K. (2025). Evaluating the extent of destruction to library infrastructures and collections in conflict affected areas of North East Nigeria. </w:t>
      </w:r>
      <w:r>
        <w:rPr>
          <w:i/>
        </w:rPr>
        <w:t>Library and Information Management Forum</w:t>
      </w:r>
      <w:r>
        <w:t xml:space="preserve">, </w:t>
      </w:r>
      <w:r>
        <w:rPr>
          <w:i/>
        </w:rPr>
        <w:t>27</w:t>
      </w:r>
      <w:r>
        <w:t>(1–2)</w:t>
      </w:r>
      <w:r>
        <w:t>, 303–312</w:t>
      </w:r>
      <w:r>
        <w:t>.</w:t>
      </w:r>
      <w:r>
        <w:t xml:space="preserve"> https://kubanni.abu.edu.ng/items/03e5fea1-ecd7-4fa7-8dc9-0d279bb71c8d</w:t>
      </w:r>
    </w:p>
    <w:p>
      <w:pPr>
        <w:pStyle w:val="style4118"/>
        <w:spacing w:after="60"/>
        <w:jc w:val="left"/>
        <w:rPr/>
      </w:pPr>
      <w:r>
        <w:t xml:space="preserve">Abubakar, B. M. (2013). Poverty alleviation through strategic public library services in Nigeria in the 21st century: A model. </w:t>
      </w:r>
      <w:r>
        <w:rPr>
          <w:i/>
        </w:rPr>
        <w:t>IFLA Journal</w:t>
      </w:r>
      <w:r>
        <w:t xml:space="preserve">, </w:t>
      </w:r>
      <w:r>
        <w:rPr>
          <w:i/>
        </w:rPr>
        <w:t>39</w:t>
      </w:r>
      <w:r>
        <w:t>(1)</w:t>
      </w:r>
      <w:r>
        <w:t>, 4–14</w:t>
      </w:r>
      <w:r>
        <w:t>.</w:t>
      </w:r>
    </w:p>
    <w:p>
      <w:pPr>
        <w:pStyle w:val="style4118"/>
        <w:spacing w:after="60"/>
        <w:jc w:val="left"/>
        <w:rPr/>
      </w:pPr>
      <w:r>
        <w:t xml:space="preserve">Abubakar, M. K. (2022). Identifying an analytical framework to assess the determinants of ICT adoption in libraries and its implications for teaching and learning during insecurity. </w:t>
      </w:r>
      <w:r>
        <w:rPr>
          <w:i/>
        </w:rPr>
        <w:t>Library Philosophy and Practice</w:t>
      </w:r>
      <w:r>
        <w:t>, 7446</w:t>
      </w:r>
      <w:r>
        <w:t>.</w:t>
      </w:r>
      <w:r>
        <w:t xml:space="preserve"> https://scholarworks.sjsu.edu/libphilprac/7446/</w:t>
      </w:r>
    </w:p>
    <w:p>
      <w:pPr>
        <w:pStyle w:val="style4118"/>
        <w:spacing w:after="60"/>
        <w:jc w:val="left"/>
        <w:rPr/>
      </w:pPr>
      <w:r>
        <w:t xml:space="preserve">Ayoung, A. D., Boatbil, C. S., &amp; Baada, F. N. (2016). Disaster preparedness of libraries: Insights from polytechnic librarians in Ghana. </w:t>
      </w:r>
      <w:r>
        <w:rPr>
          <w:i/>
        </w:rPr>
        <w:t>Information Development</w:t>
      </w:r>
      <w:r>
        <w:t xml:space="preserve">, </w:t>
      </w:r>
      <w:r>
        <w:rPr>
          <w:i/>
        </w:rPr>
        <w:t>32</w:t>
      </w:r>
      <w:r>
        <w:t>(5)</w:t>
      </w:r>
      <w:r>
        <w:t>, 1296–1305</w:t>
      </w:r>
      <w:r>
        <w:t>.</w:t>
      </w:r>
      <w:r>
        <w:t xml:space="preserve"> https://doi.org/10.1177/0266666915588794</w:t>
      </w:r>
    </w:p>
    <w:p>
      <w:pPr>
        <w:pStyle w:val="style4118"/>
        <w:spacing w:after="60"/>
        <w:jc w:val="left"/>
        <w:rPr/>
      </w:pPr>
      <w:r>
        <w:t xml:space="preserve">Bilyaminu, M., Iya, I. B., &amp; Purokayo, S. G. (2017). Analysis of the impact of Boko Haram insurgency on education in Adamawa State, Nigeria. </w:t>
      </w:r>
      <w:r>
        <w:rPr>
          <w:i/>
        </w:rPr>
        <w:t>International Journal of Academic Research and Reflection</w:t>
      </w:r>
      <w:r>
        <w:t xml:space="preserve">, </w:t>
      </w:r>
      <w:r>
        <w:rPr>
          <w:i/>
        </w:rPr>
        <w:t>5</w:t>
      </w:r>
      <w:r>
        <w:t>(6)</w:t>
      </w:r>
      <w:r>
        <w:t>, 45–56</w:t>
      </w:r>
      <w:r>
        <w:t>.</w:t>
      </w:r>
    </w:p>
    <w:p>
      <w:pPr>
        <w:pStyle w:val="style4118"/>
        <w:spacing w:after="60"/>
        <w:jc w:val="left"/>
        <w:rPr/>
      </w:pPr>
      <w:r>
        <w:t xml:space="preserve">Eneasato, O. E., &amp; Jidere, U. J. (2024). Library services to the internally displaced persons (IDPs) in Nigeria between years 2010–2020: Advocacy for inclusion of outreach programs. </w:t>
      </w:r>
      <w:r>
        <w:rPr>
          <w:i/>
        </w:rPr>
        <w:t>International Journal of Information Resource Management</w:t>
      </w:r>
      <w:r>
        <w:t xml:space="preserve">, </w:t>
      </w:r>
      <w:r>
        <w:rPr>
          <w:i/>
        </w:rPr>
        <w:t>1</w:t>
      </w:r>
      <w:r>
        <w:t>(1)</w:t>
      </w:r>
      <w:r>
        <w:t>, 1–14</w:t>
      </w:r>
      <w:r>
        <w:t>.</w:t>
      </w:r>
      <w:r>
        <w:t xml:space="preserve"> https://www.ijirm.com.ng/article.php?id=248</w:t>
      </w:r>
    </w:p>
    <w:p>
      <w:pPr>
        <w:pStyle w:val="style4118"/>
        <w:spacing w:after="60"/>
        <w:jc w:val="left"/>
        <w:rPr/>
      </w:pPr>
      <w:r>
        <w:t xml:space="preserve">Esse, U. C., Fagbohun, M. O., Youngharry, I., Furfuri, I. M. M., Ilo, P. I., &amp; Omeje, M. (2022). Public libraries in danger: An investigation into disaster management readiness among public libraries in North West Nigeria. </w:t>
      </w:r>
      <w:r>
        <w:rPr>
          <w:i/>
        </w:rPr>
        <w:t>Biblios</w:t>
      </w:r>
      <w:r>
        <w:t xml:space="preserve">, </w:t>
      </w:r>
      <w:r>
        <w:rPr>
          <w:i/>
        </w:rPr>
        <w:t>84</w:t>
      </w:r>
      <w:r>
        <w:t>, 13–31</w:t>
      </w:r>
      <w:r>
        <w:t>.</w:t>
      </w:r>
      <w:r>
        <w:t xml:space="preserve"> https://doi.org/10.5195/biblios.2022.1022</w:t>
      </w:r>
    </w:p>
    <w:p>
      <w:pPr>
        <w:pStyle w:val="style4118"/>
        <w:spacing w:after="60"/>
        <w:jc w:val="left"/>
        <w:rPr/>
      </w:pPr>
      <w:r>
        <w:t xml:space="preserve">Garnett, J. (2021). Academic libraries—Changing the approach: Resilience building against disruptive events and the contribution to disaster risk reduction frameworks. </w:t>
      </w:r>
      <w:r>
        <w:rPr>
          <w:i/>
        </w:rPr>
        <w:t>New Review of Academic Librarianship</w:t>
      </w:r>
      <w:r>
        <w:t xml:space="preserve">, </w:t>
      </w:r>
      <w:r>
        <w:rPr>
          <w:i/>
        </w:rPr>
        <w:t>27</w:t>
      </w:r>
      <w:r>
        <w:t>(1)</w:t>
      </w:r>
      <w:r>
        <w:t>, 113–129</w:t>
      </w:r>
      <w:r>
        <w:t>.</w:t>
      </w:r>
      <w:r>
        <w:t xml:space="preserve"> https://doi.org/10.1080/13614533.2019.1703767</w:t>
      </w:r>
    </w:p>
    <w:p>
      <w:pPr>
        <w:pStyle w:val="style4118"/>
        <w:spacing w:after="60"/>
        <w:jc w:val="left"/>
        <w:rPr/>
      </w:pPr>
      <w:r>
        <w:t xml:space="preserve">Ifijeh, G., Idiegbeyan-Ose, J., Iwu-James, J., &amp; Esse, U. (2019). Supporting the fight against terrorism: A proposal for public library services provision for internally displaced persons in North-East Nigeria. </w:t>
      </w:r>
      <w:r>
        <w:rPr>
          <w:i/>
        </w:rPr>
        <w:t>Public Library Quarterly</w:t>
      </w:r>
      <w:r>
        <w:t xml:space="preserve">, </w:t>
      </w:r>
      <w:r>
        <w:rPr>
          <w:i/>
        </w:rPr>
        <w:t>38</w:t>
      </w:r>
      <w:r>
        <w:t>(1)</w:t>
      </w:r>
      <w:r>
        <w:t>, 34–49</w:t>
      </w:r>
      <w:r>
        <w:t>.</w:t>
      </w:r>
      <w:r>
        <w:t xml:space="preserve"> https://doi.org/10.1080/01616846.2018.1513288</w:t>
      </w:r>
    </w:p>
    <w:p>
      <w:pPr>
        <w:pStyle w:val="style4118"/>
        <w:spacing w:after="60"/>
        <w:jc w:val="left"/>
        <w:rPr/>
      </w:pPr>
      <w:r>
        <w:t xml:space="preserve">International Organization for Migration. (2025a). </w:t>
      </w:r>
      <w:r>
        <w:rPr>
          <w:i/>
        </w:rPr>
        <w:t>Nigeria—North-Central and North-West zones site assessment, round 18 (October 2025)</w:t>
      </w:r>
      <w:r>
        <w:t>. https://dtm.iom.int/datasets/nigeria-north-central-and-north-west-zones-site-assessment-round-18</w:t>
      </w:r>
    </w:p>
    <w:p>
      <w:pPr>
        <w:pStyle w:val="style4118"/>
        <w:spacing w:after="60"/>
        <w:jc w:val="left"/>
        <w:rPr/>
      </w:pPr>
      <w:r>
        <w:t xml:space="preserve">International Organization for Migration. (2025b). </w:t>
      </w:r>
      <w:r>
        <w:rPr>
          <w:i/>
        </w:rPr>
        <w:t>Nigeria—North-East displacement report, round 51 (October 2025)</w:t>
      </w:r>
      <w:r>
        <w:t>. https://dtm.iom.int/datasets/nigeria-north-east-displacement-report-round-51-october-2025</w:t>
      </w:r>
    </w:p>
    <w:p>
      <w:pPr>
        <w:pStyle w:val="style4118"/>
        <w:spacing w:after="60"/>
        <w:jc w:val="left"/>
        <w:rPr/>
      </w:pPr>
      <w:r>
        <w:t xml:space="preserve">Lawal, V. (2016). Library services to internally displaced persons (IDPs): Strategies for more proactive approach by public libraries in Nigeria. In </w:t>
      </w:r>
      <w:r>
        <w:rPr>
          <w:i/>
        </w:rPr>
        <w:t>Perspectives on libraries as institutions of human rights and social justice</w:t>
      </w:r>
      <w:r>
        <w:t xml:space="preserve"> (Advances in Librarianship, Vol. 41, pp. 93–117). Emerald Group Publishing. https://doi.org/10.1108/S0065-283020160000041005</w:t>
      </w:r>
    </w:p>
    <w:p>
      <w:pPr>
        <w:pStyle w:val="style4118"/>
        <w:spacing w:after="60"/>
        <w:jc w:val="left"/>
        <w:rPr/>
      </w:pPr>
      <w:r>
        <w:t xml:space="preserve">Makinde, O. B., &amp; Maimako, D. (2026). Availability, awareness and the use of disaster control measures by the staff of federal university libraries in north-east Nigeria. </w:t>
      </w:r>
      <w:r>
        <w:rPr>
          <w:i/>
        </w:rPr>
        <w:t>Journal of Librarianship and Information Science</w:t>
      </w:r>
      <w:r>
        <w:t xml:space="preserve">, </w:t>
      </w:r>
      <w:r>
        <w:rPr>
          <w:i/>
        </w:rPr>
        <w:t>58</w:t>
      </w:r>
      <w:r>
        <w:t>(2)</w:t>
      </w:r>
      <w:r>
        <w:t>, 892–909</w:t>
      </w:r>
      <w:r>
        <w:t>.</w:t>
      </w:r>
      <w:r>
        <w:t xml:space="preserve"> https://doi.org/10.1177/09610006251335024</w:t>
      </w:r>
    </w:p>
    <w:p>
      <w:pPr>
        <w:pStyle w:val="style4118"/>
        <w:spacing w:after="60"/>
        <w:jc w:val="left"/>
        <w:rPr/>
      </w:pPr>
      <w:r>
        <w:t xml:space="preserve">Mngutyo, J., Angbande, D. P., &amp; Gbuushi, J. A. (2020). Engaging the government in library services for sustainable national development: The case of public library and information systems in Nigeria. </w:t>
      </w:r>
      <w:r>
        <w:rPr>
          <w:i/>
        </w:rPr>
        <w:t>International Journal of Research and Innovation in Social Science</w:t>
      </w:r>
      <w:r>
        <w:t xml:space="preserve">, </w:t>
      </w:r>
      <w:r>
        <w:rPr>
          <w:i/>
        </w:rPr>
        <w:t>4</w:t>
      </w:r>
      <w:r>
        <w:t>(9)</w:t>
      </w:r>
      <w:r>
        <w:t>, 70–74</w:t>
      </w:r>
      <w:r>
        <w:t>.</w:t>
      </w:r>
    </w:p>
    <w:p>
      <w:pPr>
        <w:pStyle w:val="style4118"/>
        <w:spacing w:after="60"/>
        <w:jc w:val="left"/>
        <w:rPr/>
      </w:pPr>
      <w:r>
        <w:t xml:space="preserve">Nsirim, O., Ajie, A., &amp; Clement-Abraham, C. (2024). Enhancing national security and combating insurgency in Nigeria: The role of the library. </w:t>
      </w:r>
      <w:r>
        <w:rPr>
          <w:i/>
        </w:rPr>
        <w:t>Southern African Journal of Security</w:t>
      </w:r>
      <w:r>
        <w:t xml:space="preserve">, </w:t>
      </w:r>
      <w:r>
        <w:rPr>
          <w:i/>
        </w:rPr>
        <w:t>2</w:t>
      </w:r>
      <w:r>
        <w:t>(1)</w:t>
      </w:r>
      <w:r>
        <w:t>, 1–16</w:t>
      </w:r>
      <w:r>
        <w:t>.</w:t>
      </w:r>
      <w:r>
        <w:t xml:space="preserve"> https://doi.org/10.25159/3005-4222/15742</w:t>
      </w:r>
    </w:p>
    <w:p>
      <w:pPr>
        <w:pStyle w:val="style4118"/>
        <w:spacing w:after="60"/>
        <w:jc w:val="left"/>
        <w:rPr/>
      </w:pPr>
      <w:r>
        <w:t xml:space="preserve">Nwokedi, G. I., Panle, P. P., &amp; Samuel, N. (2017). Disaster management and preparedness: A case study of University of Jos Library. </w:t>
      </w:r>
      <w:r>
        <w:rPr>
          <w:i/>
        </w:rPr>
        <w:t>Library Philosophy and Practice</w:t>
      </w:r>
      <w:r>
        <w:t>, 1590</w:t>
      </w:r>
      <w:r>
        <w:t>.</w:t>
      </w:r>
      <w:r>
        <w:t xml:space="preserve"> https://scholarworks.sjsu.edu/libphilprac/1590/</w:t>
      </w:r>
    </w:p>
    <w:p>
      <w:pPr>
        <w:pStyle w:val="style4118"/>
        <w:spacing w:after="60"/>
        <w:jc w:val="left"/>
        <w:rPr/>
      </w:pPr>
      <w:r>
        <w:t xml:space="preserve">Ogugua, U. J., &amp; Ikeagwuani, J. A. (2024). Combating terrorism to promote national security in Nigeria: Libraries and information centres to the rescue. </w:t>
      </w:r>
      <w:r>
        <w:rPr>
          <w:i/>
        </w:rPr>
        <w:t>Library Philosophy and Practice</w:t>
      </w:r>
      <w:r>
        <w:t>, 8185</w:t>
      </w:r>
      <w:r>
        <w:t>.</w:t>
      </w:r>
      <w:r>
        <w:t xml:space="preserve"> https://scholarworks.sjsu.edu/libphilprac/8185/</w:t>
      </w:r>
    </w:p>
    <w:p>
      <w:pPr>
        <w:pStyle w:val="style4118"/>
        <w:spacing w:after="60"/>
        <w:jc w:val="left"/>
        <w:rPr/>
      </w:pPr>
      <w:r>
        <w:t xml:space="preserve">Ossai-Ugbah, N. B. (2013). The role of the library and librarians in promoting national security in Nigeria. </w:t>
      </w:r>
      <w:r>
        <w:rPr>
          <w:i/>
        </w:rPr>
        <w:t>Academic Journal of Interdisciplinary Studies</w:t>
      </w:r>
      <w:r>
        <w:t xml:space="preserve">, </w:t>
      </w:r>
      <w:r>
        <w:rPr>
          <w:i/>
        </w:rPr>
        <w:t>2</w:t>
      </w:r>
      <w:r>
        <w:t>(2)</w:t>
      </w:r>
      <w:r>
        <w:t>, 99–104</w:t>
      </w:r>
      <w:r>
        <w:t>.</w:t>
      </w:r>
      <w:r>
        <w:t xml:space="preserve"> https://doi.org/10.5901/ajis.2013.v2n2p99</w:t>
      </w:r>
    </w:p>
    <w:p>
      <w:pPr>
        <w:pStyle w:val="style4118"/>
        <w:spacing w:after="60"/>
        <w:jc w:val="left"/>
        <w:rPr/>
      </w:pPr>
      <w:r>
        <w:t xml:space="preserve">United Nations Development Programme. (1994). </w:t>
      </w:r>
      <w:r>
        <w:rPr>
          <w:i/>
        </w:rPr>
        <w:t>Human development report 1994: New dimensions of human security</w:t>
      </w:r>
      <w:r>
        <w:t>. Oxford University Press. https://hdr.undp.org/content/human-development-report-1994</w:t>
      </w:r>
    </w:p>
    <w:sectPr>
      <w:footerReference w:type="default" r:id="rId3"/>
      <w:pgSz w:w="11909" w:h="16834" w:orient="portrait"/>
      <w:pgMar w:top="1152" w:right="1267" w:bottom="1181" w:left="1325" w:header="461"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0000000000000000000"/>
    <w:charset w:val="02"/>
    <w:family w:val="auto"/>
    <w:pitch w:val="variable"/>
    <w:sig w:usb0="00000000" w:usb1="10000000" w:usb2="00000000" w:usb3="00000000" w:csb0="80000000" w:csb1="00000000"/>
  </w:font>
  <w:font w:name="Times New Roman">
    <w:altName w:val="Times New Roman"/>
    <w:panose1 w:val="02020603050004020304"/>
    <w:charset w:val="00"/>
    <w:family w:val="auto"/>
    <w:pitch w:val="variable"/>
    <w:sig w:usb0="E0002AFF" w:usb1="C0007841" w:usb2="00000009" w:usb3="00000000" w:csb0="000001FF" w:csb1="00000000"/>
  </w:font>
  <w:font w:name="Cambria">
    <w:altName w:val="Cambria"/>
    <w:panose1 w:val="02040503050004030204"/>
    <w:charset w:val="00"/>
    <w:family w:val="auto"/>
    <w:pitch w:val="variable"/>
    <w:sig w:usb0="E00002FF" w:usb1="400004FF" w:usb2="00000000" w:usb3="00000000" w:csb0="0000019F" w:csb1="00000000"/>
  </w:font>
  <w:font w:name="ＭＳ 明朝">
    <w:altName w:val="ＭＳ 明朝"/>
    <w:panose1 w:val="00000000000000000000"/>
    <w:charset w:val="80"/>
    <w:family w:val="roman"/>
    <w:pitch w:val="fixed"/>
    <w:sig w:usb0="00000001" w:usb1="08070000" w:usb2="00000010" w:usb3="00000000" w:csb0="00020000" w:csb1="00000000"/>
  </w:font>
  <w:font w:name="Calibri">
    <w:altName w:val="Calibri"/>
    <w:panose1 w:val="020f0502020002030204"/>
    <w:charset w:val="00"/>
    <w:family w:val="auto"/>
    <w:pitch w:val="variable"/>
    <w:sig w:usb0="E10002FF" w:usb1="4000ACFF" w:usb2="00000009" w:usb3="00000000" w:csb0="0000019F" w:csb1="00000000"/>
  </w:font>
  <w:font w:name="ＭＳ ゴシック">
    <w:altName w:val="ＭＳ ゴシック"/>
    <w:panose1 w:val="00000000000000000000"/>
    <w:charset w:val="80"/>
    <w:family w:val="modern"/>
    <w:pitch w:val="fixed"/>
    <w:sig w:usb0="00000001" w:usb1="08070000" w:usb2="00000010" w:usb3="00000000" w:csb0="00020000" w:csb1="00000000"/>
  </w:font>
  <w:font w:name="Courier">
    <w:altName w:val="Courier"/>
    <w:panose1 w:val="02000500000000000000"/>
    <w:charset w:val="00"/>
    <w:family w:val="auto"/>
    <w:pitch w:val="variable"/>
    <w:sig w:usb0="00000003" w:usb1="00000000" w:usb2="00000000" w:usb3="00000000" w:csb0="00000001" w:csb1="00000000"/>
  </w:font>
  <w:font w:name="Arial">
    <w:altName w:val="Arial"/>
    <w:panose1 w:val="020b0604020002020204"/>
    <w:charset w:val="00"/>
    <w:family w:val="auto"/>
    <w:pitch w:val="variable"/>
    <w:sig w:usb0="E0002AFF" w:usb1="C0007843" w:usb2="00000009" w:usb3="00000000" w:csb0="000001FF" w:csb1="00000000"/>
  </w:font>
</w:fonts>
</file>

<file path=word/footer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2"/>
      <w:spacing w:lineRule="auto" w:line="240"/>
      <w:ind w:firstLine="0"/>
      <w:jc w:val="center"/>
      <w:rPr/>
    </w:pPr>
    <w:r>
      <w:rPr>
        <w:rFonts w:ascii="Times New Roman" w:hAnsi="Times New Roman"/>
        <w:sz w:val="18"/>
      </w:rPr>
      <w:fldChar w:fldCharType="begin"/>
    </w:r>
    <w:r>
      <w:instrText xml:space="preserve"> PAGE </w:instrText>
    </w:r>
    <w:r>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singleLevel"/>
    <w:tmpl w:val="C310EC42"/>
    <w:lvl w:ilvl="0">
      <w:start w:val="1"/>
      <w:numFmt w:val="decimal"/>
      <w:lvlText w:val="%1."/>
      <w:lvlJc w:val="left"/>
      <w:pPr>
        <w:tabs>
          <w:tab w:val="left" w:leader="none" w:pos="1800"/>
        </w:tabs>
        <w:ind w:left="1800" w:hanging="360"/>
      </w:pPr>
    </w:lvl>
  </w:abstractNum>
  <w:abstractNum w:abstractNumId="1">
    <w:nsid w:val="00000001"/>
    <w:multiLevelType w:val="singleLevel"/>
    <w:tmpl w:val="E4089024"/>
    <w:lvl w:ilvl="0">
      <w:start w:val="1"/>
      <w:numFmt w:val="decimal"/>
      <w:lvlText w:val="%1."/>
      <w:lvlJc w:val="left"/>
      <w:pPr>
        <w:tabs>
          <w:tab w:val="left" w:leader="none" w:pos="1440"/>
        </w:tabs>
        <w:ind w:left="1440" w:hanging="360"/>
      </w:pPr>
    </w:lvl>
  </w:abstractNum>
  <w:abstractNum w:abstractNumId="2">
    <w:nsid w:val="00000002"/>
    <w:multiLevelType w:val="singleLevel"/>
    <w:tmpl w:val="FB12693A"/>
    <w:lvl w:ilvl="0">
      <w:start w:val="1"/>
      <w:numFmt w:val="decimal"/>
      <w:pStyle w:val="style59"/>
      <w:lvlText w:val="%1."/>
      <w:lvlJc w:val="left"/>
      <w:pPr>
        <w:tabs>
          <w:tab w:val="left" w:leader="none" w:pos="1080"/>
        </w:tabs>
        <w:ind w:left="1080" w:hanging="360"/>
      </w:pPr>
    </w:lvl>
  </w:abstractNum>
  <w:abstractNum w:abstractNumId="3">
    <w:nsid w:val="00000003"/>
    <w:multiLevelType w:val="singleLevel"/>
    <w:tmpl w:val="38441652"/>
    <w:lvl w:ilvl="0">
      <w:start w:val="1"/>
      <w:numFmt w:val="decimal"/>
      <w:pStyle w:val="style58"/>
      <w:lvlText w:val="%1."/>
      <w:lvlJc w:val="left"/>
      <w:pPr>
        <w:tabs>
          <w:tab w:val="left" w:leader="none" w:pos="720"/>
        </w:tabs>
        <w:ind w:left="720" w:hanging="360"/>
      </w:pPr>
    </w:lvl>
  </w:abstractNum>
  <w:abstractNum w:abstractNumId="4">
    <w:nsid w:val="00000004"/>
    <w:multiLevelType w:val="singleLevel"/>
    <w:tmpl w:val="171AC3A4"/>
    <w:lvl w:ilvl="0">
      <w:start w:val="1"/>
      <w:numFmt w:val="bullet"/>
      <w:lvlText w:val=""/>
      <w:lvlJc w:val="left"/>
      <w:pPr>
        <w:tabs>
          <w:tab w:val="left" w:leader="none" w:pos="1440"/>
        </w:tabs>
        <w:ind w:left="1440" w:hanging="360"/>
      </w:pPr>
      <w:rPr>
        <w:rFonts w:ascii="Symbol" w:hAnsi="Symbol" w:hint="default"/>
      </w:rPr>
    </w:lvl>
  </w:abstractNum>
  <w:abstractNum w:abstractNumId="5">
    <w:nsid w:val="00000005"/>
    <w:multiLevelType w:val="singleLevel"/>
    <w:tmpl w:val="F3EAFDEC"/>
    <w:lvl w:ilvl="0">
      <w:start w:val="1"/>
      <w:numFmt w:val="bullet"/>
      <w:pStyle w:val="style55"/>
      <w:lvlText w:val=""/>
      <w:lvlJc w:val="left"/>
      <w:pPr>
        <w:tabs>
          <w:tab w:val="left" w:leader="none" w:pos="1080"/>
        </w:tabs>
        <w:ind w:left="1080" w:hanging="360"/>
      </w:pPr>
      <w:rPr>
        <w:rFonts w:ascii="Symbol" w:hAnsi="Symbol" w:hint="default"/>
      </w:rPr>
    </w:lvl>
  </w:abstractNum>
  <w:abstractNum w:abstractNumId="6">
    <w:nsid w:val="00000006"/>
    <w:multiLevelType w:val="singleLevel"/>
    <w:tmpl w:val="3D1EFFD4"/>
    <w:lvl w:ilvl="0">
      <w:start w:val="1"/>
      <w:numFmt w:val="bullet"/>
      <w:pStyle w:val="style54"/>
      <w:lvlText w:val=""/>
      <w:lvlJc w:val="left"/>
      <w:pPr>
        <w:tabs>
          <w:tab w:val="left" w:leader="none" w:pos="720"/>
        </w:tabs>
        <w:ind w:left="720" w:hanging="360"/>
      </w:pPr>
      <w:rPr>
        <w:rFonts w:ascii="Symbol" w:hAnsi="Symbol" w:hint="default"/>
      </w:rPr>
    </w:lvl>
  </w:abstractNum>
  <w:abstractNum w:abstractNumId="7">
    <w:nsid w:val="00000007"/>
    <w:multiLevelType w:val="singleLevel"/>
    <w:tmpl w:val="D0A62B40"/>
    <w:lvl w:ilvl="0">
      <w:start w:val="1"/>
      <w:numFmt w:val="decimal"/>
      <w:pStyle w:val="style49"/>
      <w:lvlText w:val="%1."/>
      <w:lvlJc w:val="left"/>
      <w:pPr>
        <w:tabs>
          <w:tab w:val="left" w:leader="none" w:pos="360"/>
        </w:tabs>
        <w:ind w:left="360" w:hanging="360"/>
      </w:pPr>
    </w:lvl>
  </w:abstractNum>
  <w:abstractNum w:abstractNumId="8">
    <w:nsid w:val="00000008"/>
    <w:multiLevelType w:val="singleLevel"/>
    <w:tmpl w:val="29761A62"/>
    <w:lvl w:ilvl="0">
      <w:start w:val="1"/>
      <w:numFmt w:val="bullet"/>
      <w:pStyle w:val="style48"/>
      <w:lvlText w:val=""/>
      <w:lvlJc w:val="left"/>
      <w:pPr>
        <w:tabs>
          <w:tab w:val="left" w:leader="none" w:pos="360"/>
        </w:tabs>
        <w:ind w:left="360" w:hanging="360"/>
      </w:pPr>
      <w:rPr>
        <w:rFonts w:ascii="Symbol" w:hAnsi="Symbol" w:hint="default"/>
      </w:rPr>
    </w:lvl>
  </w:abstractNum>
  <w:num w:numId="1">
    <w:abstractNumId w:val="8"/>
  </w:num>
  <w:num w:numId="2">
    <w:abstractNumId w:val="6"/>
  </w:num>
  <w:num w:numId="3">
    <w:abstractNumId w:val="5"/>
  </w:num>
  <w:num w:numId="4">
    <w:abstractNumId w:val="7"/>
  </w:num>
  <w:num w:numId="5">
    <w:abstractNumId w:val="3"/>
  </w:num>
  <w:num w:numId="6">
    <w:abstractNumId w:val="2"/>
  </w:num>
  <w:num w:numId="7">
    <w:abstractNumId w:val="4"/>
  </w:num>
  <w:num w:numId="8">
    <w:abstractNumId w:val="1"/>
  </w:num>
  <w:num w:numId="9">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val="bestFit"/>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mbria" w:cs="宋体" w:eastAsia="ＭＳ 明朝" w:hAnsi="Cambria"/>
        <w:sz w:val="22"/>
        <w:szCs w:val="22"/>
        <w:lang w:val="en-US" w:bidi="ar-SA" w:eastAsia="en-US"/>
      </w:rPr>
    </w:rPrDefault>
    <w:pPrDefault>
      <w:pPr>
        <w:spacing w:after="200" w:lineRule="auto" w:line="276"/>
      </w:pPr>
    </w:pPrDefault>
  </w:docDefaults>
  <w:style w:type="paragraph" w:default="1" w:styleId="style0">
    <w:name w:val="Normal"/>
    <w:next w:val="style0"/>
    <w:qFormat/>
    <w:pPr>
      <w:spacing w:before="0" w:after="0" w:lineRule="auto" w:line="480"/>
      <w:ind w:firstLine="533"/>
    </w:pPr>
    <w:rPr>
      <w:rFonts w:ascii="Times New Roman" w:hAnsi="Times New Roman"/>
      <w:color w:val="000000"/>
      <w:sz w:val="24"/>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d2a7b3e1-68e0-40a8-9b62-c540085760a5"/>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ef720884-bb06-4f2a-80ab-e1d462e22234"/>
    <w:basedOn w:val="style65"/>
    <w:next w:val="style4098"/>
    <w:link w:val="style32"/>
    <w:uiPriority w:val="99"/>
  </w:style>
  <w:style w:type="paragraph" w:styleId="style1">
    <w:name w:val="heading 1"/>
    <w:basedOn w:val="style0"/>
    <w:next w:val="style0"/>
    <w:link w:val="style4099"/>
    <w:qFormat/>
    <w:uiPriority w:val="9"/>
    <w:pPr>
      <w:keepNext/>
      <w:keepLines/>
      <w:spacing w:before="200" w:after="80" w:lineRule="auto" w:line="240"/>
      <w:ind w:firstLine="0"/>
      <w:outlineLvl w:val="0"/>
    </w:pPr>
    <w:rPr>
      <w:rFonts w:ascii="Calibri" w:cs="宋体" w:eastAsia="ＭＳ ゴシック" w:hAnsi="Calibri"/>
      <w:b/>
      <w:bCs/>
      <w:color w:val="000000"/>
      <w:sz w:val="24"/>
      <w:szCs w:val="28"/>
    </w:rPr>
  </w:style>
  <w:style w:type="paragraph" w:styleId="style2">
    <w:name w:val="heading 2"/>
    <w:basedOn w:val="style0"/>
    <w:next w:val="style0"/>
    <w:link w:val="style4100"/>
    <w:qFormat/>
    <w:uiPriority w:val="9"/>
    <w:pPr>
      <w:keepNext/>
      <w:keepLines/>
      <w:spacing w:before="200" w:after="80" w:lineRule="auto" w:line="240"/>
      <w:ind w:firstLine="0"/>
      <w:outlineLvl w:val="1"/>
    </w:pPr>
    <w:rPr>
      <w:rFonts w:ascii="Calibri" w:cs="宋体" w:eastAsia="ＭＳ ゴシック" w:hAnsi="Calibri"/>
      <w:b/>
      <w:bCs/>
      <w:color w:val="000000"/>
      <w:sz w:val="24"/>
      <w:szCs w:val="26"/>
    </w:rPr>
  </w:style>
  <w:style w:type="paragraph" w:styleId="style3">
    <w:name w:val="heading 3"/>
    <w:basedOn w:val="style0"/>
    <w:next w:val="style0"/>
    <w:link w:val="style4101"/>
    <w:qFormat/>
    <w:uiPriority w:val="9"/>
    <w:pPr>
      <w:keepNext/>
      <w:keepLines/>
      <w:spacing w:before="200" w:after="0"/>
      <w:outlineLvl w:val="2"/>
    </w:pPr>
    <w:rPr>
      <w:rFonts w:ascii="Calibri" w:cs="宋体" w:eastAsia="ＭＳ ゴシック" w:hAnsi="Calibri"/>
      <w:b/>
      <w:bCs/>
      <w:color w:val="4f81bd"/>
    </w:rPr>
  </w:style>
  <w:style w:type="paragraph" w:styleId="style4">
    <w:name w:val="heading 4"/>
    <w:basedOn w:val="style0"/>
    <w:next w:val="style0"/>
    <w:link w:val="style4109"/>
    <w:qFormat/>
    <w:uiPriority w:val="9"/>
    <w:pPr>
      <w:keepNext/>
      <w:keepLines/>
      <w:spacing w:before="200" w:after="0"/>
      <w:outlineLvl w:val="3"/>
    </w:pPr>
    <w:rPr>
      <w:rFonts w:ascii="Calibri" w:cs="宋体" w:eastAsia="ＭＳ ゴシック" w:hAnsi="Calibri"/>
      <w:b/>
      <w:bCs/>
      <w:i/>
      <w:iCs/>
      <w:color w:val="4f81bd"/>
    </w:rPr>
  </w:style>
  <w:style w:type="paragraph" w:styleId="style5">
    <w:name w:val="heading 5"/>
    <w:basedOn w:val="style0"/>
    <w:next w:val="style0"/>
    <w:link w:val="style4110"/>
    <w:qFormat/>
    <w:uiPriority w:val="9"/>
    <w:pPr>
      <w:keepNext/>
      <w:keepLines/>
      <w:spacing w:before="200" w:after="0"/>
      <w:outlineLvl w:val="4"/>
    </w:pPr>
    <w:rPr>
      <w:rFonts w:ascii="Calibri" w:cs="宋体" w:eastAsia="ＭＳ ゴシック" w:hAnsi="Calibri"/>
      <w:color w:val="243f60"/>
    </w:rPr>
  </w:style>
  <w:style w:type="paragraph" w:styleId="style6">
    <w:name w:val="heading 6"/>
    <w:basedOn w:val="style0"/>
    <w:next w:val="style0"/>
    <w:link w:val="style4111"/>
    <w:qFormat/>
    <w:uiPriority w:val="9"/>
    <w:pPr>
      <w:keepNext/>
      <w:keepLines/>
      <w:spacing w:before="200" w:after="0"/>
      <w:outlineLvl w:val="5"/>
    </w:pPr>
    <w:rPr>
      <w:rFonts w:ascii="Calibri" w:cs="宋体" w:eastAsia="ＭＳ ゴシック" w:hAnsi="Calibri"/>
      <w:i/>
      <w:iCs/>
      <w:color w:val="243f60"/>
    </w:rPr>
  </w:style>
  <w:style w:type="paragraph" w:styleId="style7">
    <w:name w:val="heading 7"/>
    <w:basedOn w:val="style0"/>
    <w:next w:val="style0"/>
    <w:link w:val="style4112"/>
    <w:qFormat/>
    <w:uiPriority w:val="9"/>
    <w:pPr>
      <w:keepNext/>
      <w:keepLines/>
      <w:spacing w:before="200" w:after="0"/>
      <w:outlineLvl w:val="6"/>
    </w:pPr>
    <w:rPr>
      <w:rFonts w:ascii="Calibri" w:cs="宋体" w:eastAsia="ＭＳ ゴシック" w:hAnsi="Calibri"/>
      <w:i/>
      <w:iCs/>
      <w:color w:val="404040"/>
    </w:rPr>
  </w:style>
  <w:style w:type="paragraph" w:styleId="style8">
    <w:name w:val="heading 8"/>
    <w:basedOn w:val="style0"/>
    <w:next w:val="style0"/>
    <w:link w:val="style4113"/>
    <w:qFormat/>
    <w:uiPriority w:val="9"/>
    <w:pPr>
      <w:keepNext/>
      <w:keepLines/>
      <w:spacing w:before="200" w:after="0"/>
      <w:outlineLvl w:val="7"/>
    </w:pPr>
    <w:rPr>
      <w:rFonts w:ascii="Calibri" w:cs="宋体" w:eastAsia="ＭＳ ゴシック" w:hAnsi="Calibri"/>
      <w:color w:val="4f81bd"/>
      <w:sz w:val="20"/>
      <w:szCs w:val="20"/>
    </w:rPr>
  </w:style>
  <w:style w:type="paragraph" w:styleId="style9">
    <w:name w:val="heading 9"/>
    <w:basedOn w:val="style0"/>
    <w:next w:val="style0"/>
    <w:link w:val="style4114"/>
    <w:qFormat/>
    <w:uiPriority w:val="9"/>
    <w:pPr>
      <w:keepNext/>
      <w:keepLines/>
      <w:spacing w:before="200" w:after="0"/>
      <w:outlineLvl w:val="8"/>
    </w:pPr>
    <w:rPr>
      <w:rFonts w:ascii="Calibri" w:cs="宋体" w:eastAsia="ＭＳ ゴシック" w:hAnsi="Calibri"/>
      <w:i/>
      <w:iCs/>
      <w:color w:val="404040"/>
      <w:sz w:val="20"/>
      <w:szCs w:val="20"/>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57">
    <w:name w:val="No Spacing"/>
    <w:next w:val="style157"/>
    <w:qFormat/>
    <w:uiPriority w:val="1"/>
    <w:pPr>
      <w:spacing w:after="0" w:lineRule="auto" w:line="240"/>
    </w:pPr>
    <w:rPr/>
  </w:style>
  <w:style w:type="character" w:customStyle="1" w:styleId="style4099">
    <w:name w:val="Heading 1 Char_a0dc111d-82ca-4706-bfab-4ab1cb4adadc"/>
    <w:basedOn w:val="style65"/>
    <w:next w:val="style4099"/>
    <w:link w:val="style1"/>
    <w:uiPriority w:val="9"/>
    <w:rPr>
      <w:rFonts w:ascii="Calibri" w:cs="宋体" w:eastAsia="ＭＳ ゴシック" w:hAnsi="Calibri"/>
      <w:b/>
      <w:bCs/>
      <w:color w:val="365f91"/>
      <w:sz w:val="28"/>
      <w:szCs w:val="28"/>
    </w:rPr>
  </w:style>
  <w:style w:type="character" w:customStyle="1" w:styleId="style4100">
    <w:name w:val="Heading 2 Char_35c28d69-cb81-47cb-a3f9-8b7de7447aa7"/>
    <w:basedOn w:val="style65"/>
    <w:next w:val="style4100"/>
    <w:link w:val="style2"/>
    <w:uiPriority w:val="9"/>
    <w:rPr>
      <w:rFonts w:ascii="Calibri" w:cs="宋体" w:eastAsia="ＭＳ ゴシック" w:hAnsi="Calibri"/>
      <w:b/>
      <w:bCs/>
      <w:color w:val="4f81bd"/>
      <w:sz w:val="26"/>
      <w:szCs w:val="26"/>
    </w:rPr>
  </w:style>
  <w:style w:type="character" w:customStyle="1" w:styleId="style4101">
    <w:name w:val="Heading 3 Char_ebc086dc-f69d-42af-9a77-b7a7d87d5165"/>
    <w:basedOn w:val="style65"/>
    <w:next w:val="style4101"/>
    <w:link w:val="style3"/>
    <w:uiPriority w:val="9"/>
    <w:rPr>
      <w:rFonts w:ascii="Calibri" w:cs="宋体" w:eastAsia="ＭＳ ゴシック" w:hAnsi="Calibri"/>
      <w:b/>
      <w:bCs/>
      <w:color w:val="4f81bd"/>
    </w:rPr>
  </w:style>
  <w:style w:type="paragraph" w:styleId="style62">
    <w:name w:val="Title"/>
    <w:basedOn w:val="style0"/>
    <w:next w:val="style0"/>
    <w:link w:val="style4102"/>
    <w:qFormat/>
    <w:uiPriority w:val="10"/>
    <w:pPr>
      <w:keepNext/>
      <w:pBdr>
        <w:left w:val="nil"/>
        <w:right w:val="nil"/>
        <w:top w:val="nil"/>
        <w:bottom w:val="nil"/>
      </w:pBdr>
      <w:spacing w:before="200" w:after="80" w:lineRule="auto" w:line="240"/>
      <w:ind w:firstLine="0"/>
      <w:contextualSpacing/>
    </w:pPr>
    <w:rPr>
      <w:rFonts w:ascii="Calibri" w:cs="宋体" w:eastAsia="ＭＳ ゴシック" w:hAnsi="Calibri"/>
      <w:b/>
      <w:color w:val="000000"/>
      <w:spacing w:val="5"/>
      <w:kern w:val="28"/>
      <w:sz w:val="28"/>
      <w:szCs w:val="52"/>
    </w:rPr>
  </w:style>
  <w:style w:type="character" w:customStyle="1" w:styleId="style4102">
    <w:name w:val="Title Char_db47a09b-c0f2-4381-a310-afaaea185c60"/>
    <w:basedOn w:val="style65"/>
    <w:next w:val="style4102"/>
    <w:link w:val="style62"/>
    <w:uiPriority w:val="10"/>
    <w:rPr>
      <w:rFonts w:ascii="Calibri" w:cs="宋体" w:eastAsia="ＭＳ ゴシック" w:hAnsi="Calibri"/>
      <w:color w:val="17365d"/>
      <w:spacing w:val="5"/>
      <w:kern w:val="28"/>
      <w:sz w:val="52"/>
      <w:szCs w:val="52"/>
    </w:rPr>
  </w:style>
  <w:style w:type="paragraph" w:styleId="style74">
    <w:name w:val="Subtitle"/>
    <w:basedOn w:val="style0"/>
    <w:next w:val="style0"/>
    <w:link w:val="style4103"/>
    <w:qFormat/>
    <w:uiPriority w:val="11"/>
    <w:pPr>
      <w:numPr>
        <w:ilvl w:val="1"/>
        <w:numId w:val="0"/>
      </w:numPr>
    </w:pPr>
    <w:rPr>
      <w:rFonts w:ascii="Calibri" w:cs="宋体" w:eastAsia="ＭＳ ゴシック" w:hAnsi="Calibri"/>
      <w:i/>
      <w:iCs/>
      <w:color w:val="4f81bd"/>
      <w:spacing w:val="15"/>
      <w:sz w:val="24"/>
      <w:szCs w:val="24"/>
    </w:rPr>
  </w:style>
  <w:style w:type="character" w:customStyle="1" w:styleId="style4103">
    <w:name w:val="Subtitle Char"/>
    <w:basedOn w:val="style65"/>
    <w:next w:val="style4103"/>
    <w:link w:val="style74"/>
    <w:uiPriority w:val="11"/>
    <w:rPr>
      <w:rFonts w:ascii="Calibri" w:cs="宋体" w:eastAsia="ＭＳ ゴシック" w:hAnsi="Calibri"/>
      <w:i/>
      <w:iCs/>
      <w:color w:val="4f81bd"/>
      <w:spacing w:val="15"/>
      <w:sz w:val="24"/>
      <w:szCs w:val="24"/>
    </w:rPr>
  </w:style>
  <w:style w:type="paragraph" w:styleId="style179">
    <w:name w:val="List Paragraph"/>
    <w:basedOn w:val="style0"/>
    <w:next w:val="style179"/>
    <w:qFormat/>
    <w:uiPriority w:val="34"/>
    <w:pPr>
      <w:ind w:left="720"/>
      <w:contextualSpacing/>
    </w:pPr>
    <w:rPr/>
  </w:style>
  <w:style w:type="paragraph" w:styleId="style66">
    <w:name w:val="Body Text"/>
    <w:basedOn w:val="style0"/>
    <w:next w:val="style66"/>
    <w:link w:val="style4104"/>
    <w:uiPriority w:val="99"/>
    <w:pPr>
      <w:spacing w:after="120"/>
    </w:pPr>
    <w:rPr/>
  </w:style>
  <w:style w:type="character" w:customStyle="1" w:styleId="style4104">
    <w:name w:val="Body Text Char"/>
    <w:basedOn w:val="style65"/>
    <w:next w:val="style4104"/>
    <w:link w:val="style66"/>
    <w:uiPriority w:val="99"/>
  </w:style>
  <w:style w:type="paragraph" w:styleId="style80">
    <w:name w:val="Body Text 2"/>
    <w:basedOn w:val="style0"/>
    <w:next w:val="style80"/>
    <w:link w:val="style4105"/>
    <w:uiPriority w:val="99"/>
    <w:pPr>
      <w:spacing w:after="120" w:lineRule="auto" w:line="480"/>
    </w:pPr>
    <w:rPr/>
  </w:style>
  <w:style w:type="character" w:customStyle="1" w:styleId="style4105">
    <w:name w:val="Body Text 2 Char"/>
    <w:basedOn w:val="style65"/>
    <w:next w:val="style4105"/>
    <w:link w:val="style80"/>
    <w:uiPriority w:val="99"/>
  </w:style>
  <w:style w:type="paragraph" w:styleId="style81">
    <w:name w:val="Body Text 3"/>
    <w:basedOn w:val="style0"/>
    <w:next w:val="style81"/>
    <w:link w:val="style4106"/>
    <w:uiPriority w:val="99"/>
    <w:pPr>
      <w:spacing w:after="120"/>
    </w:pPr>
    <w:rPr>
      <w:sz w:val="16"/>
      <w:szCs w:val="16"/>
    </w:rPr>
  </w:style>
  <w:style w:type="character" w:customStyle="1" w:styleId="style4106">
    <w:name w:val="Body Text 3 Char"/>
    <w:basedOn w:val="style65"/>
    <w:next w:val="style4106"/>
    <w:link w:val="style81"/>
    <w:uiPriority w:val="99"/>
    <w:rPr>
      <w:sz w:val="16"/>
      <w:szCs w:val="16"/>
    </w:rPr>
  </w:style>
  <w:style w:type="paragraph" w:styleId="style47">
    <w:name w:val="List"/>
    <w:basedOn w:val="style0"/>
    <w:next w:val="style47"/>
    <w:uiPriority w:val="99"/>
    <w:pPr>
      <w:ind w:left="360" w:hanging="360"/>
      <w:contextualSpacing/>
    </w:pPr>
    <w:rPr/>
  </w:style>
  <w:style w:type="paragraph" w:styleId="style50">
    <w:name w:val="List 2"/>
    <w:basedOn w:val="style0"/>
    <w:next w:val="style50"/>
    <w:uiPriority w:val="99"/>
    <w:pPr>
      <w:ind w:left="720" w:hanging="360"/>
      <w:contextualSpacing/>
    </w:pPr>
    <w:rPr/>
  </w:style>
  <w:style w:type="paragraph" w:styleId="style51">
    <w:name w:val="List 3"/>
    <w:basedOn w:val="style0"/>
    <w:next w:val="style51"/>
    <w:uiPriority w:val="99"/>
    <w:pPr>
      <w:ind w:left="1080" w:hanging="360"/>
      <w:contextualSpacing/>
    </w:pPr>
    <w:rPr/>
  </w:style>
  <w:style w:type="paragraph" w:styleId="style48">
    <w:name w:val="List Bullet"/>
    <w:basedOn w:val="style0"/>
    <w:next w:val="style48"/>
    <w:uiPriority w:val="99"/>
    <w:pPr>
      <w:numPr>
        <w:ilvl w:val="0"/>
        <w:numId w:val="1"/>
      </w:numPr>
      <w:contextualSpacing/>
    </w:pPr>
    <w:rPr/>
  </w:style>
  <w:style w:type="paragraph" w:styleId="style54">
    <w:name w:val="List Bullet 2"/>
    <w:basedOn w:val="style0"/>
    <w:next w:val="style54"/>
    <w:uiPriority w:val="99"/>
    <w:pPr>
      <w:numPr>
        <w:ilvl w:val="0"/>
        <w:numId w:val="2"/>
      </w:numPr>
      <w:contextualSpacing/>
    </w:pPr>
    <w:rPr/>
  </w:style>
  <w:style w:type="paragraph" w:styleId="style55">
    <w:name w:val="List Bullet 3"/>
    <w:basedOn w:val="style0"/>
    <w:next w:val="style55"/>
    <w:uiPriority w:val="99"/>
    <w:pPr>
      <w:numPr>
        <w:ilvl w:val="0"/>
        <w:numId w:val="3"/>
      </w:numPr>
      <w:contextualSpacing/>
    </w:pPr>
    <w:rPr/>
  </w:style>
  <w:style w:type="paragraph" w:styleId="style49">
    <w:name w:val="List Number"/>
    <w:basedOn w:val="style0"/>
    <w:next w:val="style49"/>
    <w:uiPriority w:val="99"/>
    <w:pPr>
      <w:numPr>
        <w:ilvl w:val="0"/>
        <w:numId w:val="4"/>
      </w:numPr>
      <w:contextualSpacing/>
    </w:pPr>
    <w:rPr/>
  </w:style>
  <w:style w:type="paragraph" w:styleId="style58">
    <w:name w:val="List Number 2"/>
    <w:basedOn w:val="style0"/>
    <w:next w:val="style58"/>
    <w:uiPriority w:val="99"/>
    <w:pPr>
      <w:numPr>
        <w:ilvl w:val="0"/>
        <w:numId w:val="5"/>
      </w:numPr>
      <w:contextualSpacing/>
    </w:pPr>
    <w:rPr/>
  </w:style>
  <w:style w:type="paragraph" w:styleId="style59">
    <w:name w:val="List Number 3"/>
    <w:basedOn w:val="style0"/>
    <w:next w:val="style59"/>
    <w:uiPriority w:val="99"/>
    <w:pPr>
      <w:numPr>
        <w:ilvl w:val="0"/>
        <w:numId w:val="6"/>
      </w:numPr>
      <w:contextualSpacing/>
    </w:pPr>
    <w:rPr/>
  </w:style>
  <w:style w:type="paragraph" w:styleId="style68">
    <w:name w:val="List Continue"/>
    <w:basedOn w:val="style0"/>
    <w:next w:val="style68"/>
    <w:uiPriority w:val="99"/>
    <w:pPr>
      <w:spacing w:after="120"/>
      <w:ind w:left="360"/>
      <w:contextualSpacing/>
    </w:pPr>
    <w:rPr/>
  </w:style>
  <w:style w:type="paragraph" w:styleId="style69">
    <w:name w:val="List Continue 2"/>
    <w:basedOn w:val="style0"/>
    <w:next w:val="style69"/>
    <w:uiPriority w:val="99"/>
    <w:pPr>
      <w:spacing w:after="120"/>
      <w:ind w:left="720"/>
      <w:contextualSpacing/>
    </w:pPr>
    <w:rPr/>
  </w:style>
  <w:style w:type="paragraph" w:styleId="style70">
    <w:name w:val="List Continue 3"/>
    <w:basedOn w:val="style0"/>
    <w:next w:val="style70"/>
    <w:uiPriority w:val="99"/>
    <w:pPr>
      <w:spacing w:after="120"/>
      <w:ind w:left="1080"/>
      <w:contextualSpacing/>
    </w:pPr>
    <w:rPr/>
  </w:style>
  <w:style w:type="paragraph" w:styleId="style45">
    <w:name w:val="macro"/>
    <w:next w:val="style45"/>
    <w:link w:val="style4107"/>
    <w:uiPriority w:val="99"/>
    <w:pPr>
      <w:tabs>
        <w:tab w:val="left" w:leader="none" w:pos="576"/>
        <w:tab w:val="left" w:leader="none" w:pos="1152"/>
        <w:tab w:val="left" w:leader="none" w:pos="1728"/>
        <w:tab w:val="left" w:leader="none" w:pos="2304"/>
        <w:tab w:val="left" w:leader="none" w:pos="2880"/>
        <w:tab w:val="left" w:leader="none" w:pos="3456"/>
        <w:tab w:val="left" w:leader="none" w:pos="4032"/>
      </w:tabs>
    </w:pPr>
    <w:rPr>
      <w:rFonts w:ascii="Courier" w:hAnsi="Courier"/>
      <w:sz w:val="20"/>
      <w:szCs w:val="20"/>
    </w:rPr>
  </w:style>
  <w:style w:type="character" w:customStyle="1" w:styleId="style4107">
    <w:name w:val="Macro Text Char"/>
    <w:basedOn w:val="style65"/>
    <w:next w:val="style4107"/>
    <w:link w:val="style45"/>
    <w:uiPriority w:val="99"/>
    <w:rPr>
      <w:rFonts w:ascii="Courier" w:hAnsi="Courier"/>
      <w:sz w:val="20"/>
      <w:szCs w:val="20"/>
    </w:rPr>
  </w:style>
  <w:style w:type="paragraph" w:styleId="style180">
    <w:name w:val="Quote"/>
    <w:basedOn w:val="style0"/>
    <w:next w:val="style0"/>
    <w:link w:val="style4108"/>
    <w:qFormat/>
    <w:uiPriority w:val="29"/>
    <w:pPr/>
    <w:rPr>
      <w:i/>
      <w:iCs/>
      <w:color w:val="000000"/>
    </w:rPr>
  </w:style>
  <w:style w:type="character" w:customStyle="1" w:styleId="style4108">
    <w:name w:val="Quote Char_f00f0957-3c2e-40ec-921c-76eb81e6d78e"/>
    <w:basedOn w:val="style65"/>
    <w:next w:val="style4108"/>
    <w:link w:val="style180"/>
    <w:uiPriority w:val="29"/>
    <w:rPr>
      <w:i/>
      <w:iCs/>
      <w:color w:val="000000"/>
    </w:rPr>
  </w:style>
  <w:style w:type="character" w:customStyle="1" w:styleId="style4109">
    <w:name w:val="Heading 4 Char_9c909bb5-ac9f-485c-94ac-c8e79cbbd0f7"/>
    <w:basedOn w:val="style65"/>
    <w:next w:val="style4109"/>
    <w:link w:val="style4"/>
    <w:uiPriority w:val="9"/>
    <w:rPr>
      <w:rFonts w:ascii="Calibri" w:cs="宋体" w:eastAsia="ＭＳ ゴシック" w:hAnsi="Calibri"/>
      <w:b/>
      <w:bCs/>
      <w:i/>
      <w:iCs/>
      <w:color w:val="4f81bd"/>
    </w:rPr>
  </w:style>
  <w:style w:type="character" w:customStyle="1" w:styleId="style4110">
    <w:name w:val="Heading 5 Char_98e819a8-c1c5-4854-8cc0-0a1bc4e4fb3a"/>
    <w:basedOn w:val="style65"/>
    <w:next w:val="style4110"/>
    <w:link w:val="style5"/>
    <w:uiPriority w:val="9"/>
    <w:rPr>
      <w:rFonts w:ascii="Calibri" w:cs="宋体" w:eastAsia="ＭＳ ゴシック" w:hAnsi="Calibri"/>
      <w:color w:val="243f60"/>
    </w:rPr>
  </w:style>
  <w:style w:type="character" w:customStyle="1" w:styleId="style4111">
    <w:name w:val="Heading 6 Char_579511cd-c643-40b1-aa01-02a02841e572"/>
    <w:basedOn w:val="style65"/>
    <w:next w:val="style4111"/>
    <w:link w:val="style6"/>
    <w:uiPriority w:val="9"/>
    <w:rPr>
      <w:rFonts w:ascii="Calibri" w:cs="宋体" w:eastAsia="ＭＳ ゴシック" w:hAnsi="Calibri"/>
      <w:i/>
      <w:iCs/>
      <w:color w:val="243f60"/>
    </w:rPr>
  </w:style>
  <w:style w:type="character" w:customStyle="1" w:styleId="style4112">
    <w:name w:val="Heading 7 Char_d1153598-55d8-48d0-9b1d-fa7726451dcb"/>
    <w:basedOn w:val="style65"/>
    <w:next w:val="style4112"/>
    <w:link w:val="style7"/>
    <w:uiPriority w:val="9"/>
    <w:rPr>
      <w:rFonts w:ascii="Calibri" w:cs="宋体" w:eastAsia="ＭＳ ゴシック" w:hAnsi="Calibri"/>
      <w:i/>
      <w:iCs/>
      <w:color w:val="404040"/>
    </w:rPr>
  </w:style>
  <w:style w:type="character" w:customStyle="1" w:styleId="style4113">
    <w:name w:val="Heading 8 Char_40e87966-d71e-4367-99a6-cd12451078d0"/>
    <w:basedOn w:val="style65"/>
    <w:next w:val="style4113"/>
    <w:link w:val="style8"/>
    <w:uiPriority w:val="9"/>
    <w:rPr>
      <w:rFonts w:ascii="Calibri" w:cs="宋体" w:eastAsia="ＭＳ ゴシック" w:hAnsi="Calibri"/>
      <w:color w:val="4f81bd"/>
      <w:sz w:val="20"/>
      <w:szCs w:val="20"/>
    </w:rPr>
  </w:style>
  <w:style w:type="character" w:customStyle="1" w:styleId="style4114">
    <w:name w:val="Heading 9 Char_083976f4-70d9-4a67-828f-4ea67e79032d"/>
    <w:basedOn w:val="style65"/>
    <w:next w:val="style4114"/>
    <w:link w:val="style9"/>
    <w:uiPriority w:val="9"/>
    <w:rPr>
      <w:rFonts w:ascii="Calibri" w:cs="宋体" w:eastAsia="ＭＳ ゴシック" w:hAnsi="Calibri"/>
      <w:i/>
      <w:iCs/>
      <w:color w:val="404040"/>
      <w:sz w:val="20"/>
      <w:szCs w:val="20"/>
    </w:rPr>
  </w:style>
  <w:style w:type="paragraph" w:styleId="style34">
    <w:name w:val="caption"/>
    <w:basedOn w:val="style0"/>
    <w:next w:val="style0"/>
    <w:qFormat/>
    <w:uiPriority w:val="35"/>
    <w:pPr>
      <w:spacing w:lineRule="auto" w:line="240"/>
    </w:pPr>
    <w:rPr>
      <w:b/>
      <w:bCs/>
      <w:color w:val="4f81bd"/>
      <w:sz w:val="18"/>
      <w:szCs w:val="18"/>
    </w:rPr>
  </w:style>
  <w:style w:type="character" w:styleId="style87">
    <w:name w:val="Strong"/>
    <w:basedOn w:val="style65"/>
    <w:next w:val="style87"/>
    <w:qFormat/>
    <w:uiPriority w:val="22"/>
    <w:rPr>
      <w:b/>
      <w:bCs/>
    </w:rPr>
  </w:style>
  <w:style w:type="character" w:styleId="style88">
    <w:name w:val="Emphasis"/>
    <w:basedOn w:val="style65"/>
    <w:next w:val="style88"/>
    <w:qFormat/>
    <w:uiPriority w:val="20"/>
    <w:rPr>
      <w:i/>
      <w:iCs/>
    </w:rPr>
  </w:style>
  <w:style w:type="paragraph" w:styleId="style181">
    <w:name w:val="Intense Quote"/>
    <w:basedOn w:val="style0"/>
    <w:next w:val="style0"/>
    <w:link w:val="style4115"/>
    <w:qFormat/>
    <w:uiPriority w:val="30"/>
    <w:pPr>
      <w:pBdr>
        <w:bottom w:val="single" w:sz="4" w:space="4" w:color="4f81bd"/>
      </w:pBdr>
      <w:spacing w:before="200" w:after="280"/>
      <w:ind w:left="936" w:right="936"/>
    </w:pPr>
    <w:rPr>
      <w:b/>
      <w:bCs/>
      <w:i/>
      <w:iCs/>
      <w:color w:val="4f81bd"/>
    </w:rPr>
  </w:style>
  <w:style w:type="character" w:customStyle="1" w:styleId="style4115">
    <w:name w:val="Intense Quote Char_e7de6284-be0a-4d68-8d85-95e346981406"/>
    <w:basedOn w:val="style65"/>
    <w:next w:val="style4115"/>
    <w:link w:val="style181"/>
    <w:uiPriority w:val="30"/>
    <w:rPr>
      <w:b/>
      <w:bCs/>
      <w:i/>
      <w:iCs/>
      <w:color w:val="4f81bd"/>
    </w:rPr>
  </w:style>
  <w:style w:type="character" w:styleId="style260">
    <w:name w:val="Subtle Emphasis"/>
    <w:basedOn w:val="style65"/>
    <w:next w:val="style260"/>
    <w:qFormat/>
    <w:uiPriority w:val="19"/>
    <w:rPr>
      <w:i/>
      <w:iCs/>
      <w:color w:val="808080"/>
    </w:rPr>
  </w:style>
  <w:style w:type="character" w:styleId="style261">
    <w:name w:val="Intense Emphasis"/>
    <w:basedOn w:val="style65"/>
    <w:next w:val="style261"/>
    <w:qFormat/>
    <w:uiPriority w:val="21"/>
    <w:rPr>
      <w:b/>
      <w:bCs/>
      <w:i/>
      <w:iCs/>
      <w:color w:val="4f81bd"/>
    </w:rPr>
  </w:style>
  <w:style w:type="character" w:styleId="style262">
    <w:name w:val="Subtle Reference"/>
    <w:basedOn w:val="style65"/>
    <w:next w:val="style262"/>
    <w:qFormat/>
    <w:uiPriority w:val="31"/>
    <w:rPr>
      <w:smallCaps/>
      <w:color w:val="c0504d"/>
      <w:u w:val="single"/>
    </w:rPr>
  </w:style>
  <w:style w:type="character" w:styleId="style263">
    <w:name w:val="Intense Reference"/>
    <w:basedOn w:val="style65"/>
    <w:next w:val="style263"/>
    <w:qFormat/>
    <w:uiPriority w:val="32"/>
    <w:rPr>
      <w:b/>
      <w:bCs/>
      <w:smallCaps/>
      <w:color w:val="c0504d"/>
      <w:spacing w:val="5"/>
      <w:u w:val="single"/>
    </w:rPr>
  </w:style>
  <w:style w:type="character" w:styleId="style264">
    <w:name w:val="Book Title"/>
    <w:basedOn w:val="style65"/>
    <w:next w:val="style264"/>
    <w:qFormat/>
    <w:uiPriority w:val="33"/>
    <w:rPr>
      <w:b/>
      <w:bCs/>
      <w:smallCaps/>
      <w:spacing w:val="5"/>
    </w:rPr>
  </w:style>
  <w:style w:type="paragraph" w:styleId="style266">
    <w:name w:val="TOC Heading"/>
    <w:basedOn w:val="style1"/>
    <w:next w:val="style0"/>
    <w:qFormat/>
    <w:uiPriority w:val="39"/>
    <w:pPr>
      <w:outlineLvl w:val="9"/>
    </w:pPr>
    <w:rPr/>
  </w:style>
  <w:style w:type="table" w:styleId="style154">
    <w:name w:val="Table Grid"/>
    <w:basedOn w:val="style105"/>
    <w:next w:val="style154"/>
    <w:uiPriority w:val="59"/>
    <w:pPr>
      <w:spacing w:after="0" w:lineRule="auto" w:line="240"/>
    </w:pP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 w:type="table" w:styleId="style158">
    <w:name w:val="Light Shading"/>
    <w:basedOn w:val="style105"/>
    <w:next w:val="style158"/>
    <w:uiPriority w:val="60"/>
    <w:pPr>
      <w:spacing w:after="0" w:lineRule="auto" w:line="240"/>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Rule="auto" w:line="240"/>
      </w:pPr>
      <w:rPr>
        <w:b/>
        <w:bCs/>
      </w:rPr>
      <w:tblPr/>
      <w:tcPr>
        <w:tcBorders>
          <w:top w:val="single" w:sz="8" w:space="0" w:color="000000"/>
          <w:left w:val="nil"/>
          <w:bottom w:val="single" w:sz="8" w:space="0" w:color="000000"/>
          <w:right w:val="nil"/>
          <w:insideH w:val="nil"/>
          <w:insideV w:val="nil"/>
        </w:tcBorders>
      </w:tcPr>
    </w:tblStylePr>
    <w:tblStylePr w:type="band1Horz">
      <w:pPr/>
      <w:tblPr/>
      <w:tcPr>
        <w:tcBorders>
          <w:left w:val="nil"/>
          <w:right w:val="nil"/>
          <w:insideH w:val="nil"/>
          <w:insideV w:val="nil"/>
        </w:tcBorders>
        <w:shd w:val="clear" w:color="auto" w:fill="c0c0c0"/>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c0c0c0"/>
      </w:tcPr>
    </w:tblStylePr>
    <w:tcPr>
      <w:tcBorders/>
    </w:tcPr>
  </w:style>
  <w:style w:type="table" w:styleId="style172">
    <w:name w:val="Light Shading Accent 1"/>
    <w:basedOn w:val="style105"/>
    <w:next w:val="style172"/>
    <w:uiPriority w:val="60"/>
    <w:pPr>
      <w:spacing w:after="0" w:lineRule="auto" w:line="240"/>
    </w:pPr>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Rule="auto" w:line="240"/>
      </w:pPr>
      <w:rPr>
        <w:b/>
        <w:bCs/>
      </w:rPr>
      <w:tblPr/>
      <w:tcPr>
        <w:tcBorders>
          <w:top w:val="single" w:sz="8" w:space="0" w:color="4f81bd"/>
          <w:left w:val="nil"/>
          <w:bottom w:val="single" w:sz="8" w:space="0" w:color="4f81bd"/>
          <w:right w:val="nil"/>
          <w:insideH w:val="nil"/>
          <w:insideV w:val="nil"/>
        </w:tcBorders>
      </w:tcPr>
    </w:tblStylePr>
    <w:tblStylePr w:type="band1Horz">
      <w:pPr/>
      <w:tblPr/>
      <w:tcPr>
        <w:tcBorders>
          <w:left w:val="nil"/>
          <w:right w:val="nil"/>
          <w:insideH w:val="nil"/>
          <w:insideV w:val="nil"/>
        </w:tcBorders>
        <w:shd w:val="clear" w:color="auto" w:fill="d3dfee"/>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d3dfee"/>
      </w:tcPr>
    </w:tblStylePr>
    <w:tcPr>
      <w:tcBorders/>
    </w:tcPr>
  </w:style>
  <w:style w:type="table" w:styleId="style190">
    <w:name w:val="Light Shading Accent 2"/>
    <w:basedOn w:val="style105"/>
    <w:next w:val="style190"/>
    <w:uiPriority w:val="60"/>
    <w:pPr>
      <w:spacing w:after="0" w:lineRule="auto" w:line="240"/>
    </w:pPr>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Rule="auto" w:line="240"/>
      </w:pPr>
      <w:rPr>
        <w:b/>
        <w:bCs/>
      </w:rPr>
      <w:tblPr/>
      <w:tcPr>
        <w:tcBorders>
          <w:top w:val="single" w:sz="8" w:space="0" w:color="c0504d"/>
          <w:left w:val="nil"/>
          <w:bottom w:val="single" w:sz="8" w:space="0" w:color="c0504d"/>
          <w:right w:val="nil"/>
          <w:insideH w:val="nil"/>
          <w:insideV w:val="nil"/>
        </w:tcBorders>
      </w:tcPr>
    </w:tblStylePr>
    <w:tblStylePr w:type="band1Horz">
      <w:pPr/>
      <w:tblPr/>
      <w:tcPr>
        <w:tcBorders>
          <w:left w:val="nil"/>
          <w:right w:val="nil"/>
          <w:insideH w:val="nil"/>
          <w:insideV w:val="nil"/>
        </w:tcBorders>
        <w:shd w:val="clear" w:color="auto" w:fill="efd3d2"/>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efd3d2"/>
      </w:tcPr>
    </w:tblStylePr>
    <w:tcPr>
      <w:tcBorders/>
    </w:tcPr>
  </w:style>
  <w:style w:type="table" w:styleId="style204">
    <w:name w:val="Light Shading Accent 3"/>
    <w:basedOn w:val="style105"/>
    <w:next w:val="style204"/>
    <w:uiPriority w:val="60"/>
    <w:pPr>
      <w:spacing w:after="0" w:lineRule="auto" w:line="240"/>
    </w:pPr>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Rule="auto" w:line="240"/>
      </w:pPr>
      <w:rPr>
        <w:b/>
        <w:bCs/>
      </w:rPr>
      <w:tblPr/>
      <w:tcPr>
        <w:tcBorders>
          <w:top w:val="single" w:sz="8" w:space="0" w:color="9bbb59"/>
          <w:left w:val="nil"/>
          <w:bottom w:val="single" w:sz="8" w:space="0" w:color="9bbb59"/>
          <w:right w:val="nil"/>
          <w:insideH w:val="nil"/>
          <w:insideV w:val="nil"/>
        </w:tcBorders>
      </w:tcPr>
    </w:tblStylePr>
    <w:tblStylePr w:type="band1Horz">
      <w:pPr/>
      <w:tblPr/>
      <w:tcPr>
        <w:tcBorders>
          <w:left w:val="nil"/>
          <w:right w:val="nil"/>
          <w:insideH w:val="nil"/>
          <w:insideV w:val="nil"/>
        </w:tcBorders>
        <w:shd w:val="clear" w:color="auto" w:fill="e6eed5"/>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e6eed5"/>
      </w:tcPr>
    </w:tblStylePr>
    <w:tcPr>
      <w:tcBorders/>
    </w:tcPr>
  </w:style>
  <w:style w:type="table" w:styleId="style218">
    <w:name w:val="Light Shading Accent 4"/>
    <w:basedOn w:val="style105"/>
    <w:next w:val="style218"/>
    <w:uiPriority w:val="60"/>
    <w:pPr>
      <w:spacing w:after="0" w:lineRule="auto" w:line="240"/>
    </w:pPr>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Rule="auto" w:line="240"/>
      </w:pPr>
      <w:rPr>
        <w:b/>
        <w:bCs/>
      </w:rPr>
      <w:tblPr/>
      <w:tcPr>
        <w:tcBorders>
          <w:top w:val="single" w:sz="8" w:space="0" w:color="8064a2"/>
          <w:left w:val="nil"/>
          <w:bottom w:val="single" w:sz="8" w:space="0" w:color="8064a2"/>
          <w:right w:val="nil"/>
          <w:insideH w:val="nil"/>
          <w:insideV w:val="nil"/>
        </w:tcBorders>
      </w:tcPr>
    </w:tblStylePr>
    <w:tblStylePr w:type="band1Horz">
      <w:pPr/>
      <w:tblPr/>
      <w:tcPr>
        <w:tcBorders>
          <w:left w:val="nil"/>
          <w:right w:val="nil"/>
          <w:insideH w:val="nil"/>
          <w:insideV w:val="nil"/>
        </w:tcBorders>
        <w:shd w:val="clear" w:color="auto" w:fill="dfd8e8"/>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dfd8e8"/>
      </w:tcPr>
    </w:tblStylePr>
    <w:tcPr>
      <w:tcBorders/>
    </w:tcPr>
  </w:style>
  <w:style w:type="table" w:styleId="style232">
    <w:name w:val="Light Shading Accent 5"/>
    <w:basedOn w:val="style105"/>
    <w:next w:val="style232"/>
    <w:uiPriority w:val="60"/>
    <w:pPr>
      <w:spacing w:after="0" w:lineRule="auto" w:line="240"/>
    </w:pPr>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Rule="auto" w:line="240"/>
      </w:pPr>
      <w:rPr>
        <w:b/>
        <w:bCs/>
      </w:rPr>
      <w:tblPr/>
      <w:tcPr>
        <w:tcBorders>
          <w:top w:val="single" w:sz="8" w:space="0" w:color="4bacc6"/>
          <w:left w:val="nil"/>
          <w:bottom w:val="single" w:sz="8" w:space="0" w:color="4bacc6"/>
          <w:right w:val="nil"/>
          <w:insideH w:val="nil"/>
          <w:insideV w:val="nil"/>
        </w:tcBorders>
      </w:tcPr>
    </w:tblStylePr>
    <w:tblStylePr w:type="band1Horz">
      <w:pPr/>
      <w:tblPr/>
      <w:tcPr>
        <w:tcBorders>
          <w:left w:val="nil"/>
          <w:right w:val="nil"/>
          <w:insideH w:val="nil"/>
          <w:insideV w:val="nil"/>
        </w:tcBorders>
        <w:shd w:val="clear" w:color="auto" w:fill="d2eaf1"/>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d2eaf1"/>
      </w:tcPr>
    </w:tblStylePr>
    <w:tcPr>
      <w:tcBorders/>
    </w:tcPr>
  </w:style>
  <w:style w:type="table" w:styleId="style246">
    <w:name w:val="Light Shading Accent 6"/>
    <w:basedOn w:val="style105"/>
    <w:next w:val="style246"/>
    <w:uiPriority w:val="60"/>
    <w:pPr>
      <w:spacing w:after="0" w:lineRule="auto" w:line="240"/>
    </w:pPr>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Rule="auto" w:line="240"/>
      </w:pPr>
      <w:rPr>
        <w:b/>
        <w:bCs/>
      </w:rPr>
      <w:tblPr/>
      <w:tcPr>
        <w:tcBorders>
          <w:top w:val="single" w:sz="8" w:space="0" w:color="f79646"/>
          <w:left w:val="nil"/>
          <w:bottom w:val="single" w:sz="8" w:space="0" w:color="f79646"/>
          <w:right w:val="nil"/>
          <w:insideH w:val="nil"/>
          <w:insideV w:val="nil"/>
        </w:tcBorders>
      </w:tcPr>
    </w:tblStylePr>
    <w:tblStylePr w:type="band1Horz">
      <w:pPr/>
      <w:tblPr/>
      <w:tcPr>
        <w:tcBorders>
          <w:left w:val="nil"/>
          <w:right w:val="nil"/>
          <w:insideH w:val="nil"/>
          <w:insideV w:val="nil"/>
        </w:tcBorders>
        <w:shd w:val="clear" w:color="auto" w:fill="fde4d0"/>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fde4d0"/>
      </w:tcPr>
    </w:tblStylePr>
    <w:tcPr>
      <w:tcBorders/>
    </w:tcPr>
  </w:style>
  <w:style w:type="table" w:styleId="style159">
    <w:name w:val="Light List"/>
    <w:basedOn w:val="style105"/>
    <w:next w:val="style159"/>
    <w:uiPriority w:val="61"/>
    <w:pPr>
      <w:spacing w:after="0" w:lineRule="auto" w:line="240"/>
    </w:pPr>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000000"/>
      </w:tcPr>
    </w:tblStylePr>
    <w:tblStylePr w:type="lastRow">
      <w:pPr>
        <w:spacing w:before="0" w:after="0" w:lineRule="auto" w:line="240"/>
      </w:pPr>
      <w:rPr>
        <w:b/>
        <w:bCs/>
      </w:rPr>
      <w:tblPr/>
      <w:tcPr>
        <w:tcBorders>
          <w:top w:val="double" w:sz="6" w:space="0" w:color="000000"/>
          <w:left w:val="single" w:sz="8" w:space="0" w:color="000000"/>
          <w:bottom w:val="single" w:sz="8" w:space="0" w:color="000000"/>
          <w:right w:val="single" w:sz="8" w:space="0" w:color="000000"/>
        </w:tcBorders>
      </w:tcPr>
    </w:tblStylePr>
    <w:tblStylePr w:type="band1Horz">
      <w:pPr/>
      <w:tblPr/>
      <w:tcPr>
        <w:tcBorders>
          <w:top w:val="single" w:sz="8" w:space="0" w:color="000000"/>
          <w:left w:val="single" w:sz="8" w:space="0" w:color="000000"/>
          <w:bottom w:val="single" w:sz="8" w:space="0" w:color="000000"/>
          <w:right w:val="single" w:sz="8" w:space="0" w:color="000000"/>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000000"/>
          <w:left w:val="single" w:sz="8" w:space="0" w:color="000000"/>
          <w:bottom w:val="single" w:sz="8" w:space="0" w:color="000000"/>
          <w:right w:val="single" w:sz="8" w:space="0" w:color="000000"/>
        </w:tcBorders>
      </w:tcPr>
    </w:tblStylePr>
    <w:tcPr>
      <w:tcBorders/>
    </w:tcPr>
  </w:style>
  <w:style w:type="table" w:styleId="style173">
    <w:name w:val="Light List Accent 1"/>
    <w:basedOn w:val="style105"/>
    <w:next w:val="style173"/>
    <w:uiPriority w:val="61"/>
    <w:pPr>
      <w:spacing w:after="0" w:lineRule="auto" w:line="240"/>
    </w:pPr>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4f81bd"/>
      </w:tcPr>
    </w:tblStylePr>
    <w:tblStylePr w:type="lastRow">
      <w:pPr>
        <w:spacing w:before="0" w:after="0" w:lineRule="auto" w:line="240"/>
      </w:pPr>
      <w:rPr>
        <w:b/>
        <w:bCs/>
      </w:rPr>
      <w:tblPr/>
      <w:tcPr>
        <w:tcBorders>
          <w:top w:val="double" w:sz="6" w:space="0" w:color="4f81bd"/>
          <w:left w:val="single" w:sz="8" w:space="0" w:color="4f81bd"/>
          <w:bottom w:val="single" w:sz="8" w:space="0" w:color="4f81bd"/>
          <w:right w:val="single" w:sz="8" w:space="0" w:color="4f81bd"/>
        </w:tcBorders>
      </w:tcPr>
    </w:tblStylePr>
    <w:tblStylePr w:type="band1Horz">
      <w:pPr/>
      <w:tblPr/>
      <w:tcPr>
        <w:tcBorders>
          <w:top w:val="single" w:sz="8" w:space="0" w:color="4f81bd"/>
          <w:left w:val="single" w:sz="8" w:space="0" w:color="4f81bd"/>
          <w:bottom w:val="single" w:sz="8" w:space="0" w:color="4f81bd"/>
          <w:right w:val="single" w:sz="8" w:space="0" w:color="4f81bd"/>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4f81bd"/>
          <w:left w:val="single" w:sz="8" w:space="0" w:color="4f81bd"/>
          <w:bottom w:val="single" w:sz="8" w:space="0" w:color="4f81bd"/>
          <w:right w:val="single" w:sz="8" w:space="0" w:color="4f81bd"/>
        </w:tcBorders>
      </w:tcPr>
    </w:tblStylePr>
    <w:tcPr>
      <w:tcBorders/>
    </w:tcPr>
  </w:style>
  <w:style w:type="table" w:styleId="style191">
    <w:name w:val="Light List Accent 2"/>
    <w:basedOn w:val="style105"/>
    <w:next w:val="style191"/>
    <w:uiPriority w:val="61"/>
    <w:pPr>
      <w:spacing w:after="0" w:lineRule="auto" w:line="240"/>
    </w:pPr>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c0504d"/>
      </w:tcPr>
    </w:tblStylePr>
    <w:tblStylePr w:type="lastRow">
      <w:pPr>
        <w:spacing w:before="0" w:after="0" w:lineRule="auto" w:line="240"/>
      </w:pPr>
      <w:rPr>
        <w:b/>
        <w:bCs/>
      </w:rPr>
      <w:tblPr/>
      <w:tcPr>
        <w:tcBorders>
          <w:top w:val="double" w:sz="6" w:space="0" w:color="c0504d"/>
          <w:left w:val="single" w:sz="8" w:space="0" w:color="c0504d"/>
          <w:bottom w:val="single" w:sz="8" w:space="0" w:color="c0504d"/>
          <w:right w:val="single" w:sz="8" w:space="0" w:color="c0504d"/>
        </w:tcBorders>
      </w:tcPr>
    </w:tblStylePr>
    <w:tblStylePr w:type="band1Horz">
      <w:pPr/>
      <w:tblPr/>
      <w:tcPr>
        <w:tcBorders>
          <w:top w:val="single" w:sz="8" w:space="0" w:color="c0504d"/>
          <w:left w:val="single" w:sz="8" w:space="0" w:color="c0504d"/>
          <w:bottom w:val="single" w:sz="8" w:space="0" w:color="c0504d"/>
          <w:right w:val="single" w:sz="8" w:space="0" w:color="c0504d"/>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c0504d"/>
          <w:left w:val="single" w:sz="8" w:space="0" w:color="c0504d"/>
          <w:bottom w:val="single" w:sz="8" w:space="0" w:color="c0504d"/>
          <w:right w:val="single" w:sz="8" w:space="0" w:color="c0504d"/>
        </w:tcBorders>
      </w:tcPr>
    </w:tblStylePr>
    <w:tcPr>
      <w:tcBorders/>
    </w:tcPr>
  </w:style>
  <w:style w:type="table" w:styleId="style205">
    <w:name w:val="Light List Accent 3"/>
    <w:basedOn w:val="style105"/>
    <w:next w:val="style205"/>
    <w:uiPriority w:val="61"/>
    <w:pPr>
      <w:spacing w:after="0" w:lineRule="auto" w:line="240"/>
    </w:pPr>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9bbb59"/>
      </w:tcPr>
    </w:tblStylePr>
    <w:tblStylePr w:type="lastRow">
      <w:pPr>
        <w:spacing w:before="0" w:after="0" w:lineRule="auto" w:line="240"/>
      </w:pPr>
      <w:rPr>
        <w:b/>
        <w:bCs/>
      </w:rPr>
      <w:tblPr/>
      <w:tcPr>
        <w:tcBorders>
          <w:top w:val="double" w:sz="6" w:space="0" w:color="9bbb59"/>
          <w:left w:val="single" w:sz="8" w:space="0" w:color="9bbb59"/>
          <w:bottom w:val="single" w:sz="8" w:space="0" w:color="9bbb59"/>
          <w:right w:val="single" w:sz="8" w:space="0" w:color="9bbb59"/>
        </w:tcBorders>
      </w:tcPr>
    </w:tblStylePr>
    <w:tblStylePr w:type="band1Horz">
      <w:pPr/>
      <w:tblPr/>
      <w:tcPr>
        <w:tcBorders>
          <w:top w:val="single" w:sz="8" w:space="0" w:color="9bbb59"/>
          <w:left w:val="single" w:sz="8" w:space="0" w:color="9bbb59"/>
          <w:bottom w:val="single" w:sz="8" w:space="0" w:color="9bbb59"/>
          <w:right w:val="single" w:sz="8" w:space="0" w:color="9bbb59"/>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9bbb59"/>
          <w:left w:val="single" w:sz="8" w:space="0" w:color="9bbb59"/>
          <w:bottom w:val="single" w:sz="8" w:space="0" w:color="9bbb59"/>
          <w:right w:val="single" w:sz="8" w:space="0" w:color="9bbb59"/>
        </w:tcBorders>
      </w:tcPr>
    </w:tblStylePr>
    <w:tcPr>
      <w:tcBorders/>
    </w:tcPr>
  </w:style>
  <w:style w:type="table" w:styleId="style219">
    <w:name w:val="Light List Accent 4"/>
    <w:basedOn w:val="style105"/>
    <w:next w:val="style219"/>
    <w:uiPriority w:val="61"/>
    <w:pPr>
      <w:spacing w:after="0" w:lineRule="auto" w:line="240"/>
    </w:pPr>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8064a2"/>
      </w:tcPr>
    </w:tblStylePr>
    <w:tblStylePr w:type="lastRow">
      <w:pPr>
        <w:spacing w:before="0" w:after="0" w:lineRule="auto" w:line="240"/>
      </w:pPr>
      <w:rPr>
        <w:b/>
        <w:bCs/>
      </w:rPr>
      <w:tblPr/>
      <w:tcPr>
        <w:tcBorders>
          <w:top w:val="double" w:sz="6" w:space="0" w:color="8064a2"/>
          <w:left w:val="single" w:sz="8" w:space="0" w:color="8064a2"/>
          <w:bottom w:val="single" w:sz="8" w:space="0" w:color="8064a2"/>
          <w:right w:val="single" w:sz="8" w:space="0" w:color="8064a2"/>
        </w:tcBorders>
      </w:tcPr>
    </w:tblStylePr>
    <w:tblStylePr w:type="band1Horz">
      <w:pPr/>
      <w:tblPr/>
      <w:tcPr>
        <w:tcBorders>
          <w:top w:val="single" w:sz="8" w:space="0" w:color="8064a2"/>
          <w:left w:val="single" w:sz="8" w:space="0" w:color="8064a2"/>
          <w:bottom w:val="single" w:sz="8" w:space="0" w:color="8064a2"/>
          <w:right w:val="single" w:sz="8" w:space="0" w:color="8064a2"/>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8064a2"/>
          <w:left w:val="single" w:sz="8" w:space="0" w:color="8064a2"/>
          <w:bottom w:val="single" w:sz="8" w:space="0" w:color="8064a2"/>
          <w:right w:val="single" w:sz="8" w:space="0" w:color="8064a2"/>
        </w:tcBorders>
      </w:tcPr>
    </w:tblStylePr>
    <w:tcPr>
      <w:tcBorders/>
    </w:tcPr>
  </w:style>
  <w:style w:type="table" w:styleId="style233">
    <w:name w:val="Light List Accent 5"/>
    <w:basedOn w:val="style105"/>
    <w:next w:val="style233"/>
    <w:uiPriority w:val="61"/>
    <w:pPr>
      <w:spacing w:after="0" w:lineRule="auto" w:line="240"/>
    </w:pPr>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4bacc6"/>
      </w:tcPr>
    </w:tblStylePr>
    <w:tblStylePr w:type="lastRow">
      <w:pPr>
        <w:spacing w:before="0" w:after="0" w:lineRule="auto" w:line="240"/>
      </w:pPr>
      <w:rPr>
        <w:b/>
        <w:bCs/>
      </w:rPr>
      <w:tblPr/>
      <w:tcPr>
        <w:tcBorders>
          <w:top w:val="double" w:sz="6" w:space="0" w:color="4bacc6"/>
          <w:left w:val="single" w:sz="8" w:space="0" w:color="4bacc6"/>
          <w:bottom w:val="single" w:sz="8" w:space="0" w:color="4bacc6"/>
          <w:right w:val="single" w:sz="8" w:space="0" w:color="4bacc6"/>
        </w:tcBorders>
      </w:tcPr>
    </w:tblStylePr>
    <w:tblStylePr w:type="band1Horz">
      <w:pPr/>
      <w:tblPr/>
      <w:tcPr>
        <w:tcBorders>
          <w:top w:val="single" w:sz="8" w:space="0" w:color="4bacc6"/>
          <w:left w:val="single" w:sz="8" w:space="0" w:color="4bacc6"/>
          <w:bottom w:val="single" w:sz="8" w:space="0" w:color="4bacc6"/>
          <w:right w:val="single" w:sz="8" w:space="0" w:color="4bacc6"/>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4bacc6"/>
          <w:left w:val="single" w:sz="8" w:space="0" w:color="4bacc6"/>
          <w:bottom w:val="single" w:sz="8" w:space="0" w:color="4bacc6"/>
          <w:right w:val="single" w:sz="8" w:space="0" w:color="4bacc6"/>
        </w:tcBorders>
      </w:tcPr>
    </w:tblStylePr>
    <w:tcPr>
      <w:tcBorders/>
    </w:tcPr>
  </w:style>
  <w:style w:type="table" w:styleId="style247">
    <w:name w:val="Light List Accent 6"/>
    <w:basedOn w:val="style105"/>
    <w:next w:val="style247"/>
    <w:uiPriority w:val="61"/>
    <w:pPr>
      <w:spacing w:after="0" w:lineRule="auto" w:line="240"/>
    </w:pPr>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f79646"/>
      </w:tcPr>
    </w:tblStylePr>
    <w:tblStylePr w:type="lastRow">
      <w:pPr>
        <w:spacing w:before="0" w:after="0" w:lineRule="auto" w:line="240"/>
      </w:pPr>
      <w:rPr>
        <w:b/>
        <w:bCs/>
      </w:rPr>
      <w:tblPr/>
      <w:tcPr>
        <w:tcBorders>
          <w:top w:val="double" w:sz="6" w:space="0" w:color="f79646"/>
          <w:left w:val="single" w:sz="8" w:space="0" w:color="f79646"/>
          <w:bottom w:val="single" w:sz="8" w:space="0" w:color="f79646"/>
          <w:right w:val="single" w:sz="8" w:space="0" w:color="f79646"/>
        </w:tcBorders>
      </w:tcPr>
    </w:tblStylePr>
    <w:tblStylePr w:type="band1Horz">
      <w:pPr/>
      <w:tblPr/>
      <w:tcPr>
        <w:tcBorders>
          <w:top w:val="single" w:sz="8" w:space="0" w:color="f79646"/>
          <w:left w:val="single" w:sz="8" w:space="0" w:color="f79646"/>
          <w:bottom w:val="single" w:sz="8" w:space="0" w:color="f79646"/>
          <w:right w:val="single" w:sz="8" w:space="0" w:color="f79646"/>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f79646"/>
          <w:left w:val="single" w:sz="8" w:space="0" w:color="f79646"/>
          <w:bottom w:val="single" w:sz="8" w:space="0" w:color="f79646"/>
          <w:right w:val="single" w:sz="8" w:space="0" w:color="f79646"/>
        </w:tcBorders>
      </w:tcPr>
    </w:tblStylePr>
    <w:tcPr>
      <w:tcBorders/>
    </w:tcPr>
  </w:style>
  <w:style w:type="table" w:styleId="style160">
    <w:name w:val="Light Grid"/>
    <w:basedOn w:val="style105"/>
    <w:next w:val="style160"/>
    <w:uiPriority w:val="62"/>
    <w:pPr>
      <w:spacing w:after="0" w:lineRule="auto" w:line="240"/>
    </w:pPr>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Rule="auto" w:line="240"/>
      </w:pPr>
      <w:rPr>
        <w:rFonts w:ascii="Calibri" w:cs="宋体" w:eastAsia="ＭＳ ゴシック" w:hAnsi="Calibri"/>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band1Horz">
      <w:p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pPr/>
      <w:tblPr/>
      <w:tcPr>
        <w:tcBorders>
          <w:top w:val="single" w:sz="8" w:space="0" w:color="000000"/>
          <w:left w:val="single" w:sz="8" w:space="0" w:color="000000"/>
          <w:bottom w:val="single" w:sz="8" w:space="0" w:color="000000"/>
          <w:right w:val="single" w:sz="8" w:space="0" w:color="000000"/>
          <w:insideV w:val="single" w:sz="8" w:space="0" w:color="000000"/>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000000"/>
          <w:left w:val="single" w:sz="8" w:space="0" w:color="000000"/>
          <w:bottom w:val="single" w:sz="8" w:space="0" w:color="000000"/>
          <w:right w:val="single" w:sz="8" w:space="0" w:color="000000"/>
        </w:tcBorders>
      </w:tcPr>
    </w:tblStylePr>
    <w:tblStylePr w:type="band1Vert">
      <w:pPr/>
      <w:tblPr/>
      <w:tcPr>
        <w:tcBorders>
          <w:top w:val="single" w:sz="8" w:space="0" w:color="000000"/>
          <w:left w:val="single" w:sz="8" w:space="0" w:color="000000"/>
          <w:bottom w:val="single" w:sz="8" w:space="0" w:color="000000"/>
          <w:right w:val="single" w:sz="8" w:space="0" w:color="000000"/>
        </w:tcBorders>
        <w:shd w:val="clear" w:color="auto" w:fill="c0c0c0"/>
      </w:tcPr>
    </w:tblStylePr>
    <w:tcPr>
      <w:tcBorders/>
    </w:tcPr>
  </w:style>
  <w:style w:type="table" w:styleId="style174">
    <w:name w:val="Light Grid Accent 1"/>
    <w:basedOn w:val="style105"/>
    <w:next w:val="style174"/>
    <w:uiPriority w:val="62"/>
    <w:pPr>
      <w:spacing w:after="0" w:lineRule="auto" w:line="240"/>
    </w:pPr>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Rule="auto" w:line="240"/>
      </w:pPr>
      <w:rPr>
        <w:rFonts w:ascii="Calibri" w:cs="宋体" w:eastAsia="ＭＳ ゴシック" w:hAnsi="Calibri"/>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band1Horz">
      <w:p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pPr/>
      <w:tblPr/>
      <w:tcPr>
        <w:tcBorders>
          <w:top w:val="single" w:sz="8" w:space="0" w:color="4f81bd"/>
          <w:left w:val="single" w:sz="8" w:space="0" w:color="4f81bd"/>
          <w:bottom w:val="single" w:sz="8" w:space="0" w:color="4f81bd"/>
          <w:right w:val="single" w:sz="8" w:space="0" w:color="4f81bd"/>
          <w:insideV w:val="single" w:sz="8" w:space="0" w:color="4f81bd"/>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4f81bd"/>
          <w:left w:val="single" w:sz="8" w:space="0" w:color="4f81bd"/>
          <w:bottom w:val="single" w:sz="8" w:space="0" w:color="4f81bd"/>
          <w:right w:val="single" w:sz="8" w:space="0" w:color="4f81bd"/>
        </w:tcBorders>
      </w:tcPr>
    </w:tblStylePr>
    <w:tblStylePr w:type="band1Vert">
      <w:pPr/>
      <w:tblPr/>
      <w:tcPr>
        <w:tcBorders>
          <w:top w:val="single" w:sz="8" w:space="0" w:color="4f81bd"/>
          <w:left w:val="single" w:sz="8" w:space="0" w:color="4f81bd"/>
          <w:bottom w:val="single" w:sz="8" w:space="0" w:color="4f81bd"/>
          <w:right w:val="single" w:sz="8" w:space="0" w:color="4f81bd"/>
        </w:tcBorders>
        <w:shd w:val="clear" w:color="auto" w:fill="d3dfee"/>
      </w:tcPr>
    </w:tblStylePr>
    <w:tcPr>
      <w:tcBorders/>
    </w:tcPr>
  </w:style>
  <w:style w:type="table" w:styleId="style192">
    <w:name w:val="Light Grid Accent 2"/>
    <w:basedOn w:val="style105"/>
    <w:next w:val="style192"/>
    <w:uiPriority w:val="62"/>
    <w:pPr>
      <w:spacing w:after="0" w:lineRule="auto" w:line="240"/>
    </w:pPr>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Rule="auto" w:line="240"/>
      </w:pPr>
      <w:rPr>
        <w:rFonts w:ascii="Calibri" w:cs="宋体" w:eastAsia="ＭＳ ゴシック" w:hAnsi="Calibri"/>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band1Horz">
      <w:p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pPr/>
      <w:tblPr/>
      <w:tcPr>
        <w:tcBorders>
          <w:top w:val="single" w:sz="8" w:space="0" w:color="c0504d"/>
          <w:left w:val="single" w:sz="8" w:space="0" w:color="c0504d"/>
          <w:bottom w:val="single" w:sz="8" w:space="0" w:color="c0504d"/>
          <w:right w:val="single" w:sz="8" w:space="0" w:color="c0504d"/>
          <w:insideV w:val="single" w:sz="8" w:space="0" w:color="c0504d"/>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c0504d"/>
          <w:left w:val="single" w:sz="8" w:space="0" w:color="c0504d"/>
          <w:bottom w:val="single" w:sz="8" w:space="0" w:color="c0504d"/>
          <w:right w:val="single" w:sz="8" w:space="0" w:color="c0504d"/>
        </w:tcBorders>
      </w:tcPr>
    </w:tblStylePr>
    <w:tblStylePr w:type="band1Vert">
      <w:pPr/>
      <w:tblPr/>
      <w:tcPr>
        <w:tcBorders>
          <w:top w:val="single" w:sz="8" w:space="0" w:color="c0504d"/>
          <w:left w:val="single" w:sz="8" w:space="0" w:color="c0504d"/>
          <w:bottom w:val="single" w:sz="8" w:space="0" w:color="c0504d"/>
          <w:right w:val="single" w:sz="8" w:space="0" w:color="c0504d"/>
        </w:tcBorders>
        <w:shd w:val="clear" w:color="auto" w:fill="efd3d2"/>
      </w:tcPr>
    </w:tblStylePr>
    <w:tcPr>
      <w:tcBorders/>
    </w:tcPr>
  </w:style>
  <w:style w:type="table" w:styleId="style206">
    <w:name w:val="Light Grid Accent 3"/>
    <w:basedOn w:val="style105"/>
    <w:next w:val="style206"/>
    <w:uiPriority w:val="62"/>
    <w:pPr>
      <w:spacing w:after="0" w:lineRule="auto" w:line="240"/>
    </w:pPr>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Rule="auto" w:line="240"/>
      </w:pPr>
      <w:rPr>
        <w:rFonts w:ascii="Calibri" w:cs="宋体" w:eastAsia="ＭＳ ゴシック" w:hAnsi="Calibri"/>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band1Horz">
      <w:p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pPr/>
      <w:tblPr/>
      <w:tcPr>
        <w:tcBorders>
          <w:top w:val="single" w:sz="8" w:space="0" w:color="9bbb59"/>
          <w:left w:val="single" w:sz="8" w:space="0" w:color="9bbb59"/>
          <w:bottom w:val="single" w:sz="8" w:space="0" w:color="9bbb59"/>
          <w:right w:val="single" w:sz="8" w:space="0" w:color="9bbb59"/>
          <w:insideV w:val="single" w:sz="8" w:space="0" w:color="9bbb59"/>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9bbb59"/>
          <w:left w:val="single" w:sz="8" w:space="0" w:color="9bbb59"/>
          <w:bottom w:val="single" w:sz="8" w:space="0" w:color="9bbb59"/>
          <w:right w:val="single" w:sz="8" w:space="0" w:color="9bbb59"/>
        </w:tcBorders>
      </w:tcPr>
    </w:tblStylePr>
    <w:tblStylePr w:type="band1Vert">
      <w:pPr/>
      <w:tblPr/>
      <w:tcPr>
        <w:tcBorders>
          <w:top w:val="single" w:sz="8" w:space="0" w:color="9bbb59"/>
          <w:left w:val="single" w:sz="8" w:space="0" w:color="9bbb59"/>
          <w:bottom w:val="single" w:sz="8" w:space="0" w:color="9bbb59"/>
          <w:right w:val="single" w:sz="8" w:space="0" w:color="9bbb59"/>
        </w:tcBorders>
        <w:shd w:val="clear" w:color="auto" w:fill="e6eed5"/>
      </w:tcPr>
    </w:tblStylePr>
    <w:tcPr>
      <w:tcBorders/>
    </w:tcPr>
  </w:style>
  <w:style w:type="table" w:styleId="style220">
    <w:name w:val="Light Grid Accent 4"/>
    <w:basedOn w:val="style105"/>
    <w:next w:val="style220"/>
    <w:uiPriority w:val="62"/>
    <w:pPr>
      <w:spacing w:after="0" w:lineRule="auto" w:line="240"/>
    </w:pPr>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Rule="auto" w:line="240"/>
      </w:pPr>
      <w:rPr>
        <w:rFonts w:ascii="Calibri" w:cs="宋体" w:eastAsia="ＭＳ ゴシック" w:hAnsi="Calibri"/>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band1Horz">
      <w:p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pPr/>
      <w:tblPr/>
      <w:tcPr>
        <w:tcBorders>
          <w:top w:val="single" w:sz="8" w:space="0" w:color="8064a2"/>
          <w:left w:val="single" w:sz="8" w:space="0" w:color="8064a2"/>
          <w:bottom w:val="single" w:sz="8" w:space="0" w:color="8064a2"/>
          <w:right w:val="single" w:sz="8" w:space="0" w:color="8064a2"/>
          <w:insideV w:val="single" w:sz="8" w:space="0" w:color="8064a2"/>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8064a2"/>
          <w:left w:val="single" w:sz="8" w:space="0" w:color="8064a2"/>
          <w:bottom w:val="single" w:sz="8" w:space="0" w:color="8064a2"/>
          <w:right w:val="single" w:sz="8" w:space="0" w:color="8064a2"/>
        </w:tcBorders>
      </w:tcPr>
    </w:tblStylePr>
    <w:tblStylePr w:type="band1Vert">
      <w:pPr/>
      <w:tblPr/>
      <w:tcPr>
        <w:tcBorders>
          <w:top w:val="single" w:sz="8" w:space="0" w:color="8064a2"/>
          <w:left w:val="single" w:sz="8" w:space="0" w:color="8064a2"/>
          <w:bottom w:val="single" w:sz="8" w:space="0" w:color="8064a2"/>
          <w:right w:val="single" w:sz="8" w:space="0" w:color="8064a2"/>
        </w:tcBorders>
        <w:shd w:val="clear" w:color="auto" w:fill="dfd8e8"/>
      </w:tcPr>
    </w:tblStylePr>
    <w:tcPr>
      <w:tcBorders/>
    </w:tcPr>
  </w:style>
  <w:style w:type="table" w:styleId="style234">
    <w:name w:val="Light Grid Accent 5"/>
    <w:basedOn w:val="style105"/>
    <w:next w:val="style234"/>
    <w:uiPriority w:val="62"/>
    <w:pPr>
      <w:spacing w:after="0" w:lineRule="auto" w:line="240"/>
    </w:pPr>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Rule="auto" w:line="240"/>
      </w:pPr>
      <w:rPr>
        <w:rFonts w:ascii="Calibri" w:cs="宋体" w:eastAsia="ＭＳ ゴシック" w:hAnsi="Calibri"/>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band1Horz">
      <w:p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pPr/>
      <w:tblPr/>
      <w:tcPr>
        <w:tcBorders>
          <w:top w:val="single" w:sz="8" w:space="0" w:color="4bacc6"/>
          <w:left w:val="single" w:sz="8" w:space="0" w:color="4bacc6"/>
          <w:bottom w:val="single" w:sz="8" w:space="0" w:color="4bacc6"/>
          <w:right w:val="single" w:sz="8" w:space="0" w:color="4bacc6"/>
          <w:insideV w:val="single" w:sz="8" w:space="0" w:color="4bacc6"/>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4bacc6"/>
          <w:left w:val="single" w:sz="8" w:space="0" w:color="4bacc6"/>
          <w:bottom w:val="single" w:sz="8" w:space="0" w:color="4bacc6"/>
          <w:right w:val="single" w:sz="8" w:space="0" w:color="4bacc6"/>
        </w:tcBorders>
      </w:tcPr>
    </w:tblStylePr>
    <w:tblStylePr w:type="band1Vert">
      <w:pPr/>
      <w:tblPr/>
      <w:tcPr>
        <w:tcBorders>
          <w:top w:val="single" w:sz="8" w:space="0" w:color="4bacc6"/>
          <w:left w:val="single" w:sz="8" w:space="0" w:color="4bacc6"/>
          <w:bottom w:val="single" w:sz="8" w:space="0" w:color="4bacc6"/>
          <w:right w:val="single" w:sz="8" w:space="0" w:color="4bacc6"/>
        </w:tcBorders>
        <w:shd w:val="clear" w:color="auto" w:fill="d2eaf1"/>
      </w:tcPr>
    </w:tblStylePr>
    <w:tcPr>
      <w:tcBorders/>
    </w:tcPr>
  </w:style>
  <w:style w:type="table" w:styleId="style248">
    <w:name w:val="Light Grid Accent 6"/>
    <w:basedOn w:val="style105"/>
    <w:next w:val="style248"/>
    <w:uiPriority w:val="62"/>
    <w:pPr>
      <w:spacing w:after="0" w:lineRule="auto" w:line="240"/>
    </w:pPr>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Rule="auto" w:line="240"/>
      </w:pPr>
      <w:rPr>
        <w:rFonts w:ascii="Calibri" w:cs="宋体" w:eastAsia="ＭＳ ゴシック" w:hAnsi="Calibri"/>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band1Horz">
      <w:p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pPr/>
      <w:tblPr/>
      <w:tcPr>
        <w:tcBorders>
          <w:top w:val="single" w:sz="8" w:space="0" w:color="f79646"/>
          <w:left w:val="single" w:sz="8" w:space="0" w:color="f79646"/>
          <w:bottom w:val="single" w:sz="8" w:space="0" w:color="f79646"/>
          <w:right w:val="single" w:sz="8" w:space="0" w:color="f79646"/>
          <w:insideV w:val="single" w:sz="8" w:space="0" w:color="f79646"/>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f79646"/>
          <w:left w:val="single" w:sz="8" w:space="0" w:color="f79646"/>
          <w:bottom w:val="single" w:sz="8" w:space="0" w:color="f79646"/>
          <w:right w:val="single" w:sz="8" w:space="0" w:color="f79646"/>
        </w:tcBorders>
      </w:tcPr>
    </w:tblStylePr>
    <w:tblStylePr w:type="band1Vert">
      <w:pPr/>
      <w:tblPr/>
      <w:tcPr>
        <w:tcBorders>
          <w:top w:val="single" w:sz="8" w:space="0" w:color="f79646"/>
          <w:left w:val="single" w:sz="8" w:space="0" w:color="f79646"/>
          <w:bottom w:val="single" w:sz="8" w:space="0" w:color="f79646"/>
          <w:right w:val="single" w:sz="8" w:space="0" w:color="f79646"/>
        </w:tcBorders>
        <w:shd w:val="clear" w:color="auto" w:fill="fde4d0"/>
      </w:tcPr>
    </w:tblStylePr>
    <w:tcPr>
      <w:tcBorders/>
    </w:tcPr>
  </w:style>
  <w:style w:type="table" w:styleId="style161">
    <w:name w:val="Medium Shading 1"/>
    <w:basedOn w:val="style105"/>
    <w:next w:val="style161"/>
    <w:uiPriority w:val="63"/>
    <w:pPr>
      <w:spacing w:after="0" w:lineRule="auto" w:line="240"/>
    </w:pPr>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Rule="auto" w:line="240"/>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band1Horz">
      <w:pPr/>
      <w:tblPr/>
      <w:tcPr>
        <w:tcBorders>
          <w:insideH w:val="nil"/>
          <w:insideV w:val="nil"/>
        </w:tcBorders>
        <w:shd w:val="clear" w:color="auto" w:fill="c0c0c0"/>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c0c0c0"/>
      </w:tcPr>
    </w:tblStylePr>
    <w:tcPr>
      <w:tcBorders/>
    </w:tcPr>
  </w:style>
  <w:style w:type="table" w:styleId="style175">
    <w:name w:val="Medium Shading 1 Accent 1"/>
    <w:basedOn w:val="style105"/>
    <w:next w:val="style175"/>
    <w:uiPriority w:val="63"/>
    <w:pPr>
      <w:spacing w:after="0" w:lineRule="auto" w:line="240"/>
    </w:pPr>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Rule="auto" w:line="240"/>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band1Horz">
      <w:pPr/>
      <w:tblPr/>
      <w:tcPr>
        <w:tcBorders>
          <w:insideH w:val="nil"/>
          <w:insideV w:val="nil"/>
        </w:tcBorders>
        <w:shd w:val="clear" w:color="auto" w:fill="d3dfee"/>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d3dfee"/>
      </w:tcPr>
    </w:tblStylePr>
    <w:tcPr>
      <w:tcBorders/>
    </w:tcPr>
  </w:style>
  <w:style w:type="table" w:styleId="style193">
    <w:name w:val="Medium Shading 1 Accent 2"/>
    <w:basedOn w:val="style105"/>
    <w:next w:val="style193"/>
    <w:uiPriority w:val="63"/>
    <w:pPr>
      <w:spacing w:after="0" w:lineRule="auto" w:line="240"/>
    </w:pPr>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Rule="auto" w:line="240"/>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band1Horz">
      <w:pPr/>
      <w:tblPr/>
      <w:tcPr>
        <w:tcBorders>
          <w:insideH w:val="nil"/>
          <w:insideV w:val="nil"/>
        </w:tcBorders>
        <w:shd w:val="clear" w:color="auto" w:fill="efd3d2"/>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efd3d2"/>
      </w:tcPr>
    </w:tblStylePr>
    <w:tcPr>
      <w:tcBorders/>
    </w:tcPr>
  </w:style>
  <w:style w:type="table" w:styleId="style207">
    <w:name w:val="Medium Shading 1 Accent 3"/>
    <w:basedOn w:val="style105"/>
    <w:next w:val="style207"/>
    <w:uiPriority w:val="63"/>
    <w:pPr>
      <w:spacing w:after="0" w:lineRule="auto" w:line="240"/>
    </w:pPr>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Rule="auto" w:line="240"/>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band1Horz">
      <w:pPr/>
      <w:tblPr/>
      <w:tcPr>
        <w:tcBorders>
          <w:insideH w:val="nil"/>
          <w:insideV w:val="nil"/>
        </w:tcBorders>
        <w:shd w:val="clear" w:color="auto" w:fill="e6eed5"/>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e6eed5"/>
      </w:tcPr>
    </w:tblStylePr>
    <w:tcPr>
      <w:tcBorders/>
    </w:tcPr>
  </w:style>
  <w:style w:type="table" w:styleId="style221">
    <w:name w:val="Medium Shading 1 Accent 4"/>
    <w:basedOn w:val="style105"/>
    <w:next w:val="style221"/>
    <w:uiPriority w:val="63"/>
    <w:pPr>
      <w:spacing w:after="0" w:lineRule="auto" w:line="240"/>
    </w:pPr>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Rule="auto" w:line="240"/>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band1Horz">
      <w:pPr/>
      <w:tblPr/>
      <w:tcPr>
        <w:tcBorders>
          <w:insideH w:val="nil"/>
          <w:insideV w:val="nil"/>
        </w:tcBorders>
        <w:shd w:val="clear" w:color="auto" w:fill="dfd8e8"/>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dfd8e8"/>
      </w:tcPr>
    </w:tblStylePr>
    <w:tcPr>
      <w:tcBorders/>
    </w:tcPr>
  </w:style>
  <w:style w:type="table" w:styleId="style235">
    <w:name w:val="Medium Shading 1 Accent 5"/>
    <w:basedOn w:val="style105"/>
    <w:next w:val="style235"/>
    <w:uiPriority w:val="63"/>
    <w:pPr>
      <w:spacing w:after="0" w:lineRule="auto" w:line="240"/>
    </w:pPr>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Rule="auto" w:line="240"/>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band1Horz">
      <w:pPr/>
      <w:tblPr/>
      <w:tcPr>
        <w:tcBorders>
          <w:insideH w:val="nil"/>
          <w:insideV w:val="nil"/>
        </w:tcBorders>
        <w:shd w:val="clear" w:color="auto" w:fill="d2eaf1"/>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d2eaf1"/>
      </w:tcPr>
    </w:tblStylePr>
    <w:tcPr>
      <w:tcBorders/>
    </w:tcPr>
  </w:style>
  <w:style w:type="table" w:styleId="style249">
    <w:name w:val="Medium Shading 1 Accent 6"/>
    <w:basedOn w:val="style105"/>
    <w:next w:val="style249"/>
    <w:uiPriority w:val="63"/>
    <w:pPr>
      <w:spacing w:after="0" w:lineRule="auto" w:line="240"/>
    </w:pPr>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Rule="auto" w:line="240"/>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band1Horz">
      <w:pPr/>
      <w:tblPr/>
      <w:tcPr>
        <w:tcBorders>
          <w:insideH w:val="nil"/>
          <w:insideV w:val="nil"/>
        </w:tcBorders>
        <w:shd w:val="clear" w:color="auto" w:fill="fde4d0"/>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fde4d0"/>
      </w:tcPr>
    </w:tblStylePr>
    <w:tcPr>
      <w:tcBorders/>
    </w:tcPr>
  </w:style>
  <w:style w:type="table" w:styleId="style162">
    <w:name w:val="Medium Shading 2"/>
    <w:basedOn w:val="style105"/>
    <w:next w:val="style162"/>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000000"/>
      </w:tcPr>
    </w:tblStylePr>
    <w:tblStylePr w:type="lastCol">
      <w:pPr/>
      <w:rPr>
        <w:b/>
        <w:bCs/>
        <w:color w:val="ffffff"/>
      </w:rPr>
      <w:tblPr/>
      <w:tcPr>
        <w:tcBorders>
          <w:left w:val="nil"/>
          <w:right w:val="nil"/>
          <w:insideH w:val="nil"/>
          <w:insideV w:val="nil"/>
        </w:tcBorders>
        <w:shd w:val="clear" w:color="auto" w:fill="000000"/>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176">
    <w:name w:val="Medium Shading 2 Accent 1"/>
    <w:basedOn w:val="style105"/>
    <w:next w:val="style176"/>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4f81bd"/>
      </w:tcPr>
    </w:tblStylePr>
    <w:tblStylePr w:type="lastCol">
      <w:pPr/>
      <w:rPr>
        <w:b/>
        <w:bCs/>
        <w:color w:val="ffffff"/>
      </w:rPr>
      <w:tblPr/>
      <w:tcPr>
        <w:tcBorders>
          <w:left w:val="nil"/>
          <w:right w:val="nil"/>
          <w:insideH w:val="nil"/>
          <w:insideV w:val="nil"/>
        </w:tcBorders>
        <w:shd w:val="clear" w:color="auto" w:fill="4f81bd"/>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194">
    <w:name w:val="Medium Shading 2 Accent 2"/>
    <w:basedOn w:val="style105"/>
    <w:next w:val="style194"/>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c0504d"/>
      </w:tcPr>
    </w:tblStylePr>
    <w:tblStylePr w:type="lastCol">
      <w:pPr/>
      <w:rPr>
        <w:b/>
        <w:bCs/>
        <w:color w:val="ffffff"/>
      </w:rPr>
      <w:tblPr/>
      <w:tcPr>
        <w:tcBorders>
          <w:left w:val="nil"/>
          <w:right w:val="nil"/>
          <w:insideH w:val="nil"/>
          <w:insideV w:val="nil"/>
        </w:tcBorders>
        <w:shd w:val="clear" w:color="auto" w:fill="c0504d"/>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08">
    <w:name w:val="Medium Shading 2 Accent 3"/>
    <w:basedOn w:val="style105"/>
    <w:next w:val="style208"/>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9bbb59"/>
      </w:tcPr>
    </w:tblStylePr>
    <w:tblStylePr w:type="lastCol">
      <w:pPr/>
      <w:rPr>
        <w:b/>
        <w:bCs/>
        <w:color w:val="ffffff"/>
      </w:rPr>
      <w:tblPr/>
      <w:tcPr>
        <w:tcBorders>
          <w:left w:val="nil"/>
          <w:right w:val="nil"/>
          <w:insideH w:val="nil"/>
          <w:insideV w:val="nil"/>
        </w:tcBorders>
        <w:shd w:val="clear" w:color="auto" w:fill="9bbb59"/>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22">
    <w:name w:val="Medium Shading 2 Accent 4"/>
    <w:basedOn w:val="style105"/>
    <w:next w:val="style222"/>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8064a2"/>
      </w:tcPr>
    </w:tblStylePr>
    <w:tblStylePr w:type="lastCol">
      <w:pPr/>
      <w:rPr>
        <w:b/>
        <w:bCs/>
        <w:color w:val="ffffff"/>
      </w:rPr>
      <w:tblPr/>
      <w:tcPr>
        <w:tcBorders>
          <w:left w:val="nil"/>
          <w:right w:val="nil"/>
          <w:insideH w:val="nil"/>
          <w:insideV w:val="nil"/>
        </w:tcBorders>
        <w:shd w:val="clear" w:color="auto" w:fill="8064a2"/>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36">
    <w:name w:val="Medium Shading 2 Accent 5"/>
    <w:basedOn w:val="style105"/>
    <w:next w:val="style236"/>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4bacc6"/>
      </w:tcPr>
    </w:tblStylePr>
    <w:tblStylePr w:type="lastCol">
      <w:pPr/>
      <w:rPr>
        <w:b/>
        <w:bCs/>
        <w:color w:val="ffffff"/>
      </w:rPr>
      <w:tblPr/>
      <w:tcPr>
        <w:tcBorders>
          <w:left w:val="nil"/>
          <w:right w:val="nil"/>
          <w:insideH w:val="nil"/>
          <w:insideV w:val="nil"/>
        </w:tcBorders>
        <w:shd w:val="clear" w:color="auto" w:fill="4bacc6"/>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50">
    <w:name w:val="Medium Shading 2 Accent 6"/>
    <w:basedOn w:val="style105"/>
    <w:next w:val="style250"/>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f79646"/>
      </w:tcPr>
    </w:tblStylePr>
    <w:tblStylePr w:type="lastCol">
      <w:pPr/>
      <w:rPr>
        <w:b/>
        <w:bCs/>
        <w:color w:val="ffffff"/>
      </w:rPr>
      <w:tblPr/>
      <w:tcPr>
        <w:tcBorders>
          <w:left w:val="nil"/>
          <w:right w:val="nil"/>
          <w:insideH w:val="nil"/>
          <w:insideV w:val="nil"/>
        </w:tcBorders>
        <w:shd w:val="clear" w:color="auto" w:fill="f79646"/>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163">
    <w:name w:val="Medium List 1"/>
    <w:basedOn w:val="style105"/>
    <w:next w:val="style163"/>
    <w:uiPriority w:val="65"/>
    <w:pPr>
      <w:spacing w:after="0" w:lineRule="auto" w:line="240"/>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000000"/>
        </w:tcBorders>
      </w:tcPr>
    </w:tblStylePr>
    <w:tblStylePr w:type="lastRow">
      <w:pPr/>
      <w:rPr>
        <w:b/>
        <w:bCs/>
        <w:color w:val="1f497d"/>
      </w:rPr>
      <w:tblPr/>
      <w:tcPr>
        <w:tcBorders>
          <w:top w:val="single" w:sz="8" w:space="0" w:color="000000"/>
          <w:bottom w:val="single" w:sz="8" w:space="0" w:color="000000"/>
        </w:tcBorders>
      </w:tcPr>
    </w:tblStylePr>
    <w:tblStylePr w:type="band1Horz">
      <w:pPr/>
      <w:tblPr/>
      <w:tcPr>
        <w:tcBorders/>
        <w:shd w:val="clear" w:color="auto" w:fill="c0c0c0"/>
      </w:tcPr>
    </w:tblStylePr>
    <w:tblStylePr w:type="firstCol">
      <w:pPr/>
      <w:rPr>
        <w:b/>
        <w:bCs/>
      </w:rPr>
      <w:tcPr>
        <w:tcBorders/>
      </w:tcPr>
    </w:tblStylePr>
    <w:tblStylePr w:type="lastCol">
      <w:pPr/>
      <w:rPr>
        <w:b/>
        <w:bCs/>
      </w:rPr>
      <w:tblPr/>
      <w:tcPr>
        <w:tcBorders>
          <w:top w:val="single" w:sz="8" w:space="0" w:color="000000"/>
          <w:bottom w:val="single" w:sz="8" w:space="0" w:color="000000"/>
        </w:tcBorders>
      </w:tcPr>
    </w:tblStylePr>
    <w:tblStylePr w:type="band1Vert">
      <w:pPr/>
      <w:tblPr/>
      <w:tcPr>
        <w:tcBorders/>
        <w:shd w:val="clear" w:color="auto" w:fill="c0c0c0"/>
      </w:tcPr>
    </w:tblStylePr>
    <w:tcPr>
      <w:tcBorders/>
    </w:tcPr>
  </w:style>
  <w:style w:type="table" w:styleId="style177">
    <w:name w:val="Medium List 1 Accent 1"/>
    <w:basedOn w:val="style105"/>
    <w:next w:val="style177"/>
    <w:uiPriority w:val="65"/>
    <w:pPr>
      <w:spacing w:after="0" w:lineRule="auto" w:line="240"/>
    </w:pPr>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4f81bd"/>
        </w:tcBorders>
      </w:tcPr>
    </w:tblStylePr>
    <w:tblStylePr w:type="lastRow">
      <w:pPr/>
      <w:rPr>
        <w:b/>
        <w:bCs/>
        <w:color w:val="1f497d"/>
      </w:rPr>
      <w:tblPr/>
      <w:tcPr>
        <w:tcBorders>
          <w:top w:val="single" w:sz="8" w:space="0" w:color="4f81bd"/>
          <w:bottom w:val="single" w:sz="8" w:space="0" w:color="4f81bd"/>
        </w:tcBorders>
      </w:tcPr>
    </w:tblStylePr>
    <w:tblStylePr w:type="band1Horz">
      <w:pPr/>
      <w:tblPr/>
      <w:tcPr>
        <w:tcBorders/>
        <w:shd w:val="clear" w:color="auto" w:fill="d3dfee"/>
      </w:tcPr>
    </w:tblStylePr>
    <w:tblStylePr w:type="firstCol">
      <w:pPr/>
      <w:rPr>
        <w:b/>
        <w:bCs/>
      </w:rPr>
      <w:tcPr>
        <w:tcBorders/>
      </w:tcPr>
    </w:tblStylePr>
    <w:tblStylePr w:type="lastCol">
      <w:pPr/>
      <w:rPr>
        <w:b/>
        <w:bCs/>
      </w:rPr>
      <w:tblPr/>
      <w:tcPr>
        <w:tcBorders>
          <w:top w:val="single" w:sz="8" w:space="0" w:color="4f81bd"/>
          <w:bottom w:val="single" w:sz="8" w:space="0" w:color="4f81bd"/>
        </w:tcBorders>
      </w:tcPr>
    </w:tblStylePr>
    <w:tblStylePr w:type="band1Vert">
      <w:pPr/>
      <w:tblPr/>
      <w:tcPr>
        <w:tcBorders/>
        <w:shd w:val="clear" w:color="auto" w:fill="d3dfee"/>
      </w:tcPr>
    </w:tblStylePr>
    <w:tcPr>
      <w:tcBorders/>
    </w:tcPr>
  </w:style>
  <w:style w:type="table" w:styleId="style195">
    <w:name w:val="Medium List 1 Accent 2"/>
    <w:basedOn w:val="style105"/>
    <w:next w:val="style195"/>
    <w:uiPriority w:val="65"/>
    <w:pPr>
      <w:spacing w:after="0" w:lineRule="auto" w:line="240"/>
    </w:pPr>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c0504d"/>
        </w:tcBorders>
      </w:tcPr>
    </w:tblStylePr>
    <w:tblStylePr w:type="lastRow">
      <w:pPr/>
      <w:rPr>
        <w:b/>
        <w:bCs/>
        <w:color w:val="1f497d"/>
      </w:rPr>
      <w:tblPr/>
      <w:tcPr>
        <w:tcBorders>
          <w:top w:val="single" w:sz="8" w:space="0" w:color="c0504d"/>
          <w:bottom w:val="single" w:sz="8" w:space="0" w:color="c0504d"/>
        </w:tcBorders>
      </w:tcPr>
    </w:tblStylePr>
    <w:tblStylePr w:type="band1Horz">
      <w:pPr/>
      <w:tblPr/>
      <w:tcPr>
        <w:tcBorders/>
        <w:shd w:val="clear" w:color="auto" w:fill="efd3d2"/>
      </w:tcPr>
    </w:tblStylePr>
    <w:tblStylePr w:type="firstCol">
      <w:pPr/>
      <w:rPr>
        <w:b/>
        <w:bCs/>
      </w:rPr>
      <w:tcPr>
        <w:tcBorders/>
      </w:tcPr>
    </w:tblStylePr>
    <w:tblStylePr w:type="lastCol">
      <w:pPr/>
      <w:rPr>
        <w:b/>
        <w:bCs/>
      </w:rPr>
      <w:tblPr/>
      <w:tcPr>
        <w:tcBorders>
          <w:top w:val="single" w:sz="8" w:space="0" w:color="c0504d"/>
          <w:bottom w:val="single" w:sz="8" w:space="0" w:color="c0504d"/>
        </w:tcBorders>
      </w:tcPr>
    </w:tblStylePr>
    <w:tblStylePr w:type="band1Vert">
      <w:pPr/>
      <w:tblPr/>
      <w:tcPr>
        <w:tcBorders/>
        <w:shd w:val="clear" w:color="auto" w:fill="efd3d2"/>
      </w:tcPr>
    </w:tblStylePr>
    <w:tcPr>
      <w:tcBorders/>
    </w:tcPr>
  </w:style>
  <w:style w:type="table" w:styleId="style209">
    <w:name w:val="Medium List 1 Accent 3"/>
    <w:basedOn w:val="style105"/>
    <w:next w:val="style209"/>
    <w:uiPriority w:val="65"/>
    <w:pPr>
      <w:spacing w:after="0" w:lineRule="auto" w:line="240"/>
    </w:pPr>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9bbb59"/>
        </w:tcBorders>
      </w:tcPr>
    </w:tblStylePr>
    <w:tblStylePr w:type="lastRow">
      <w:pPr/>
      <w:rPr>
        <w:b/>
        <w:bCs/>
        <w:color w:val="1f497d"/>
      </w:rPr>
      <w:tblPr/>
      <w:tcPr>
        <w:tcBorders>
          <w:top w:val="single" w:sz="8" w:space="0" w:color="9bbb59"/>
          <w:bottom w:val="single" w:sz="8" w:space="0" w:color="9bbb59"/>
        </w:tcBorders>
      </w:tcPr>
    </w:tblStylePr>
    <w:tblStylePr w:type="band1Horz">
      <w:pPr/>
      <w:tblPr/>
      <w:tcPr>
        <w:tcBorders/>
        <w:shd w:val="clear" w:color="auto" w:fill="e6eed5"/>
      </w:tcPr>
    </w:tblStylePr>
    <w:tblStylePr w:type="firstCol">
      <w:pPr/>
      <w:rPr>
        <w:b/>
        <w:bCs/>
      </w:rPr>
      <w:tcPr>
        <w:tcBorders/>
      </w:tcPr>
    </w:tblStylePr>
    <w:tblStylePr w:type="lastCol">
      <w:pPr/>
      <w:rPr>
        <w:b/>
        <w:bCs/>
      </w:rPr>
      <w:tblPr/>
      <w:tcPr>
        <w:tcBorders>
          <w:top w:val="single" w:sz="8" w:space="0" w:color="9bbb59"/>
          <w:bottom w:val="single" w:sz="8" w:space="0" w:color="9bbb59"/>
        </w:tcBorders>
      </w:tcPr>
    </w:tblStylePr>
    <w:tblStylePr w:type="band1Vert">
      <w:pPr/>
      <w:tblPr/>
      <w:tcPr>
        <w:tcBorders/>
        <w:shd w:val="clear" w:color="auto" w:fill="e6eed5"/>
      </w:tcPr>
    </w:tblStylePr>
    <w:tcPr>
      <w:tcBorders/>
    </w:tcPr>
  </w:style>
  <w:style w:type="table" w:styleId="style223">
    <w:name w:val="Medium List 1 Accent 4"/>
    <w:basedOn w:val="style105"/>
    <w:next w:val="style223"/>
    <w:uiPriority w:val="65"/>
    <w:pPr>
      <w:spacing w:after="0" w:lineRule="auto" w:line="240"/>
    </w:pPr>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8064a2"/>
        </w:tcBorders>
      </w:tcPr>
    </w:tblStylePr>
    <w:tblStylePr w:type="lastRow">
      <w:pPr/>
      <w:rPr>
        <w:b/>
        <w:bCs/>
        <w:color w:val="1f497d"/>
      </w:rPr>
      <w:tblPr/>
      <w:tcPr>
        <w:tcBorders>
          <w:top w:val="single" w:sz="8" w:space="0" w:color="8064a2"/>
          <w:bottom w:val="single" w:sz="8" w:space="0" w:color="8064a2"/>
        </w:tcBorders>
      </w:tcPr>
    </w:tblStylePr>
    <w:tblStylePr w:type="band1Horz">
      <w:pPr/>
      <w:tblPr/>
      <w:tcPr>
        <w:tcBorders/>
        <w:shd w:val="clear" w:color="auto" w:fill="dfd8e8"/>
      </w:tcPr>
    </w:tblStylePr>
    <w:tblStylePr w:type="firstCol">
      <w:pPr/>
      <w:rPr>
        <w:b/>
        <w:bCs/>
      </w:rPr>
      <w:tcPr>
        <w:tcBorders/>
      </w:tcPr>
    </w:tblStylePr>
    <w:tblStylePr w:type="lastCol">
      <w:pPr/>
      <w:rPr>
        <w:b/>
        <w:bCs/>
      </w:rPr>
      <w:tblPr/>
      <w:tcPr>
        <w:tcBorders>
          <w:top w:val="single" w:sz="8" w:space="0" w:color="8064a2"/>
          <w:bottom w:val="single" w:sz="8" w:space="0" w:color="8064a2"/>
        </w:tcBorders>
      </w:tcPr>
    </w:tblStylePr>
    <w:tblStylePr w:type="band1Vert">
      <w:pPr/>
      <w:tblPr/>
      <w:tcPr>
        <w:tcBorders/>
        <w:shd w:val="clear" w:color="auto" w:fill="dfd8e8"/>
      </w:tcPr>
    </w:tblStylePr>
    <w:tcPr>
      <w:tcBorders/>
    </w:tcPr>
  </w:style>
  <w:style w:type="table" w:styleId="style237">
    <w:name w:val="Medium List 1 Accent 5"/>
    <w:basedOn w:val="style105"/>
    <w:next w:val="style237"/>
    <w:uiPriority w:val="65"/>
    <w:pPr>
      <w:spacing w:after="0" w:lineRule="auto" w:line="240"/>
    </w:pPr>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4bacc6"/>
        </w:tcBorders>
      </w:tcPr>
    </w:tblStylePr>
    <w:tblStylePr w:type="lastRow">
      <w:pPr/>
      <w:rPr>
        <w:b/>
        <w:bCs/>
        <w:color w:val="1f497d"/>
      </w:rPr>
      <w:tblPr/>
      <w:tcPr>
        <w:tcBorders>
          <w:top w:val="single" w:sz="8" w:space="0" w:color="4bacc6"/>
          <w:bottom w:val="single" w:sz="8" w:space="0" w:color="4bacc6"/>
        </w:tcBorders>
      </w:tcPr>
    </w:tblStylePr>
    <w:tblStylePr w:type="band1Horz">
      <w:pPr/>
      <w:tblPr/>
      <w:tcPr>
        <w:tcBorders/>
        <w:shd w:val="clear" w:color="auto" w:fill="d2eaf1"/>
      </w:tcPr>
    </w:tblStylePr>
    <w:tblStylePr w:type="firstCol">
      <w:pPr/>
      <w:rPr>
        <w:b/>
        <w:bCs/>
      </w:rPr>
      <w:tcPr>
        <w:tcBorders/>
      </w:tcPr>
    </w:tblStylePr>
    <w:tblStylePr w:type="lastCol">
      <w:pPr/>
      <w:rPr>
        <w:b/>
        <w:bCs/>
      </w:rPr>
      <w:tblPr/>
      <w:tcPr>
        <w:tcBorders>
          <w:top w:val="single" w:sz="8" w:space="0" w:color="4bacc6"/>
          <w:bottom w:val="single" w:sz="8" w:space="0" w:color="4bacc6"/>
        </w:tcBorders>
      </w:tcPr>
    </w:tblStylePr>
    <w:tblStylePr w:type="band1Vert">
      <w:pPr/>
      <w:tblPr/>
      <w:tcPr>
        <w:tcBorders/>
        <w:shd w:val="clear" w:color="auto" w:fill="d2eaf1"/>
      </w:tcPr>
    </w:tblStylePr>
    <w:tcPr>
      <w:tcBorders/>
    </w:tcPr>
  </w:style>
  <w:style w:type="table" w:styleId="style251">
    <w:name w:val="Medium List 1 Accent 6"/>
    <w:basedOn w:val="style105"/>
    <w:next w:val="style251"/>
    <w:uiPriority w:val="65"/>
    <w:pPr>
      <w:spacing w:after="0" w:lineRule="auto" w:line="240"/>
    </w:pPr>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f79646"/>
        </w:tcBorders>
      </w:tcPr>
    </w:tblStylePr>
    <w:tblStylePr w:type="lastRow">
      <w:pPr/>
      <w:rPr>
        <w:b/>
        <w:bCs/>
        <w:color w:val="1f497d"/>
      </w:rPr>
      <w:tblPr/>
      <w:tcPr>
        <w:tcBorders>
          <w:top w:val="single" w:sz="8" w:space="0" w:color="f79646"/>
          <w:bottom w:val="single" w:sz="8" w:space="0" w:color="f79646"/>
        </w:tcBorders>
      </w:tcPr>
    </w:tblStylePr>
    <w:tblStylePr w:type="band1Horz">
      <w:pPr/>
      <w:tblPr/>
      <w:tcPr>
        <w:tcBorders/>
        <w:shd w:val="clear" w:color="auto" w:fill="fde4d0"/>
      </w:tcPr>
    </w:tblStylePr>
    <w:tblStylePr w:type="firstCol">
      <w:pPr/>
      <w:rPr>
        <w:b/>
        <w:bCs/>
      </w:rPr>
      <w:tcPr>
        <w:tcBorders/>
      </w:tcPr>
    </w:tblStylePr>
    <w:tblStylePr w:type="lastCol">
      <w:pPr/>
      <w:rPr>
        <w:b/>
        <w:bCs/>
      </w:rPr>
      <w:tblPr/>
      <w:tcPr>
        <w:tcBorders>
          <w:top w:val="single" w:sz="8" w:space="0" w:color="f79646"/>
          <w:bottom w:val="single" w:sz="8" w:space="0" w:color="f79646"/>
        </w:tcBorders>
      </w:tcPr>
    </w:tblStylePr>
    <w:tblStylePr w:type="band1Vert">
      <w:pPr/>
      <w:tblPr/>
      <w:tcPr>
        <w:tcBorders/>
        <w:shd w:val="clear" w:color="auto" w:fill="fde4d0"/>
      </w:tcPr>
    </w:tblStylePr>
    <w:tcPr>
      <w:tcBorders/>
    </w:tcPr>
  </w:style>
  <w:style w:type="table" w:styleId="style164">
    <w:name w:val="Medium List 2"/>
    <w:basedOn w:val="style105"/>
    <w:next w:val="style164"/>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000000"/>
          <w:right w:val="nil"/>
          <w:insideH w:val="nil"/>
          <w:insideV w:val="nil"/>
        </w:tcBorders>
        <w:shd w:val="clear" w:color="auto" w:fill="ffffff"/>
      </w:tcPr>
    </w:tblStylePr>
    <w:tblStylePr w:type="lastRow">
      <w:pPr/>
      <w:tblPr/>
      <w:tcPr>
        <w:tcBorders>
          <w:top w:val="single" w:sz="8" w:space="0" w:color="000000"/>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c0c0c0"/>
      </w:tcPr>
    </w:tblStylePr>
    <w:tblStylePr w:type="firstCol">
      <w:pPr/>
      <w:tblPr/>
      <w:tcPr>
        <w:tcBorders>
          <w:top w:val="nil"/>
          <w:left w:val="nil"/>
          <w:bottom w:val="nil"/>
          <w:right w:val="single" w:sz="8" w:space="0" w:color="000000"/>
          <w:insideH w:val="nil"/>
          <w:insideV w:val="nil"/>
        </w:tcBorders>
        <w:shd w:val="clear" w:color="auto" w:fill="ffffff"/>
      </w:tcPr>
    </w:tblStylePr>
    <w:tblStylePr w:type="lastCol">
      <w:pPr/>
      <w:tblPr/>
      <w:tcPr>
        <w:tcBorders>
          <w:top w:val="nil"/>
          <w:left w:val="single" w:sz="8" w:space="0" w:color="000000"/>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c0c0c0"/>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182">
    <w:name w:val="Medium List 2 Accent 1"/>
    <w:basedOn w:val="style105"/>
    <w:next w:val="style182"/>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4f81bd"/>
          <w:right w:val="nil"/>
          <w:insideH w:val="nil"/>
          <w:insideV w:val="nil"/>
        </w:tcBorders>
        <w:shd w:val="clear" w:color="auto" w:fill="ffffff"/>
      </w:tcPr>
    </w:tblStylePr>
    <w:tblStylePr w:type="lastRow">
      <w:pPr/>
      <w:tblPr/>
      <w:tcPr>
        <w:tcBorders>
          <w:top w:val="single" w:sz="8" w:space="0" w:color="4f81bd"/>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d3dfee"/>
      </w:tcPr>
    </w:tblStylePr>
    <w:tblStylePr w:type="firstCol">
      <w:pPr/>
      <w:tblPr/>
      <w:tcPr>
        <w:tcBorders>
          <w:top w:val="nil"/>
          <w:left w:val="nil"/>
          <w:bottom w:val="nil"/>
          <w:right w:val="single" w:sz="8" w:space="0" w:color="4f81bd"/>
          <w:insideH w:val="nil"/>
          <w:insideV w:val="nil"/>
        </w:tcBorders>
        <w:shd w:val="clear" w:color="auto" w:fill="ffffff"/>
      </w:tcPr>
    </w:tblStylePr>
    <w:tblStylePr w:type="lastCol">
      <w:pPr/>
      <w:tblPr/>
      <w:tcPr>
        <w:tcBorders>
          <w:top w:val="nil"/>
          <w:left w:val="single" w:sz="8" w:space="0" w:color="4f81bd"/>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d3dfee"/>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196">
    <w:name w:val="Medium List 2 Accent 2"/>
    <w:basedOn w:val="style105"/>
    <w:next w:val="style196"/>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c0504d"/>
          <w:right w:val="nil"/>
          <w:insideH w:val="nil"/>
          <w:insideV w:val="nil"/>
        </w:tcBorders>
        <w:shd w:val="clear" w:color="auto" w:fill="ffffff"/>
      </w:tcPr>
    </w:tblStylePr>
    <w:tblStylePr w:type="lastRow">
      <w:pPr/>
      <w:tblPr/>
      <w:tcPr>
        <w:tcBorders>
          <w:top w:val="single" w:sz="8" w:space="0" w:color="c0504d"/>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efd3d2"/>
      </w:tcPr>
    </w:tblStylePr>
    <w:tblStylePr w:type="firstCol">
      <w:pPr/>
      <w:tblPr/>
      <w:tcPr>
        <w:tcBorders>
          <w:top w:val="nil"/>
          <w:left w:val="nil"/>
          <w:bottom w:val="nil"/>
          <w:right w:val="single" w:sz="8" w:space="0" w:color="c0504d"/>
          <w:insideH w:val="nil"/>
          <w:insideV w:val="nil"/>
        </w:tcBorders>
        <w:shd w:val="clear" w:color="auto" w:fill="ffffff"/>
      </w:tcPr>
    </w:tblStylePr>
    <w:tblStylePr w:type="lastCol">
      <w:pPr/>
      <w:tblPr/>
      <w:tcPr>
        <w:tcBorders>
          <w:top w:val="nil"/>
          <w:left w:val="single" w:sz="8" w:space="0" w:color="c0504d"/>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efd3d2"/>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10">
    <w:name w:val="Medium List 2 Accent 3"/>
    <w:basedOn w:val="style105"/>
    <w:next w:val="style210"/>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9bbb59"/>
          <w:right w:val="nil"/>
          <w:insideH w:val="nil"/>
          <w:insideV w:val="nil"/>
        </w:tcBorders>
        <w:shd w:val="clear" w:color="auto" w:fill="ffffff"/>
      </w:tcPr>
    </w:tblStylePr>
    <w:tblStylePr w:type="lastRow">
      <w:pPr/>
      <w:tblPr/>
      <w:tcPr>
        <w:tcBorders>
          <w:top w:val="single" w:sz="8" w:space="0" w:color="9bbb59"/>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e6eed5"/>
      </w:tcPr>
    </w:tblStylePr>
    <w:tblStylePr w:type="firstCol">
      <w:pPr/>
      <w:tblPr/>
      <w:tcPr>
        <w:tcBorders>
          <w:top w:val="nil"/>
          <w:left w:val="nil"/>
          <w:bottom w:val="nil"/>
          <w:right w:val="single" w:sz="8" w:space="0" w:color="9bbb59"/>
          <w:insideH w:val="nil"/>
          <w:insideV w:val="nil"/>
        </w:tcBorders>
        <w:shd w:val="clear" w:color="auto" w:fill="ffffff"/>
      </w:tcPr>
    </w:tblStylePr>
    <w:tblStylePr w:type="lastCol">
      <w:pPr/>
      <w:tblPr/>
      <w:tcPr>
        <w:tcBorders>
          <w:top w:val="nil"/>
          <w:left w:val="single" w:sz="8" w:space="0" w:color="9bbb59"/>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e6eed5"/>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24">
    <w:name w:val="Medium List 2 Accent 4"/>
    <w:basedOn w:val="style105"/>
    <w:next w:val="style224"/>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8064a2"/>
          <w:right w:val="nil"/>
          <w:insideH w:val="nil"/>
          <w:insideV w:val="nil"/>
        </w:tcBorders>
        <w:shd w:val="clear" w:color="auto" w:fill="ffffff"/>
      </w:tcPr>
    </w:tblStylePr>
    <w:tblStylePr w:type="lastRow">
      <w:pPr/>
      <w:tblPr/>
      <w:tcPr>
        <w:tcBorders>
          <w:top w:val="single" w:sz="8" w:space="0" w:color="8064a2"/>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dfd8e8"/>
      </w:tcPr>
    </w:tblStylePr>
    <w:tblStylePr w:type="firstCol">
      <w:pPr/>
      <w:tblPr/>
      <w:tcPr>
        <w:tcBorders>
          <w:top w:val="nil"/>
          <w:left w:val="nil"/>
          <w:bottom w:val="nil"/>
          <w:right w:val="single" w:sz="8" w:space="0" w:color="8064a2"/>
          <w:insideH w:val="nil"/>
          <w:insideV w:val="nil"/>
        </w:tcBorders>
        <w:shd w:val="clear" w:color="auto" w:fill="ffffff"/>
      </w:tcPr>
    </w:tblStylePr>
    <w:tblStylePr w:type="lastCol">
      <w:pPr/>
      <w:tblPr/>
      <w:tcPr>
        <w:tcBorders>
          <w:top w:val="nil"/>
          <w:left w:val="single" w:sz="8" w:space="0" w:color="8064a2"/>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dfd8e8"/>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38">
    <w:name w:val="Medium List 2 Accent 5"/>
    <w:basedOn w:val="style105"/>
    <w:next w:val="style238"/>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4bacc6"/>
          <w:right w:val="nil"/>
          <w:insideH w:val="nil"/>
          <w:insideV w:val="nil"/>
        </w:tcBorders>
        <w:shd w:val="clear" w:color="auto" w:fill="ffffff"/>
      </w:tcPr>
    </w:tblStylePr>
    <w:tblStylePr w:type="lastRow">
      <w:pPr/>
      <w:tblPr/>
      <w:tcPr>
        <w:tcBorders>
          <w:top w:val="single" w:sz="8" w:space="0" w:color="4bacc6"/>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d2eaf1"/>
      </w:tcPr>
    </w:tblStylePr>
    <w:tblStylePr w:type="firstCol">
      <w:pPr/>
      <w:tblPr/>
      <w:tcPr>
        <w:tcBorders>
          <w:top w:val="nil"/>
          <w:left w:val="nil"/>
          <w:bottom w:val="nil"/>
          <w:right w:val="single" w:sz="8" w:space="0" w:color="4bacc6"/>
          <w:insideH w:val="nil"/>
          <w:insideV w:val="nil"/>
        </w:tcBorders>
        <w:shd w:val="clear" w:color="auto" w:fill="ffffff"/>
      </w:tcPr>
    </w:tblStylePr>
    <w:tblStylePr w:type="lastCol">
      <w:pPr/>
      <w:tblPr/>
      <w:tcPr>
        <w:tcBorders>
          <w:top w:val="nil"/>
          <w:left w:val="single" w:sz="8" w:space="0" w:color="4bacc6"/>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d2eaf1"/>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52">
    <w:name w:val="Medium List 2 Accent 6"/>
    <w:basedOn w:val="style105"/>
    <w:next w:val="style252"/>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f79646"/>
          <w:right w:val="nil"/>
          <w:insideH w:val="nil"/>
          <w:insideV w:val="nil"/>
        </w:tcBorders>
        <w:shd w:val="clear" w:color="auto" w:fill="ffffff"/>
      </w:tcPr>
    </w:tblStylePr>
    <w:tblStylePr w:type="lastRow">
      <w:pPr/>
      <w:tblPr/>
      <w:tcPr>
        <w:tcBorders>
          <w:top w:val="single" w:sz="8" w:space="0" w:color="f79646"/>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fde4d0"/>
      </w:tcPr>
    </w:tblStylePr>
    <w:tblStylePr w:type="firstCol">
      <w:pPr/>
      <w:tblPr/>
      <w:tcPr>
        <w:tcBorders>
          <w:top w:val="nil"/>
          <w:left w:val="nil"/>
          <w:bottom w:val="nil"/>
          <w:right w:val="single" w:sz="8" w:space="0" w:color="f79646"/>
          <w:insideH w:val="nil"/>
          <w:insideV w:val="nil"/>
        </w:tcBorders>
        <w:shd w:val="clear" w:color="auto" w:fill="ffffff"/>
      </w:tcPr>
    </w:tblStylePr>
    <w:tblStylePr w:type="lastCol">
      <w:pPr/>
      <w:tblPr/>
      <w:tcPr>
        <w:tcBorders>
          <w:top w:val="nil"/>
          <w:left w:val="single" w:sz="8" w:space="0" w:color="f79646"/>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fde4d0"/>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165">
    <w:name w:val="Medium Grid 1"/>
    <w:basedOn w:val="style105"/>
    <w:next w:val="style165"/>
    <w:uiPriority w:val="67"/>
    <w:pPr>
      <w:spacing w:after="0" w:lineRule="auto" w:line="240"/>
    </w:pPr>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shd w:val="clear" w:color="auto" w:fill="c0c0c0"/>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404040"/>
        </w:tcBorders>
      </w:tcPr>
    </w:tblStylePr>
    <w:tblStylePr w:type="band1Horz">
      <w:pPr/>
      <w:tblPr/>
      <w:tcPr>
        <w:tcBorders/>
        <w:shd w:val="clear" w:color="auto" w:fill="808080"/>
      </w:tcPr>
    </w:tblStylePr>
    <w:tblStylePr w:type="firstCol">
      <w:pPr/>
      <w:rPr>
        <w:b/>
        <w:bCs/>
      </w:rPr>
      <w:tcPr>
        <w:tcBorders/>
      </w:tcPr>
    </w:tblStylePr>
    <w:tblStylePr w:type="lastCol">
      <w:pPr/>
      <w:rPr>
        <w:b/>
        <w:bCs/>
      </w:rPr>
      <w:tcPr>
        <w:tcBorders/>
      </w:tcPr>
    </w:tblStylePr>
    <w:tblStylePr w:type="band1Vert">
      <w:pPr/>
      <w:tblPr/>
      <w:tcPr>
        <w:tcBorders/>
        <w:shd w:val="clear" w:color="auto" w:fill="808080"/>
      </w:tcPr>
    </w:tblStylePr>
    <w:tcPr>
      <w:tcBorders/>
      <w:shd w:val="clear" w:color="auto" w:fill="c0c0c0"/>
    </w:tcPr>
  </w:style>
  <w:style w:type="table" w:styleId="style183">
    <w:name w:val="Medium Grid 1 Accent 1"/>
    <w:basedOn w:val="style105"/>
    <w:next w:val="style183"/>
    <w:uiPriority w:val="67"/>
    <w:pPr>
      <w:spacing w:after="0" w:lineRule="auto" w:line="240"/>
    </w:pPr>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shd w:val="clear" w:color="auto" w:fill="d3dfee"/>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7ba0cd"/>
        </w:tcBorders>
      </w:tcPr>
    </w:tblStylePr>
    <w:tblStylePr w:type="band1Horz">
      <w:pPr/>
      <w:tblPr/>
      <w:tcPr>
        <w:tcBorders/>
        <w:shd w:val="clear" w:color="auto" w:fill="a7bfde"/>
      </w:tcPr>
    </w:tblStylePr>
    <w:tblStylePr w:type="firstCol">
      <w:pPr/>
      <w:rPr>
        <w:b/>
        <w:bCs/>
      </w:rPr>
      <w:tcPr>
        <w:tcBorders/>
      </w:tcPr>
    </w:tblStylePr>
    <w:tblStylePr w:type="lastCol">
      <w:pPr/>
      <w:rPr>
        <w:b/>
        <w:bCs/>
      </w:rPr>
      <w:tcPr>
        <w:tcBorders/>
      </w:tcPr>
    </w:tblStylePr>
    <w:tblStylePr w:type="band1Vert">
      <w:pPr/>
      <w:tblPr/>
      <w:tcPr>
        <w:tcBorders/>
        <w:shd w:val="clear" w:color="auto" w:fill="a7bfde"/>
      </w:tcPr>
    </w:tblStylePr>
    <w:tcPr>
      <w:tcBorders/>
      <w:shd w:val="clear" w:color="auto" w:fill="d3dfee"/>
    </w:tcPr>
  </w:style>
  <w:style w:type="table" w:styleId="style197">
    <w:name w:val="Medium Grid 1 Accent 2"/>
    <w:basedOn w:val="style105"/>
    <w:next w:val="style197"/>
    <w:uiPriority w:val="67"/>
    <w:pPr>
      <w:spacing w:after="0" w:lineRule="auto" w:line="240"/>
    </w:pPr>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shd w:val="clear" w:color="auto" w:fill="efd3d2"/>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cf7b79"/>
        </w:tcBorders>
      </w:tcPr>
    </w:tblStylePr>
    <w:tblStylePr w:type="band1Horz">
      <w:pPr/>
      <w:tblPr/>
      <w:tcPr>
        <w:tcBorders/>
        <w:shd w:val="clear" w:color="auto" w:fill="dfa7a6"/>
      </w:tcPr>
    </w:tblStylePr>
    <w:tblStylePr w:type="firstCol">
      <w:pPr/>
      <w:rPr>
        <w:b/>
        <w:bCs/>
      </w:rPr>
      <w:tcPr>
        <w:tcBorders/>
      </w:tcPr>
    </w:tblStylePr>
    <w:tblStylePr w:type="lastCol">
      <w:pPr/>
      <w:rPr>
        <w:b/>
        <w:bCs/>
      </w:rPr>
      <w:tcPr>
        <w:tcBorders/>
      </w:tcPr>
    </w:tblStylePr>
    <w:tblStylePr w:type="band1Vert">
      <w:pPr/>
      <w:tblPr/>
      <w:tcPr>
        <w:tcBorders/>
        <w:shd w:val="clear" w:color="auto" w:fill="dfa7a6"/>
      </w:tcPr>
    </w:tblStylePr>
    <w:tcPr>
      <w:tcBorders/>
      <w:shd w:val="clear" w:color="auto" w:fill="efd3d2"/>
    </w:tcPr>
  </w:style>
  <w:style w:type="table" w:styleId="style211">
    <w:name w:val="Medium Grid 1 Accent 3"/>
    <w:basedOn w:val="style105"/>
    <w:next w:val="style211"/>
    <w:uiPriority w:val="67"/>
    <w:pPr>
      <w:spacing w:after="0" w:lineRule="auto" w:line="240"/>
    </w:pPr>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shd w:val="clear" w:color="auto" w:fill="e6eed5"/>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b3cc82"/>
        </w:tcBorders>
      </w:tcPr>
    </w:tblStylePr>
    <w:tblStylePr w:type="band1Horz">
      <w:pPr/>
      <w:tblPr/>
      <w:tcPr>
        <w:tcBorders/>
        <w:shd w:val="clear" w:color="auto" w:fill="cdddac"/>
      </w:tcPr>
    </w:tblStylePr>
    <w:tblStylePr w:type="firstCol">
      <w:pPr/>
      <w:rPr>
        <w:b/>
        <w:bCs/>
      </w:rPr>
      <w:tcPr>
        <w:tcBorders/>
      </w:tcPr>
    </w:tblStylePr>
    <w:tblStylePr w:type="lastCol">
      <w:pPr/>
      <w:rPr>
        <w:b/>
        <w:bCs/>
      </w:rPr>
      <w:tcPr>
        <w:tcBorders/>
      </w:tcPr>
    </w:tblStylePr>
    <w:tblStylePr w:type="band1Vert">
      <w:pPr/>
      <w:tblPr/>
      <w:tcPr>
        <w:tcBorders/>
        <w:shd w:val="clear" w:color="auto" w:fill="cdddac"/>
      </w:tcPr>
    </w:tblStylePr>
    <w:tcPr>
      <w:tcBorders/>
      <w:shd w:val="clear" w:color="auto" w:fill="e6eed5"/>
    </w:tcPr>
  </w:style>
  <w:style w:type="table" w:styleId="style225">
    <w:name w:val="Medium Grid 1 Accent 4"/>
    <w:basedOn w:val="style105"/>
    <w:next w:val="style225"/>
    <w:uiPriority w:val="67"/>
    <w:pPr>
      <w:spacing w:after="0" w:lineRule="auto" w:line="240"/>
    </w:pPr>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shd w:val="clear" w:color="auto" w:fill="dfd8e8"/>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9f8ab9"/>
        </w:tcBorders>
      </w:tcPr>
    </w:tblStylePr>
    <w:tblStylePr w:type="band1Horz">
      <w:pPr/>
      <w:tblPr/>
      <w:tcPr>
        <w:tcBorders/>
        <w:shd w:val="clear" w:color="auto" w:fill="bfb1d0"/>
      </w:tcPr>
    </w:tblStylePr>
    <w:tblStylePr w:type="firstCol">
      <w:pPr/>
      <w:rPr>
        <w:b/>
        <w:bCs/>
      </w:rPr>
      <w:tcPr>
        <w:tcBorders/>
      </w:tcPr>
    </w:tblStylePr>
    <w:tblStylePr w:type="lastCol">
      <w:pPr/>
      <w:rPr>
        <w:b/>
        <w:bCs/>
      </w:rPr>
      <w:tcPr>
        <w:tcBorders/>
      </w:tcPr>
    </w:tblStylePr>
    <w:tblStylePr w:type="band1Vert">
      <w:pPr/>
      <w:tblPr/>
      <w:tcPr>
        <w:tcBorders/>
        <w:shd w:val="clear" w:color="auto" w:fill="bfb1d0"/>
      </w:tcPr>
    </w:tblStylePr>
    <w:tcPr>
      <w:tcBorders/>
      <w:shd w:val="clear" w:color="auto" w:fill="dfd8e8"/>
    </w:tcPr>
  </w:style>
  <w:style w:type="table" w:styleId="style239">
    <w:name w:val="Medium Grid 1 Accent 5"/>
    <w:basedOn w:val="style105"/>
    <w:next w:val="style239"/>
    <w:uiPriority w:val="67"/>
    <w:pPr>
      <w:spacing w:after="0" w:lineRule="auto" w:line="240"/>
    </w:pPr>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shd w:val="clear" w:color="auto" w:fill="d2eaf1"/>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78c0d4"/>
        </w:tcBorders>
      </w:tcPr>
    </w:tblStylePr>
    <w:tblStylePr w:type="band1Horz">
      <w:pPr/>
      <w:tblPr/>
      <w:tcPr>
        <w:tcBorders/>
        <w:shd w:val="clear" w:color="auto" w:fill="a5d5e2"/>
      </w:tcPr>
    </w:tblStylePr>
    <w:tblStylePr w:type="firstCol">
      <w:pPr/>
      <w:rPr>
        <w:b/>
        <w:bCs/>
      </w:rPr>
      <w:tcPr>
        <w:tcBorders/>
      </w:tcPr>
    </w:tblStylePr>
    <w:tblStylePr w:type="lastCol">
      <w:pPr/>
      <w:rPr>
        <w:b/>
        <w:bCs/>
      </w:rPr>
      <w:tcPr>
        <w:tcBorders/>
      </w:tcPr>
    </w:tblStylePr>
    <w:tblStylePr w:type="band1Vert">
      <w:pPr/>
      <w:tblPr/>
      <w:tcPr>
        <w:tcBorders/>
        <w:shd w:val="clear" w:color="auto" w:fill="a5d5e2"/>
      </w:tcPr>
    </w:tblStylePr>
    <w:tcPr>
      <w:tcBorders/>
      <w:shd w:val="clear" w:color="auto" w:fill="d2eaf1"/>
    </w:tcPr>
  </w:style>
  <w:style w:type="table" w:styleId="style253">
    <w:name w:val="Medium Grid 1 Accent 6"/>
    <w:basedOn w:val="style105"/>
    <w:next w:val="style253"/>
    <w:uiPriority w:val="67"/>
    <w:pPr>
      <w:spacing w:after="0" w:lineRule="auto" w:line="240"/>
    </w:pPr>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shd w:val="clear" w:color="auto" w:fill="fde4d0"/>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f9b074"/>
        </w:tcBorders>
      </w:tcPr>
    </w:tblStylePr>
    <w:tblStylePr w:type="band1Horz">
      <w:pPr/>
      <w:tblPr/>
      <w:tcPr>
        <w:tcBorders/>
        <w:shd w:val="clear" w:color="auto" w:fill="fbcaa2"/>
      </w:tcPr>
    </w:tblStylePr>
    <w:tblStylePr w:type="firstCol">
      <w:pPr/>
      <w:rPr>
        <w:b/>
        <w:bCs/>
      </w:rPr>
      <w:tcPr>
        <w:tcBorders/>
      </w:tcPr>
    </w:tblStylePr>
    <w:tblStylePr w:type="lastCol">
      <w:pPr/>
      <w:rPr>
        <w:b/>
        <w:bCs/>
      </w:rPr>
      <w:tcPr>
        <w:tcBorders/>
      </w:tcPr>
    </w:tblStylePr>
    <w:tblStylePr w:type="band1Vert">
      <w:pPr/>
      <w:tblPr/>
      <w:tcPr>
        <w:tcBorders/>
        <w:shd w:val="clear" w:color="auto" w:fill="fbcaa2"/>
      </w:tcPr>
    </w:tblStylePr>
    <w:tcPr>
      <w:tcBorders/>
      <w:shd w:val="clear" w:color="auto" w:fill="fde4d0"/>
    </w:tcPr>
  </w:style>
  <w:style w:type="table" w:styleId="style166">
    <w:name w:val="Medium Grid 2"/>
    <w:basedOn w:val="style105"/>
    <w:next w:val="style166"/>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c0c0c0"/>
      <w:tblCellMar>
        <w:top w:w="0" w:type="dxa"/>
        <w:left w:w="108" w:type="dxa"/>
        <w:bottom w:w="0" w:type="dxa"/>
        <w:right w:w="108" w:type="dxa"/>
      </w:tblCellMar>
    </w:tblPr>
    <w:tblStylePr w:type="firstRow">
      <w:pPr/>
      <w:rPr>
        <w:b/>
        <w:bCs/>
        <w:color w:val="000000"/>
      </w:rPr>
      <w:tblPr/>
      <w:tcPr>
        <w:tcBorders/>
        <w:shd w:val="clear" w:color="auto" w:fill="e6e6e6"/>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000000"/>
          <w:insideV w:val="single" w:sz="6" w:space="0" w:color="000000"/>
        </w:tcBorders>
        <w:shd w:val="clear" w:color="auto" w:fill="808080"/>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cccccc"/>
      </w:tcPr>
    </w:tblStylePr>
    <w:tblStylePr w:type="band1Vert">
      <w:pPr/>
      <w:tblPr/>
      <w:tcPr>
        <w:tcBorders/>
        <w:shd w:val="clear" w:color="auto" w:fill="808080"/>
      </w:tcPr>
    </w:tblStylePr>
    <w:tblStylePr w:type="nwCell">
      <w:pPr/>
      <w:tblPr/>
      <w:tcPr>
        <w:tcBorders/>
        <w:shd w:val="clear" w:color="auto" w:fill="ffffff"/>
      </w:tcPr>
    </w:tblStylePr>
    <w:tcPr>
      <w:tcBorders/>
      <w:shd w:val="clear" w:color="auto" w:fill="c0c0c0"/>
    </w:tcPr>
  </w:style>
  <w:style w:type="table" w:styleId="style184">
    <w:name w:val="Medium Grid 2 Accent 1"/>
    <w:basedOn w:val="style105"/>
    <w:next w:val="style184"/>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shd w:val="clear" w:color="auto" w:fill="d3dfee"/>
      <w:tblCellMar>
        <w:top w:w="0" w:type="dxa"/>
        <w:left w:w="108" w:type="dxa"/>
        <w:bottom w:w="0" w:type="dxa"/>
        <w:right w:w="108" w:type="dxa"/>
      </w:tblCellMar>
    </w:tblPr>
    <w:tblStylePr w:type="firstRow">
      <w:pPr/>
      <w:rPr>
        <w:b/>
        <w:bCs/>
        <w:color w:val="000000"/>
      </w:rPr>
      <w:tblPr/>
      <w:tcPr>
        <w:tcBorders/>
        <w:shd w:val="clear" w:color="auto" w:fill="edf2f8"/>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4f81bd"/>
          <w:insideV w:val="single" w:sz="6" w:space="0" w:color="4f81bd"/>
        </w:tcBorders>
        <w:shd w:val="clear" w:color="auto" w:fill="a7bfde"/>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dbe5f1"/>
      </w:tcPr>
    </w:tblStylePr>
    <w:tblStylePr w:type="band1Vert">
      <w:pPr/>
      <w:tblPr/>
      <w:tcPr>
        <w:tcBorders/>
        <w:shd w:val="clear" w:color="auto" w:fill="a7bfde"/>
      </w:tcPr>
    </w:tblStylePr>
    <w:tblStylePr w:type="nwCell">
      <w:pPr/>
      <w:tblPr/>
      <w:tcPr>
        <w:tcBorders/>
        <w:shd w:val="clear" w:color="auto" w:fill="ffffff"/>
      </w:tcPr>
    </w:tblStylePr>
    <w:tcPr>
      <w:tcBorders/>
      <w:shd w:val="clear" w:color="auto" w:fill="d3dfee"/>
    </w:tcPr>
  </w:style>
  <w:style w:type="table" w:styleId="style198">
    <w:name w:val="Medium Grid 2 Accent 2"/>
    <w:basedOn w:val="style105"/>
    <w:next w:val="style198"/>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shd w:val="clear" w:color="auto" w:fill="efd3d2"/>
      <w:tblCellMar>
        <w:top w:w="0" w:type="dxa"/>
        <w:left w:w="108" w:type="dxa"/>
        <w:bottom w:w="0" w:type="dxa"/>
        <w:right w:w="108" w:type="dxa"/>
      </w:tblCellMar>
    </w:tblPr>
    <w:tblStylePr w:type="firstRow">
      <w:pPr/>
      <w:rPr>
        <w:b/>
        <w:bCs/>
        <w:color w:val="000000"/>
      </w:rPr>
      <w:tblPr/>
      <w:tcPr>
        <w:tcBorders/>
        <w:shd w:val="clear" w:color="auto" w:fill="f8eded"/>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c0504d"/>
          <w:insideV w:val="single" w:sz="6" w:space="0" w:color="c0504d"/>
        </w:tcBorders>
        <w:shd w:val="clear" w:color="auto" w:fill="dfa7a6"/>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f2dbdb"/>
      </w:tcPr>
    </w:tblStylePr>
    <w:tblStylePr w:type="band1Vert">
      <w:pPr/>
      <w:tblPr/>
      <w:tcPr>
        <w:tcBorders/>
        <w:shd w:val="clear" w:color="auto" w:fill="dfa7a6"/>
      </w:tcPr>
    </w:tblStylePr>
    <w:tblStylePr w:type="nwCell">
      <w:pPr/>
      <w:tblPr/>
      <w:tcPr>
        <w:tcBorders/>
        <w:shd w:val="clear" w:color="auto" w:fill="ffffff"/>
      </w:tcPr>
    </w:tblStylePr>
    <w:tcPr>
      <w:tcBorders/>
      <w:shd w:val="clear" w:color="auto" w:fill="efd3d2"/>
    </w:tcPr>
  </w:style>
  <w:style w:type="table" w:styleId="style212">
    <w:name w:val="Medium Grid 2 Accent 3"/>
    <w:basedOn w:val="style105"/>
    <w:next w:val="style212"/>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shd w:val="clear" w:color="auto" w:fill="e6eed5"/>
      <w:tblCellMar>
        <w:top w:w="0" w:type="dxa"/>
        <w:left w:w="108" w:type="dxa"/>
        <w:bottom w:w="0" w:type="dxa"/>
        <w:right w:w="108" w:type="dxa"/>
      </w:tblCellMar>
    </w:tblPr>
    <w:tblStylePr w:type="firstRow">
      <w:pPr/>
      <w:rPr>
        <w:b/>
        <w:bCs/>
        <w:color w:val="000000"/>
      </w:rPr>
      <w:tblPr/>
      <w:tcPr>
        <w:tcBorders/>
        <w:shd w:val="clear" w:color="auto" w:fill="f5f8ee"/>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9bbb59"/>
          <w:insideV w:val="single" w:sz="6" w:space="0" w:color="9bbb59"/>
        </w:tcBorders>
        <w:shd w:val="clear" w:color="auto" w:fill="cdddac"/>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eaf1dd"/>
      </w:tcPr>
    </w:tblStylePr>
    <w:tblStylePr w:type="band1Vert">
      <w:pPr/>
      <w:tblPr/>
      <w:tcPr>
        <w:tcBorders/>
        <w:shd w:val="clear" w:color="auto" w:fill="cdddac"/>
      </w:tcPr>
    </w:tblStylePr>
    <w:tblStylePr w:type="nwCell">
      <w:pPr/>
      <w:tblPr/>
      <w:tcPr>
        <w:tcBorders/>
        <w:shd w:val="clear" w:color="auto" w:fill="ffffff"/>
      </w:tcPr>
    </w:tblStylePr>
    <w:tcPr>
      <w:tcBorders/>
      <w:shd w:val="clear" w:color="auto" w:fill="e6eed5"/>
    </w:tcPr>
  </w:style>
  <w:style w:type="table" w:styleId="style226">
    <w:name w:val="Medium Grid 2 Accent 4"/>
    <w:basedOn w:val="style105"/>
    <w:next w:val="style226"/>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shd w:val="clear" w:color="auto" w:fill="dfd8e8"/>
      <w:tblCellMar>
        <w:top w:w="0" w:type="dxa"/>
        <w:left w:w="108" w:type="dxa"/>
        <w:bottom w:w="0" w:type="dxa"/>
        <w:right w:w="108" w:type="dxa"/>
      </w:tblCellMar>
    </w:tblPr>
    <w:tblStylePr w:type="firstRow">
      <w:pPr/>
      <w:rPr>
        <w:b/>
        <w:bCs/>
        <w:color w:val="000000"/>
      </w:rPr>
      <w:tblPr/>
      <w:tcPr>
        <w:tcBorders/>
        <w:shd w:val="clear" w:color="auto" w:fill="f2eff6"/>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8064a2"/>
          <w:insideV w:val="single" w:sz="6" w:space="0" w:color="8064a2"/>
        </w:tcBorders>
        <w:shd w:val="clear" w:color="auto" w:fill="bfb1d0"/>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e5dfec"/>
      </w:tcPr>
    </w:tblStylePr>
    <w:tblStylePr w:type="band1Vert">
      <w:pPr/>
      <w:tblPr/>
      <w:tcPr>
        <w:tcBorders/>
        <w:shd w:val="clear" w:color="auto" w:fill="bfb1d0"/>
      </w:tcPr>
    </w:tblStylePr>
    <w:tblStylePr w:type="nwCell">
      <w:pPr/>
      <w:tblPr/>
      <w:tcPr>
        <w:tcBorders/>
        <w:shd w:val="clear" w:color="auto" w:fill="ffffff"/>
      </w:tcPr>
    </w:tblStylePr>
    <w:tcPr>
      <w:tcBorders/>
      <w:shd w:val="clear" w:color="auto" w:fill="dfd8e8"/>
    </w:tcPr>
  </w:style>
  <w:style w:type="table" w:styleId="style240">
    <w:name w:val="Medium Grid 2 Accent 5"/>
    <w:basedOn w:val="style105"/>
    <w:next w:val="style240"/>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shd w:val="clear" w:color="auto" w:fill="d2eaf1"/>
      <w:tblCellMar>
        <w:top w:w="0" w:type="dxa"/>
        <w:left w:w="108" w:type="dxa"/>
        <w:bottom w:w="0" w:type="dxa"/>
        <w:right w:w="108" w:type="dxa"/>
      </w:tblCellMar>
    </w:tblPr>
    <w:tblStylePr w:type="firstRow">
      <w:pPr/>
      <w:rPr>
        <w:b/>
        <w:bCs/>
        <w:color w:val="000000"/>
      </w:rPr>
      <w:tblPr/>
      <w:tcPr>
        <w:tcBorders/>
        <w:shd w:val="clear" w:color="auto" w:fill="edf6f9"/>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4bacc6"/>
          <w:insideV w:val="single" w:sz="6" w:space="0" w:color="4bacc6"/>
        </w:tcBorders>
        <w:shd w:val="clear" w:color="auto" w:fill="a5d5e2"/>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daeef3"/>
      </w:tcPr>
    </w:tblStylePr>
    <w:tblStylePr w:type="band1Vert">
      <w:pPr/>
      <w:tblPr/>
      <w:tcPr>
        <w:tcBorders/>
        <w:shd w:val="clear" w:color="auto" w:fill="a5d5e2"/>
      </w:tcPr>
    </w:tblStylePr>
    <w:tblStylePr w:type="nwCell">
      <w:pPr/>
      <w:tblPr/>
      <w:tcPr>
        <w:tcBorders/>
        <w:shd w:val="clear" w:color="auto" w:fill="ffffff"/>
      </w:tcPr>
    </w:tblStylePr>
    <w:tcPr>
      <w:tcBorders/>
      <w:shd w:val="clear" w:color="auto" w:fill="d2eaf1"/>
    </w:tcPr>
  </w:style>
  <w:style w:type="table" w:styleId="style254">
    <w:name w:val="Medium Grid 2 Accent 6"/>
    <w:basedOn w:val="style105"/>
    <w:next w:val="style254"/>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shd w:val="clear" w:color="auto" w:fill="fde4d0"/>
      <w:tblCellMar>
        <w:top w:w="0" w:type="dxa"/>
        <w:left w:w="108" w:type="dxa"/>
        <w:bottom w:w="0" w:type="dxa"/>
        <w:right w:w="108" w:type="dxa"/>
      </w:tblCellMar>
    </w:tblPr>
    <w:tblStylePr w:type="firstRow">
      <w:pPr/>
      <w:rPr>
        <w:b/>
        <w:bCs/>
        <w:color w:val="000000"/>
      </w:rPr>
      <w:tblPr/>
      <w:tcPr>
        <w:tcBorders/>
        <w:shd w:val="clear" w:color="auto" w:fill="fef4ec"/>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f79646"/>
          <w:insideV w:val="single" w:sz="6" w:space="0" w:color="f79646"/>
        </w:tcBorders>
        <w:shd w:val="clear" w:color="auto" w:fill="fbcaa2"/>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fde9d9"/>
      </w:tcPr>
    </w:tblStylePr>
    <w:tblStylePr w:type="band1Vert">
      <w:pPr/>
      <w:tblPr/>
      <w:tcPr>
        <w:tcBorders/>
        <w:shd w:val="clear" w:color="auto" w:fill="fbcaa2"/>
      </w:tcPr>
    </w:tblStylePr>
    <w:tblStylePr w:type="nwCell">
      <w:pPr/>
      <w:tblPr/>
      <w:tcPr>
        <w:tcBorders/>
        <w:shd w:val="clear" w:color="auto" w:fill="ffffff"/>
      </w:tcPr>
    </w:tblStylePr>
    <w:tcPr>
      <w:tcBorders/>
      <w:shd w:val="clear" w:color="auto" w:fill="fde4d0"/>
    </w:tcPr>
  </w:style>
  <w:style w:type="table" w:styleId="style167">
    <w:name w:val="Medium Grid 3"/>
    <w:basedOn w:val="style105"/>
    <w:next w:val="style167"/>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c0c0c0"/>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000000"/>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000000"/>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cPr>
      <w:tcBorders/>
      <w:shd w:val="clear" w:color="auto" w:fill="c0c0c0"/>
    </w:tcPr>
  </w:style>
  <w:style w:type="table" w:styleId="style185">
    <w:name w:val="Medium Grid 3 Accent 1"/>
    <w:basedOn w:val="style105"/>
    <w:next w:val="style185"/>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3dfee"/>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4f81bd"/>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4f81bd"/>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cPr>
      <w:tcBorders/>
      <w:shd w:val="clear" w:color="auto" w:fill="d3dfee"/>
    </w:tcPr>
  </w:style>
  <w:style w:type="table" w:styleId="style199">
    <w:name w:val="Medium Grid 3 Accent 2"/>
    <w:basedOn w:val="style105"/>
    <w:next w:val="style199"/>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efd3d2"/>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c0504d"/>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c0504d"/>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cPr>
      <w:tcBorders/>
      <w:shd w:val="clear" w:color="auto" w:fill="efd3d2"/>
    </w:tcPr>
  </w:style>
  <w:style w:type="table" w:styleId="style213">
    <w:name w:val="Medium Grid 3 Accent 3"/>
    <w:basedOn w:val="style105"/>
    <w:next w:val="style213"/>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e6eed5"/>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9bbb59"/>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9bbb59"/>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cPr>
      <w:tcBorders/>
      <w:shd w:val="clear" w:color="auto" w:fill="e6eed5"/>
    </w:tcPr>
  </w:style>
  <w:style w:type="table" w:styleId="style227">
    <w:name w:val="Medium Grid 3 Accent 4"/>
    <w:basedOn w:val="style105"/>
    <w:next w:val="style227"/>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fd8e8"/>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8064a2"/>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8064a2"/>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cPr>
      <w:tcBorders/>
      <w:shd w:val="clear" w:color="auto" w:fill="dfd8e8"/>
    </w:tcPr>
  </w:style>
  <w:style w:type="table" w:styleId="style241">
    <w:name w:val="Medium Grid 3 Accent 5"/>
    <w:basedOn w:val="style105"/>
    <w:next w:val="style241"/>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2eaf1"/>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4bacc6"/>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4bacc6"/>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cPr>
      <w:tcBorders/>
      <w:shd w:val="clear" w:color="auto" w:fill="d2eaf1"/>
    </w:tcPr>
  </w:style>
  <w:style w:type="table" w:styleId="style255">
    <w:name w:val="Medium Grid 3 Accent 6"/>
    <w:basedOn w:val="style105"/>
    <w:next w:val="style255"/>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fde4d0"/>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f79646"/>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f79646"/>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cPr>
      <w:tcBorders/>
      <w:shd w:val="clear" w:color="auto" w:fill="fde4d0"/>
    </w:tcPr>
  </w:style>
  <w:style w:type="table" w:styleId="style168">
    <w:name w:val="Dark List"/>
    <w:basedOn w:val="style105"/>
    <w:next w:val="style168"/>
    <w:uiPriority w:val="70"/>
    <w:pPr>
      <w:spacing w:after="0" w:lineRule="auto" w:line="240"/>
    </w:pPr>
    <w:rPr>
      <w:color w:val="ffffff"/>
    </w:rPr>
    <w:tblPr>
      <w:tblStyleRowBandSize w:val="1"/>
      <w:tblStyleColBandSize w:val="1"/>
      <w:tblInd w:w="0" w:type="dxa"/>
      <w:shd w:val="clear" w:color="auto" w:fill="000000"/>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000000"/>
      </w:tcPr>
    </w:tblStylePr>
    <w:tblStylePr w:type="band1Horz">
      <w:pPr/>
      <w:tblPr/>
      <w:tcPr>
        <w:tcBorders>
          <w:top w:val="nil"/>
          <w:left w:val="nil"/>
          <w:bottom w:val="nil"/>
          <w:right w:val="nil"/>
          <w:insideH w:val="nil"/>
          <w:insideV w:val="nil"/>
        </w:tcBorders>
        <w:shd w:val="clear" w:color="auto" w:fill="000000"/>
      </w:tcPr>
    </w:tblStylePr>
    <w:tblStylePr w:type="firstCol">
      <w:pPr/>
      <w:tblPr/>
      <w:tcPr>
        <w:tcBorders>
          <w:top w:val="nil"/>
          <w:left w:val="nil"/>
          <w:bottom w:val="nil"/>
          <w:right w:val="single" w:sz="18" w:space="0" w:color="ffffff"/>
          <w:insideH w:val="nil"/>
          <w:insideV w:val="nil"/>
        </w:tcBorders>
        <w:shd w:val="clear" w:color="auto" w:fill="000000"/>
      </w:tcPr>
    </w:tblStylePr>
    <w:tblStylePr w:type="lastCol">
      <w:pPr/>
      <w:tblPr/>
      <w:tcPr>
        <w:tcBorders>
          <w:top w:val="nil"/>
          <w:left w:val="single" w:sz="18" w:space="0" w:color="ffffff"/>
          <w:bottom w:val="nil"/>
          <w:right w:val="nil"/>
          <w:insideH w:val="nil"/>
          <w:insideV w:val="nil"/>
        </w:tcBorders>
        <w:shd w:val="clear" w:color="auto" w:fill="000000"/>
      </w:tcPr>
    </w:tblStylePr>
    <w:tblStylePr w:type="band1Vert">
      <w:pPr/>
      <w:tblPr/>
      <w:tcPr>
        <w:tcBorders>
          <w:top w:val="nil"/>
          <w:left w:val="nil"/>
          <w:bottom w:val="nil"/>
          <w:right w:val="nil"/>
          <w:insideH w:val="nil"/>
          <w:insideV w:val="nil"/>
        </w:tcBorders>
        <w:shd w:val="clear" w:color="auto" w:fill="000000"/>
      </w:tcPr>
    </w:tblStylePr>
    <w:tcPr>
      <w:tcBorders/>
      <w:shd w:val="clear" w:color="auto" w:fill="000000"/>
    </w:tcPr>
  </w:style>
  <w:style w:type="table" w:styleId="style186">
    <w:name w:val="Dark List Accent 1"/>
    <w:basedOn w:val="style105"/>
    <w:next w:val="style186"/>
    <w:uiPriority w:val="70"/>
    <w:pPr>
      <w:spacing w:after="0" w:lineRule="auto" w:line="240"/>
    </w:pPr>
    <w:rPr>
      <w:color w:val="ffffff"/>
    </w:rPr>
    <w:tblPr>
      <w:tblStyleRowBandSize w:val="1"/>
      <w:tblStyleColBandSize w:val="1"/>
      <w:tblInd w:w="0" w:type="dxa"/>
      <w:shd w:val="clear" w:color="auto" w:fill="4f81bd"/>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243f60"/>
      </w:tcPr>
    </w:tblStylePr>
    <w:tblStylePr w:type="band1Horz">
      <w:pPr/>
      <w:tblPr/>
      <w:tcPr>
        <w:tcBorders>
          <w:top w:val="nil"/>
          <w:left w:val="nil"/>
          <w:bottom w:val="nil"/>
          <w:right w:val="nil"/>
          <w:insideH w:val="nil"/>
          <w:insideV w:val="nil"/>
        </w:tcBorders>
        <w:shd w:val="clear" w:color="auto" w:fill="365f91"/>
      </w:tcPr>
    </w:tblStylePr>
    <w:tblStylePr w:type="firstCol">
      <w:pPr/>
      <w:tblPr/>
      <w:tcPr>
        <w:tcBorders>
          <w:top w:val="nil"/>
          <w:left w:val="nil"/>
          <w:bottom w:val="nil"/>
          <w:right w:val="single" w:sz="18" w:space="0" w:color="ffffff"/>
          <w:insideH w:val="nil"/>
          <w:insideV w:val="nil"/>
        </w:tcBorders>
        <w:shd w:val="clear" w:color="auto" w:fill="365f91"/>
      </w:tcPr>
    </w:tblStylePr>
    <w:tblStylePr w:type="lastCol">
      <w:pPr/>
      <w:tblPr/>
      <w:tcPr>
        <w:tcBorders>
          <w:top w:val="nil"/>
          <w:left w:val="single" w:sz="18" w:space="0" w:color="ffffff"/>
          <w:bottom w:val="nil"/>
          <w:right w:val="nil"/>
          <w:insideH w:val="nil"/>
          <w:insideV w:val="nil"/>
        </w:tcBorders>
        <w:shd w:val="clear" w:color="auto" w:fill="365f91"/>
      </w:tcPr>
    </w:tblStylePr>
    <w:tblStylePr w:type="band1Vert">
      <w:pPr/>
      <w:tblPr/>
      <w:tcPr>
        <w:tcBorders>
          <w:top w:val="nil"/>
          <w:left w:val="nil"/>
          <w:bottom w:val="nil"/>
          <w:right w:val="nil"/>
          <w:insideH w:val="nil"/>
          <w:insideV w:val="nil"/>
        </w:tcBorders>
        <w:shd w:val="clear" w:color="auto" w:fill="365f91"/>
      </w:tcPr>
    </w:tblStylePr>
    <w:tcPr>
      <w:tcBorders/>
      <w:shd w:val="clear" w:color="auto" w:fill="4f81bd"/>
    </w:tcPr>
  </w:style>
  <w:style w:type="table" w:styleId="style200">
    <w:name w:val="Dark List Accent 2"/>
    <w:basedOn w:val="style105"/>
    <w:next w:val="style200"/>
    <w:uiPriority w:val="70"/>
    <w:pPr>
      <w:spacing w:after="0" w:lineRule="auto" w:line="240"/>
    </w:pPr>
    <w:rPr>
      <w:color w:val="ffffff"/>
    </w:rPr>
    <w:tblPr>
      <w:tblStyleRowBandSize w:val="1"/>
      <w:tblStyleColBandSize w:val="1"/>
      <w:tblInd w:w="0" w:type="dxa"/>
      <w:shd w:val="clear" w:color="auto" w:fill="c0504d"/>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622423"/>
      </w:tcPr>
    </w:tblStylePr>
    <w:tblStylePr w:type="band1Horz">
      <w:pPr/>
      <w:tblPr/>
      <w:tcPr>
        <w:tcBorders>
          <w:top w:val="nil"/>
          <w:left w:val="nil"/>
          <w:bottom w:val="nil"/>
          <w:right w:val="nil"/>
          <w:insideH w:val="nil"/>
          <w:insideV w:val="nil"/>
        </w:tcBorders>
        <w:shd w:val="clear" w:color="auto" w:fill="943634"/>
      </w:tcPr>
    </w:tblStylePr>
    <w:tblStylePr w:type="firstCol">
      <w:pPr/>
      <w:tblPr/>
      <w:tcPr>
        <w:tcBorders>
          <w:top w:val="nil"/>
          <w:left w:val="nil"/>
          <w:bottom w:val="nil"/>
          <w:right w:val="single" w:sz="18" w:space="0" w:color="ffffff"/>
          <w:insideH w:val="nil"/>
          <w:insideV w:val="nil"/>
        </w:tcBorders>
        <w:shd w:val="clear" w:color="auto" w:fill="943634"/>
      </w:tcPr>
    </w:tblStylePr>
    <w:tblStylePr w:type="lastCol">
      <w:pPr/>
      <w:tblPr/>
      <w:tcPr>
        <w:tcBorders>
          <w:top w:val="nil"/>
          <w:left w:val="single" w:sz="18" w:space="0" w:color="ffffff"/>
          <w:bottom w:val="nil"/>
          <w:right w:val="nil"/>
          <w:insideH w:val="nil"/>
          <w:insideV w:val="nil"/>
        </w:tcBorders>
        <w:shd w:val="clear" w:color="auto" w:fill="943634"/>
      </w:tcPr>
    </w:tblStylePr>
    <w:tblStylePr w:type="band1Vert">
      <w:pPr/>
      <w:tblPr/>
      <w:tcPr>
        <w:tcBorders>
          <w:top w:val="nil"/>
          <w:left w:val="nil"/>
          <w:bottom w:val="nil"/>
          <w:right w:val="nil"/>
          <w:insideH w:val="nil"/>
          <w:insideV w:val="nil"/>
        </w:tcBorders>
        <w:shd w:val="clear" w:color="auto" w:fill="943634"/>
      </w:tcPr>
    </w:tblStylePr>
    <w:tcPr>
      <w:tcBorders/>
      <w:shd w:val="clear" w:color="auto" w:fill="c0504d"/>
    </w:tcPr>
  </w:style>
  <w:style w:type="table" w:styleId="style214">
    <w:name w:val="Dark List Accent 3"/>
    <w:basedOn w:val="style105"/>
    <w:next w:val="style214"/>
    <w:uiPriority w:val="70"/>
    <w:pPr>
      <w:spacing w:after="0" w:lineRule="auto" w:line="240"/>
    </w:pPr>
    <w:rPr>
      <w:color w:val="ffffff"/>
    </w:rPr>
    <w:tblPr>
      <w:tblStyleRowBandSize w:val="1"/>
      <w:tblStyleColBandSize w:val="1"/>
      <w:tblInd w:w="0" w:type="dxa"/>
      <w:shd w:val="clear" w:color="auto" w:fill="9bbb59"/>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4e6128"/>
      </w:tcPr>
    </w:tblStylePr>
    <w:tblStylePr w:type="band1Horz">
      <w:pPr/>
      <w:tblPr/>
      <w:tcPr>
        <w:tcBorders>
          <w:top w:val="nil"/>
          <w:left w:val="nil"/>
          <w:bottom w:val="nil"/>
          <w:right w:val="nil"/>
          <w:insideH w:val="nil"/>
          <w:insideV w:val="nil"/>
        </w:tcBorders>
        <w:shd w:val="clear" w:color="auto" w:fill="76923c"/>
      </w:tcPr>
    </w:tblStylePr>
    <w:tblStylePr w:type="firstCol">
      <w:pPr/>
      <w:tblPr/>
      <w:tcPr>
        <w:tcBorders>
          <w:top w:val="nil"/>
          <w:left w:val="nil"/>
          <w:bottom w:val="nil"/>
          <w:right w:val="single" w:sz="18" w:space="0" w:color="ffffff"/>
          <w:insideH w:val="nil"/>
          <w:insideV w:val="nil"/>
        </w:tcBorders>
        <w:shd w:val="clear" w:color="auto" w:fill="76923c"/>
      </w:tcPr>
    </w:tblStylePr>
    <w:tblStylePr w:type="lastCol">
      <w:pPr/>
      <w:tblPr/>
      <w:tcPr>
        <w:tcBorders>
          <w:top w:val="nil"/>
          <w:left w:val="single" w:sz="18" w:space="0" w:color="ffffff"/>
          <w:bottom w:val="nil"/>
          <w:right w:val="nil"/>
          <w:insideH w:val="nil"/>
          <w:insideV w:val="nil"/>
        </w:tcBorders>
        <w:shd w:val="clear" w:color="auto" w:fill="76923c"/>
      </w:tcPr>
    </w:tblStylePr>
    <w:tblStylePr w:type="band1Vert">
      <w:pPr/>
      <w:tblPr/>
      <w:tcPr>
        <w:tcBorders>
          <w:top w:val="nil"/>
          <w:left w:val="nil"/>
          <w:bottom w:val="nil"/>
          <w:right w:val="nil"/>
          <w:insideH w:val="nil"/>
          <w:insideV w:val="nil"/>
        </w:tcBorders>
        <w:shd w:val="clear" w:color="auto" w:fill="76923c"/>
      </w:tcPr>
    </w:tblStylePr>
    <w:tcPr>
      <w:tcBorders/>
      <w:shd w:val="clear" w:color="auto" w:fill="9bbb59"/>
    </w:tcPr>
  </w:style>
  <w:style w:type="table" w:styleId="style228">
    <w:name w:val="Dark List Accent 4"/>
    <w:basedOn w:val="style105"/>
    <w:next w:val="style228"/>
    <w:uiPriority w:val="70"/>
    <w:pPr>
      <w:spacing w:after="0" w:lineRule="auto" w:line="240"/>
    </w:pPr>
    <w:rPr>
      <w:color w:val="ffffff"/>
    </w:rPr>
    <w:tblPr>
      <w:tblStyleRowBandSize w:val="1"/>
      <w:tblStyleColBandSize w:val="1"/>
      <w:tblInd w:w="0" w:type="dxa"/>
      <w:shd w:val="clear" w:color="auto" w:fill="8064a2"/>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3f3151"/>
      </w:tcPr>
    </w:tblStylePr>
    <w:tblStylePr w:type="band1Horz">
      <w:pPr/>
      <w:tblPr/>
      <w:tcPr>
        <w:tcBorders>
          <w:top w:val="nil"/>
          <w:left w:val="nil"/>
          <w:bottom w:val="nil"/>
          <w:right w:val="nil"/>
          <w:insideH w:val="nil"/>
          <w:insideV w:val="nil"/>
        </w:tcBorders>
        <w:shd w:val="clear" w:color="auto" w:fill="5f497a"/>
      </w:tcPr>
    </w:tblStylePr>
    <w:tblStylePr w:type="firstCol">
      <w:pPr/>
      <w:tblPr/>
      <w:tcPr>
        <w:tcBorders>
          <w:top w:val="nil"/>
          <w:left w:val="nil"/>
          <w:bottom w:val="nil"/>
          <w:right w:val="single" w:sz="18" w:space="0" w:color="ffffff"/>
          <w:insideH w:val="nil"/>
          <w:insideV w:val="nil"/>
        </w:tcBorders>
        <w:shd w:val="clear" w:color="auto" w:fill="5f497a"/>
      </w:tcPr>
    </w:tblStylePr>
    <w:tblStylePr w:type="lastCol">
      <w:pPr/>
      <w:tblPr/>
      <w:tcPr>
        <w:tcBorders>
          <w:top w:val="nil"/>
          <w:left w:val="single" w:sz="18" w:space="0" w:color="ffffff"/>
          <w:bottom w:val="nil"/>
          <w:right w:val="nil"/>
          <w:insideH w:val="nil"/>
          <w:insideV w:val="nil"/>
        </w:tcBorders>
        <w:shd w:val="clear" w:color="auto" w:fill="5f497a"/>
      </w:tcPr>
    </w:tblStylePr>
    <w:tblStylePr w:type="band1Vert">
      <w:pPr/>
      <w:tblPr/>
      <w:tcPr>
        <w:tcBorders>
          <w:top w:val="nil"/>
          <w:left w:val="nil"/>
          <w:bottom w:val="nil"/>
          <w:right w:val="nil"/>
          <w:insideH w:val="nil"/>
          <w:insideV w:val="nil"/>
        </w:tcBorders>
        <w:shd w:val="clear" w:color="auto" w:fill="5f497a"/>
      </w:tcPr>
    </w:tblStylePr>
    <w:tcPr>
      <w:tcBorders/>
      <w:shd w:val="clear" w:color="auto" w:fill="8064a2"/>
    </w:tcPr>
  </w:style>
  <w:style w:type="table" w:styleId="style242">
    <w:name w:val="Dark List Accent 5"/>
    <w:basedOn w:val="style105"/>
    <w:next w:val="style242"/>
    <w:uiPriority w:val="70"/>
    <w:pPr>
      <w:spacing w:after="0" w:lineRule="auto" w:line="240"/>
    </w:pPr>
    <w:rPr>
      <w:color w:val="ffffff"/>
    </w:rPr>
    <w:tblPr>
      <w:tblStyleRowBandSize w:val="1"/>
      <w:tblStyleColBandSize w:val="1"/>
      <w:tblInd w:w="0" w:type="dxa"/>
      <w:shd w:val="clear" w:color="auto" w:fill="4bacc6"/>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205867"/>
      </w:tcPr>
    </w:tblStylePr>
    <w:tblStylePr w:type="band1Horz">
      <w:pPr/>
      <w:tblPr/>
      <w:tcPr>
        <w:tcBorders>
          <w:top w:val="nil"/>
          <w:left w:val="nil"/>
          <w:bottom w:val="nil"/>
          <w:right w:val="nil"/>
          <w:insideH w:val="nil"/>
          <w:insideV w:val="nil"/>
        </w:tcBorders>
        <w:shd w:val="clear" w:color="auto" w:fill="31849b"/>
      </w:tcPr>
    </w:tblStylePr>
    <w:tblStylePr w:type="firstCol">
      <w:pPr/>
      <w:tblPr/>
      <w:tcPr>
        <w:tcBorders>
          <w:top w:val="nil"/>
          <w:left w:val="nil"/>
          <w:bottom w:val="nil"/>
          <w:right w:val="single" w:sz="18" w:space="0" w:color="ffffff"/>
          <w:insideH w:val="nil"/>
          <w:insideV w:val="nil"/>
        </w:tcBorders>
        <w:shd w:val="clear" w:color="auto" w:fill="31849b"/>
      </w:tcPr>
    </w:tblStylePr>
    <w:tblStylePr w:type="lastCol">
      <w:pPr/>
      <w:tblPr/>
      <w:tcPr>
        <w:tcBorders>
          <w:top w:val="nil"/>
          <w:left w:val="single" w:sz="18" w:space="0" w:color="ffffff"/>
          <w:bottom w:val="nil"/>
          <w:right w:val="nil"/>
          <w:insideH w:val="nil"/>
          <w:insideV w:val="nil"/>
        </w:tcBorders>
        <w:shd w:val="clear" w:color="auto" w:fill="31849b"/>
      </w:tcPr>
    </w:tblStylePr>
    <w:tblStylePr w:type="band1Vert">
      <w:pPr/>
      <w:tblPr/>
      <w:tcPr>
        <w:tcBorders>
          <w:top w:val="nil"/>
          <w:left w:val="nil"/>
          <w:bottom w:val="nil"/>
          <w:right w:val="nil"/>
          <w:insideH w:val="nil"/>
          <w:insideV w:val="nil"/>
        </w:tcBorders>
        <w:shd w:val="clear" w:color="auto" w:fill="31849b"/>
      </w:tcPr>
    </w:tblStylePr>
    <w:tcPr>
      <w:tcBorders/>
      <w:shd w:val="clear" w:color="auto" w:fill="4bacc6"/>
    </w:tcPr>
  </w:style>
  <w:style w:type="table" w:styleId="style256">
    <w:name w:val="Dark List Accent 6"/>
    <w:basedOn w:val="style105"/>
    <w:next w:val="style256"/>
    <w:uiPriority w:val="70"/>
    <w:pPr>
      <w:spacing w:after="0" w:lineRule="auto" w:line="240"/>
    </w:pPr>
    <w:rPr>
      <w:color w:val="ffffff"/>
    </w:rPr>
    <w:tblPr>
      <w:tblStyleRowBandSize w:val="1"/>
      <w:tblStyleColBandSize w:val="1"/>
      <w:tblInd w:w="0" w:type="dxa"/>
      <w:shd w:val="clear" w:color="auto" w:fill="f79646"/>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974706"/>
      </w:tcPr>
    </w:tblStylePr>
    <w:tblStylePr w:type="band1Horz">
      <w:pPr/>
      <w:tblPr/>
      <w:tcPr>
        <w:tcBorders>
          <w:top w:val="nil"/>
          <w:left w:val="nil"/>
          <w:bottom w:val="nil"/>
          <w:right w:val="nil"/>
          <w:insideH w:val="nil"/>
          <w:insideV w:val="nil"/>
        </w:tcBorders>
        <w:shd w:val="clear" w:color="auto" w:fill="e36c0a"/>
      </w:tcPr>
    </w:tblStylePr>
    <w:tblStylePr w:type="firstCol">
      <w:pPr/>
      <w:tblPr/>
      <w:tcPr>
        <w:tcBorders>
          <w:top w:val="nil"/>
          <w:left w:val="nil"/>
          <w:bottom w:val="nil"/>
          <w:right w:val="single" w:sz="18" w:space="0" w:color="ffffff"/>
          <w:insideH w:val="nil"/>
          <w:insideV w:val="nil"/>
        </w:tcBorders>
        <w:shd w:val="clear" w:color="auto" w:fill="e36c0a"/>
      </w:tcPr>
    </w:tblStylePr>
    <w:tblStylePr w:type="lastCol">
      <w:pPr/>
      <w:tblPr/>
      <w:tcPr>
        <w:tcBorders>
          <w:top w:val="nil"/>
          <w:left w:val="single" w:sz="18" w:space="0" w:color="ffffff"/>
          <w:bottom w:val="nil"/>
          <w:right w:val="nil"/>
          <w:insideH w:val="nil"/>
          <w:insideV w:val="nil"/>
        </w:tcBorders>
        <w:shd w:val="clear" w:color="auto" w:fill="e36c0a"/>
      </w:tcPr>
    </w:tblStylePr>
    <w:tblStylePr w:type="band1Vert">
      <w:pPr/>
      <w:tblPr/>
      <w:tcPr>
        <w:tcBorders>
          <w:top w:val="nil"/>
          <w:left w:val="nil"/>
          <w:bottom w:val="nil"/>
          <w:right w:val="nil"/>
          <w:insideH w:val="nil"/>
          <w:insideV w:val="nil"/>
        </w:tcBorders>
        <w:shd w:val="clear" w:color="auto" w:fill="e36c0a"/>
      </w:tcPr>
    </w:tblStylePr>
    <w:tcPr>
      <w:tcBorders/>
      <w:shd w:val="clear" w:color="auto" w:fill="f79646"/>
    </w:tcPr>
  </w:style>
  <w:style w:type="table" w:styleId="style169">
    <w:name w:val="Colorful Shading"/>
    <w:basedOn w:val="style105"/>
    <w:next w:val="style169"/>
    <w:uiPriority w:val="71"/>
    <w:pPr>
      <w:spacing w:after="0" w:lineRule="auto" w:line="240"/>
    </w:pPr>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shd w:val="clear" w:color="auto" w:fill="e6e6e6"/>
      <w:tblCellMar>
        <w:top w:w="0" w:type="dxa"/>
        <w:left w:w="108" w:type="dxa"/>
        <w:bottom w:w="0" w:type="dxa"/>
        <w:right w:w="108" w:type="dxa"/>
      </w:tblCellMar>
    </w:tblPr>
    <w:tblStylePr w:type="firstRow">
      <w:pPr/>
      <w:rPr>
        <w:b/>
        <w:bCs/>
      </w:rPr>
      <w:tblPr/>
      <w:tcPr>
        <w:tcBorders>
          <w:top w:val="nil"/>
          <w:left w:val="nil"/>
          <w:bottom w:val="single" w:sz="24" w:space="0" w:color="c0504d"/>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000000"/>
      </w:tcPr>
    </w:tblStylePr>
    <w:tblStylePr w:type="band1Horz">
      <w:pPr/>
      <w:tblPr/>
      <w:tcPr>
        <w:tcBorders/>
        <w:shd w:val="clear" w:color="auto" w:fill="808080"/>
      </w:tcPr>
    </w:tblStylePr>
    <w:tblStylePr w:type="firstCol">
      <w:pPr/>
      <w:rPr>
        <w:color w:val="ffffff"/>
      </w:rPr>
      <w:tblPr/>
      <w:tcPr>
        <w:tcBorders>
          <w:top w:val="nil"/>
          <w:left w:val="nil"/>
          <w:bottom w:val="nil"/>
          <w:right w:val="nil"/>
          <w:insideH w:val="single" w:sz="4" w:space="0" w:color="000000"/>
          <w:insideV w:val="nil"/>
        </w:tcBorders>
        <w:shd w:val="clear" w:color="auto" w:fill="000000"/>
      </w:tcPr>
    </w:tblStylePr>
    <w:tblStylePr w:type="lastCol">
      <w:pPr/>
      <w:rPr>
        <w:color w:val="ffffff"/>
      </w:rPr>
      <w:tblPr/>
      <w:tcPr>
        <w:tcBorders>
          <w:top w:val="nil"/>
          <w:left w:val="nil"/>
          <w:bottom w:val="nil"/>
          <w:right w:val="nil"/>
          <w:insideH w:val="nil"/>
          <w:insideV w:val="nil"/>
        </w:tcBorders>
        <w:shd w:val="clear" w:color="auto" w:fill="000000"/>
      </w:tcPr>
    </w:tblStylePr>
    <w:tblStylePr w:type="band1Vert">
      <w:pPr/>
      <w:tblPr/>
      <w:tcPr>
        <w:tcBorders/>
        <w:shd w:val="clear" w:color="auto" w:fill="999999"/>
      </w:tcPr>
    </w:tblStylePr>
    <w:tblStylePr w:type="neCell">
      <w:pPr/>
      <w:rPr>
        <w:color w:val="000000"/>
      </w:rPr>
      <w:tcPr>
        <w:tcBorders/>
      </w:tcPr>
    </w:tblStylePr>
    <w:tblStylePr w:type="nwCell">
      <w:pPr/>
      <w:rPr>
        <w:color w:val="000000"/>
      </w:rPr>
      <w:tcPr>
        <w:tcBorders/>
      </w:tcPr>
    </w:tblStylePr>
    <w:tcPr>
      <w:tcBorders/>
      <w:shd w:val="clear" w:color="auto" w:fill="e6e6e6"/>
    </w:tcPr>
  </w:style>
  <w:style w:type="table" w:styleId="style187">
    <w:name w:val="Colorful Shading Accent 1"/>
    <w:basedOn w:val="style105"/>
    <w:next w:val="style187"/>
    <w:uiPriority w:val="71"/>
    <w:pPr>
      <w:spacing w:after="0" w:lineRule="auto" w:line="240"/>
    </w:pPr>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shd w:val="clear" w:color="auto" w:fill="edf2f8"/>
      <w:tblCellMar>
        <w:top w:w="0" w:type="dxa"/>
        <w:left w:w="108" w:type="dxa"/>
        <w:bottom w:w="0" w:type="dxa"/>
        <w:right w:w="108" w:type="dxa"/>
      </w:tblCellMar>
    </w:tblPr>
    <w:tblStylePr w:type="firstRow">
      <w:pPr/>
      <w:rPr>
        <w:b/>
        <w:bCs/>
      </w:rPr>
      <w:tblPr/>
      <w:tcPr>
        <w:tcBorders>
          <w:top w:val="nil"/>
          <w:left w:val="nil"/>
          <w:bottom w:val="single" w:sz="24" w:space="0" w:color="c0504d"/>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2c4c74"/>
      </w:tcPr>
    </w:tblStylePr>
    <w:tblStylePr w:type="band1Horz">
      <w:pPr/>
      <w:tblPr/>
      <w:tcPr>
        <w:tcBorders/>
        <w:shd w:val="clear" w:color="auto" w:fill="a7bfde"/>
      </w:tcPr>
    </w:tblStylePr>
    <w:tblStylePr w:type="firstCol">
      <w:pPr/>
      <w:rPr>
        <w:color w:val="ffffff"/>
      </w:rPr>
      <w:tblPr/>
      <w:tcPr>
        <w:tcBorders>
          <w:top w:val="nil"/>
          <w:left w:val="nil"/>
          <w:bottom w:val="nil"/>
          <w:right w:val="nil"/>
          <w:insideH w:val="single" w:sz="4" w:space="0" w:color="2c4c74"/>
          <w:insideV w:val="nil"/>
        </w:tcBorders>
        <w:shd w:val="clear" w:color="auto" w:fill="2c4c74"/>
      </w:tcPr>
    </w:tblStylePr>
    <w:tblStylePr w:type="lastCol">
      <w:pPr/>
      <w:rPr>
        <w:color w:val="ffffff"/>
      </w:rPr>
      <w:tblPr/>
      <w:tcPr>
        <w:tcBorders>
          <w:top w:val="nil"/>
          <w:left w:val="nil"/>
          <w:bottom w:val="nil"/>
          <w:right w:val="nil"/>
          <w:insideH w:val="nil"/>
          <w:insideV w:val="nil"/>
        </w:tcBorders>
        <w:shd w:val="clear" w:color="auto" w:fill="2c4c74"/>
      </w:tcPr>
    </w:tblStylePr>
    <w:tblStylePr w:type="band1Vert">
      <w:pPr/>
      <w:tblPr/>
      <w:tcPr>
        <w:tcBorders/>
        <w:shd w:val="clear" w:color="auto" w:fill="b8cce4"/>
      </w:tcPr>
    </w:tblStylePr>
    <w:tblStylePr w:type="neCell">
      <w:pPr/>
      <w:rPr>
        <w:color w:val="000000"/>
      </w:rPr>
      <w:tcPr>
        <w:tcBorders/>
      </w:tcPr>
    </w:tblStylePr>
    <w:tblStylePr w:type="nwCell">
      <w:pPr/>
      <w:rPr>
        <w:color w:val="000000"/>
      </w:rPr>
      <w:tcPr>
        <w:tcBorders/>
      </w:tcPr>
    </w:tblStylePr>
    <w:tcPr>
      <w:tcBorders/>
      <w:shd w:val="clear" w:color="auto" w:fill="edf2f8"/>
    </w:tcPr>
  </w:style>
  <w:style w:type="table" w:styleId="style201">
    <w:name w:val="Colorful Shading Accent 2"/>
    <w:basedOn w:val="style105"/>
    <w:next w:val="style201"/>
    <w:uiPriority w:val="71"/>
    <w:pPr>
      <w:spacing w:after="0" w:lineRule="auto" w:line="240"/>
    </w:pPr>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shd w:val="clear" w:color="auto" w:fill="f8eded"/>
      <w:tblCellMar>
        <w:top w:w="0" w:type="dxa"/>
        <w:left w:w="108" w:type="dxa"/>
        <w:bottom w:w="0" w:type="dxa"/>
        <w:right w:w="108" w:type="dxa"/>
      </w:tblCellMar>
    </w:tblPr>
    <w:tblStylePr w:type="firstRow">
      <w:pPr/>
      <w:rPr>
        <w:b/>
        <w:bCs/>
      </w:rPr>
      <w:tblPr/>
      <w:tcPr>
        <w:tcBorders>
          <w:top w:val="nil"/>
          <w:left w:val="nil"/>
          <w:bottom w:val="single" w:sz="24" w:space="0" w:color="c0504d"/>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772c2a"/>
      </w:tcPr>
    </w:tblStylePr>
    <w:tblStylePr w:type="band1Horz">
      <w:pPr/>
      <w:tblPr/>
      <w:tcPr>
        <w:tcBorders/>
        <w:shd w:val="clear" w:color="auto" w:fill="dfa7a6"/>
      </w:tcPr>
    </w:tblStylePr>
    <w:tblStylePr w:type="firstCol">
      <w:pPr/>
      <w:rPr>
        <w:color w:val="ffffff"/>
      </w:rPr>
      <w:tblPr/>
      <w:tcPr>
        <w:tcBorders>
          <w:top w:val="nil"/>
          <w:left w:val="nil"/>
          <w:bottom w:val="nil"/>
          <w:right w:val="nil"/>
          <w:insideH w:val="single" w:sz="4" w:space="0" w:color="772c2a"/>
          <w:insideV w:val="nil"/>
        </w:tcBorders>
        <w:shd w:val="clear" w:color="auto" w:fill="772c2a"/>
      </w:tcPr>
    </w:tblStylePr>
    <w:tblStylePr w:type="lastCol">
      <w:pPr/>
      <w:rPr>
        <w:color w:val="ffffff"/>
      </w:rPr>
      <w:tblPr/>
      <w:tcPr>
        <w:tcBorders>
          <w:top w:val="nil"/>
          <w:left w:val="nil"/>
          <w:bottom w:val="nil"/>
          <w:right w:val="nil"/>
          <w:insideH w:val="nil"/>
          <w:insideV w:val="nil"/>
        </w:tcBorders>
        <w:shd w:val="clear" w:color="auto" w:fill="772c2a"/>
      </w:tcPr>
    </w:tblStylePr>
    <w:tblStylePr w:type="band1Vert">
      <w:pPr/>
      <w:tblPr/>
      <w:tcPr>
        <w:tcBorders/>
        <w:shd w:val="clear" w:color="auto" w:fill="e5b8b7"/>
      </w:tcPr>
    </w:tblStylePr>
    <w:tblStylePr w:type="neCell">
      <w:pPr/>
      <w:rPr>
        <w:color w:val="000000"/>
      </w:rPr>
      <w:tcPr>
        <w:tcBorders/>
      </w:tcPr>
    </w:tblStylePr>
    <w:tblStylePr w:type="nwCell">
      <w:pPr/>
      <w:rPr>
        <w:color w:val="000000"/>
      </w:rPr>
      <w:tcPr>
        <w:tcBorders/>
      </w:tcPr>
    </w:tblStylePr>
    <w:tcPr>
      <w:tcBorders/>
      <w:shd w:val="clear" w:color="auto" w:fill="f8eded"/>
    </w:tcPr>
  </w:style>
  <w:style w:type="table" w:styleId="style215">
    <w:name w:val="Colorful Shading Accent 3"/>
    <w:basedOn w:val="style105"/>
    <w:next w:val="style215"/>
    <w:uiPriority w:val="71"/>
    <w:pPr>
      <w:spacing w:after="0" w:lineRule="auto" w:line="240"/>
    </w:pPr>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shd w:val="clear" w:color="auto" w:fill="f5f8ee"/>
      <w:tblCellMar>
        <w:top w:w="0" w:type="dxa"/>
        <w:left w:w="108" w:type="dxa"/>
        <w:bottom w:w="0" w:type="dxa"/>
        <w:right w:w="108" w:type="dxa"/>
      </w:tblCellMar>
    </w:tblPr>
    <w:tblStylePr w:type="firstRow">
      <w:pPr/>
      <w:rPr>
        <w:b/>
        <w:bCs/>
      </w:rPr>
      <w:tblPr/>
      <w:tcPr>
        <w:tcBorders>
          <w:top w:val="nil"/>
          <w:left w:val="nil"/>
          <w:bottom w:val="single" w:sz="24" w:space="0" w:color="8064a2"/>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5e7530"/>
      </w:tcPr>
    </w:tblStylePr>
    <w:tblStylePr w:type="band1Horz">
      <w:pPr/>
      <w:tblPr/>
      <w:tcPr>
        <w:tcBorders/>
        <w:shd w:val="clear" w:color="auto" w:fill="cdddac"/>
      </w:tcPr>
    </w:tblStylePr>
    <w:tblStylePr w:type="firstCol">
      <w:pPr/>
      <w:rPr>
        <w:color w:val="ffffff"/>
      </w:rPr>
      <w:tblPr/>
      <w:tcPr>
        <w:tcBorders>
          <w:top w:val="nil"/>
          <w:left w:val="nil"/>
          <w:bottom w:val="nil"/>
          <w:right w:val="nil"/>
          <w:insideH w:val="single" w:sz="4" w:space="0" w:color="5e7530"/>
          <w:insideV w:val="nil"/>
        </w:tcBorders>
        <w:shd w:val="clear" w:color="auto" w:fill="5e7530"/>
      </w:tcPr>
    </w:tblStylePr>
    <w:tblStylePr w:type="lastCol">
      <w:pPr/>
      <w:rPr>
        <w:color w:val="ffffff"/>
      </w:rPr>
      <w:tblPr/>
      <w:tcPr>
        <w:tcBorders>
          <w:top w:val="nil"/>
          <w:left w:val="nil"/>
          <w:bottom w:val="nil"/>
          <w:right w:val="nil"/>
          <w:insideH w:val="nil"/>
          <w:insideV w:val="nil"/>
        </w:tcBorders>
        <w:shd w:val="clear" w:color="auto" w:fill="5e7530"/>
      </w:tcPr>
    </w:tblStylePr>
    <w:tblStylePr w:type="band1Vert">
      <w:pPr/>
      <w:tblPr/>
      <w:tcPr>
        <w:tcBorders/>
        <w:shd w:val="clear" w:color="auto" w:fill="d6e3bc"/>
      </w:tcPr>
    </w:tblStylePr>
    <w:tcPr>
      <w:tcBorders/>
      <w:shd w:val="clear" w:color="auto" w:fill="f5f8ee"/>
    </w:tcPr>
  </w:style>
  <w:style w:type="table" w:styleId="style229">
    <w:name w:val="Colorful Shading Accent 4"/>
    <w:basedOn w:val="style105"/>
    <w:next w:val="style229"/>
    <w:uiPriority w:val="71"/>
    <w:pPr>
      <w:spacing w:after="0" w:lineRule="auto" w:line="240"/>
    </w:pPr>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shd w:val="clear" w:color="auto" w:fill="f2eff6"/>
      <w:tblCellMar>
        <w:top w:w="0" w:type="dxa"/>
        <w:left w:w="108" w:type="dxa"/>
        <w:bottom w:w="0" w:type="dxa"/>
        <w:right w:w="108" w:type="dxa"/>
      </w:tblCellMar>
    </w:tblPr>
    <w:tblStylePr w:type="firstRow">
      <w:pPr/>
      <w:rPr>
        <w:b/>
        <w:bCs/>
      </w:rPr>
      <w:tblPr/>
      <w:tcPr>
        <w:tcBorders>
          <w:top w:val="nil"/>
          <w:left w:val="nil"/>
          <w:bottom w:val="single" w:sz="24" w:space="0" w:color="9bbb59"/>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4c3b62"/>
      </w:tcPr>
    </w:tblStylePr>
    <w:tblStylePr w:type="band1Horz">
      <w:pPr/>
      <w:tblPr/>
      <w:tcPr>
        <w:tcBorders/>
        <w:shd w:val="clear" w:color="auto" w:fill="bfb1d0"/>
      </w:tcPr>
    </w:tblStylePr>
    <w:tblStylePr w:type="firstCol">
      <w:pPr/>
      <w:rPr>
        <w:color w:val="ffffff"/>
      </w:rPr>
      <w:tblPr/>
      <w:tcPr>
        <w:tcBorders>
          <w:top w:val="nil"/>
          <w:left w:val="nil"/>
          <w:bottom w:val="nil"/>
          <w:right w:val="nil"/>
          <w:insideH w:val="single" w:sz="4" w:space="0" w:color="4c3b62"/>
          <w:insideV w:val="nil"/>
        </w:tcBorders>
        <w:shd w:val="clear" w:color="auto" w:fill="4c3b62"/>
      </w:tcPr>
    </w:tblStylePr>
    <w:tblStylePr w:type="lastCol">
      <w:pPr/>
      <w:rPr>
        <w:color w:val="ffffff"/>
      </w:rPr>
      <w:tblPr/>
      <w:tcPr>
        <w:tcBorders>
          <w:top w:val="nil"/>
          <w:left w:val="nil"/>
          <w:bottom w:val="nil"/>
          <w:right w:val="nil"/>
          <w:insideH w:val="nil"/>
          <w:insideV w:val="nil"/>
        </w:tcBorders>
        <w:shd w:val="clear" w:color="auto" w:fill="4c3b62"/>
      </w:tcPr>
    </w:tblStylePr>
    <w:tblStylePr w:type="band1Vert">
      <w:pPr/>
      <w:tblPr/>
      <w:tcPr>
        <w:tcBorders/>
        <w:shd w:val="clear" w:color="auto" w:fill="ccc0d9"/>
      </w:tcPr>
    </w:tblStylePr>
    <w:tblStylePr w:type="neCell">
      <w:pPr/>
      <w:rPr>
        <w:color w:val="000000"/>
      </w:rPr>
      <w:tcPr>
        <w:tcBorders/>
      </w:tcPr>
    </w:tblStylePr>
    <w:tblStylePr w:type="nwCell">
      <w:pPr/>
      <w:rPr>
        <w:color w:val="000000"/>
      </w:rPr>
      <w:tcPr>
        <w:tcBorders/>
      </w:tcPr>
    </w:tblStylePr>
    <w:tcPr>
      <w:tcBorders/>
      <w:shd w:val="clear" w:color="auto" w:fill="f2eff6"/>
    </w:tcPr>
  </w:style>
  <w:style w:type="table" w:styleId="style243">
    <w:name w:val="Colorful Shading Accent 5"/>
    <w:basedOn w:val="style105"/>
    <w:next w:val="style243"/>
    <w:uiPriority w:val="71"/>
    <w:pPr>
      <w:spacing w:after="0" w:lineRule="auto" w:line="240"/>
    </w:pPr>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shd w:val="clear" w:color="auto" w:fill="edf6f9"/>
      <w:tblCellMar>
        <w:top w:w="0" w:type="dxa"/>
        <w:left w:w="108" w:type="dxa"/>
        <w:bottom w:w="0" w:type="dxa"/>
        <w:right w:w="108" w:type="dxa"/>
      </w:tblCellMar>
    </w:tblPr>
    <w:tblStylePr w:type="firstRow">
      <w:pPr/>
      <w:rPr>
        <w:b/>
        <w:bCs/>
      </w:rPr>
      <w:tblPr/>
      <w:tcPr>
        <w:tcBorders>
          <w:top w:val="nil"/>
          <w:left w:val="nil"/>
          <w:bottom w:val="single" w:sz="24" w:space="0" w:color="f79646"/>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276a7c"/>
      </w:tcPr>
    </w:tblStylePr>
    <w:tblStylePr w:type="band1Horz">
      <w:pPr/>
      <w:tblPr/>
      <w:tcPr>
        <w:tcBorders/>
        <w:shd w:val="clear" w:color="auto" w:fill="a5d5e2"/>
      </w:tcPr>
    </w:tblStylePr>
    <w:tblStylePr w:type="firstCol">
      <w:pPr/>
      <w:rPr>
        <w:color w:val="ffffff"/>
      </w:rPr>
      <w:tblPr/>
      <w:tcPr>
        <w:tcBorders>
          <w:top w:val="nil"/>
          <w:left w:val="nil"/>
          <w:bottom w:val="nil"/>
          <w:right w:val="nil"/>
          <w:insideH w:val="single" w:sz="4" w:space="0" w:color="276a7c"/>
          <w:insideV w:val="nil"/>
        </w:tcBorders>
        <w:shd w:val="clear" w:color="auto" w:fill="276a7c"/>
      </w:tcPr>
    </w:tblStylePr>
    <w:tblStylePr w:type="lastCol">
      <w:pPr/>
      <w:rPr>
        <w:color w:val="ffffff"/>
      </w:rPr>
      <w:tblPr/>
      <w:tcPr>
        <w:tcBorders>
          <w:top w:val="nil"/>
          <w:left w:val="nil"/>
          <w:bottom w:val="nil"/>
          <w:right w:val="nil"/>
          <w:insideH w:val="nil"/>
          <w:insideV w:val="nil"/>
        </w:tcBorders>
        <w:shd w:val="clear" w:color="auto" w:fill="276a7c"/>
      </w:tcPr>
    </w:tblStylePr>
    <w:tblStylePr w:type="band1Vert">
      <w:pPr/>
      <w:tblPr/>
      <w:tcPr>
        <w:tcBorders/>
        <w:shd w:val="clear" w:color="auto" w:fill="b6dde8"/>
      </w:tcPr>
    </w:tblStylePr>
    <w:tblStylePr w:type="neCell">
      <w:pPr/>
      <w:rPr>
        <w:color w:val="000000"/>
      </w:rPr>
      <w:tcPr>
        <w:tcBorders/>
      </w:tcPr>
    </w:tblStylePr>
    <w:tblStylePr w:type="nwCell">
      <w:pPr/>
      <w:rPr>
        <w:color w:val="000000"/>
      </w:rPr>
      <w:tcPr>
        <w:tcBorders/>
      </w:tcPr>
    </w:tblStylePr>
    <w:tcPr>
      <w:tcBorders/>
      <w:shd w:val="clear" w:color="auto" w:fill="edf6f9"/>
    </w:tcPr>
  </w:style>
  <w:style w:type="table" w:styleId="style257">
    <w:name w:val="Colorful Shading Accent 6"/>
    <w:basedOn w:val="style105"/>
    <w:next w:val="style257"/>
    <w:uiPriority w:val="71"/>
    <w:pPr>
      <w:spacing w:after="0" w:lineRule="auto" w:line="240"/>
    </w:pPr>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shd w:val="clear" w:color="auto" w:fill="fef4ec"/>
      <w:tblCellMar>
        <w:top w:w="0" w:type="dxa"/>
        <w:left w:w="108" w:type="dxa"/>
        <w:bottom w:w="0" w:type="dxa"/>
        <w:right w:w="108" w:type="dxa"/>
      </w:tblCellMar>
    </w:tblPr>
    <w:tblStylePr w:type="firstRow">
      <w:pPr/>
      <w:rPr>
        <w:b/>
        <w:bCs/>
      </w:rPr>
      <w:tblPr/>
      <w:tcPr>
        <w:tcBorders>
          <w:top w:val="nil"/>
          <w:left w:val="nil"/>
          <w:bottom w:val="single" w:sz="24" w:space="0" w:color="4bacc6"/>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b65608"/>
      </w:tcPr>
    </w:tblStylePr>
    <w:tblStylePr w:type="band1Horz">
      <w:pPr/>
      <w:tblPr/>
      <w:tcPr>
        <w:tcBorders/>
        <w:shd w:val="clear" w:color="auto" w:fill="fbcaa2"/>
      </w:tcPr>
    </w:tblStylePr>
    <w:tblStylePr w:type="firstCol">
      <w:pPr/>
      <w:rPr>
        <w:color w:val="ffffff"/>
      </w:rPr>
      <w:tblPr/>
      <w:tcPr>
        <w:tcBorders>
          <w:top w:val="nil"/>
          <w:left w:val="nil"/>
          <w:bottom w:val="nil"/>
          <w:right w:val="nil"/>
          <w:insideH w:val="single" w:sz="4" w:space="0" w:color="b65608"/>
          <w:insideV w:val="nil"/>
        </w:tcBorders>
        <w:shd w:val="clear" w:color="auto" w:fill="b65608"/>
      </w:tcPr>
    </w:tblStylePr>
    <w:tblStylePr w:type="lastCol">
      <w:pPr/>
      <w:rPr>
        <w:color w:val="ffffff"/>
      </w:rPr>
      <w:tblPr/>
      <w:tcPr>
        <w:tcBorders>
          <w:top w:val="nil"/>
          <w:left w:val="nil"/>
          <w:bottom w:val="nil"/>
          <w:right w:val="nil"/>
          <w:insideH w:val="nil"/>
          <w:insideV w:val="nil"/>
        </w:tcBorders>
        <w:shd w:val="clear" w:color="auto" w:fill="b65608"/>
      </w:tcPr>
    </w:tblStylePr>
    <w:tblStylePr w:type="band1Vert">
      <w:pPr/>
      <w:tblPr/>
      <w:tcPr>
        <w:tcBorders/>
        <w:shd w:val="clear" w:color="auto" w:fill="fbd4b4"/>
      </w:tcPr>
    </w:tblStylePr>
    <w:tblStylePr w:type="neCell">
      <w:pPr/>
      <w:rPr>
        <w:color w:val="000000"/>
      </w:rPr>
      <w:tcPr>
        <w:tcBorders/>
      </w:tcPr>
    </w:tblStylePr>
    <w:tblStylePr w:type="nwCell">
      <w:pPr/>
      <w:rPr>
        <w:color w:val="000000"/>
      </w:rPr>
      <w:tcPr>
        <w:tcBorders/>
      </w:tcPr>
    </w:tblStylePr>
    <w:tcPr>
      <w:tcBorders/>
      <w:shd w:val="clear" w:color="auto" w:fill="fef4ec"/>
    </w:tcPr>
  </w:style>
  <w:style w:type="table" w:styleId="style170">
    <w:name w:val="Colorful List"/>
    <w:basedOn w:val="style105"/>
    <w:next w:val="style170"/>
    <w:uiPriority w:val="72"/>
    <w:pPr>
      <w:spacing w:after="0" w:lineRule="auto" w:line="240"/>
    </w:pPr>
    <w:rPr>
      <w:color w:val="000000"/>
    </w:rPr>
    <w:tblPr>
      <w:tblStyleRowBandSize w:val="1"/>
      <w:tblStyleColBandSize w:val="1"/>
      <w:tblInd w:w="0" w:type="dxa"/>
      <w:shd w:val="clear" w:color="auto" w:fill="e6e6e6"/>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9e3a38"/>
      </w:tcPr>
    </w:tblStylePr>
    <w:tblStylePr w:type="lastRow">
      <w:pPr/>
      <w:rPr>
        <w:b/>
        <w:bCs/>
        <w:color w:val="9e3a38"/>
      </w:rPr>
      <w:tblPr/>
      <w:tcPr>
        <w:tcBorders>
          <w:top w:val="single" w:sz="12" w:space="0" w:color="000000"/>
        </w:tcBorders>
        <w:shd w:val="clear" w:color="auto" w:fill="ffffff"/>
      </w:tcPr>
    </w:tblStylePr>
    <w:tblStylePr w:type="band1Horz">
      <w:pPr/>
      <w:tblPr/>
      <w:tcPr>
        <w:tcBorders/>
        <w:shd w:val="clear" w:color="auto" w:fill="cccccc"/>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c0c0c0"/>
      </w:tcPr>
    </w:tblStylePr>
    <w:tcPr>
      <w:tcBorders/>
      <w:shd w:val="clear" w:color="auto" w:fill="e6e6e6"/>
    </w:tcPr>
  </w:style>
  <w:style w:type="table" w:styleId="style188">
    <w:name w:val="Colorful List Accent 1"/>
    <w:basedOn w:val="style105"/>
    <w:next w:val="style188"/>
    <w:uiPriority w:val="72"/>
    <w:pPr>
      <w:spacing w:after="0" w:lineRule="auto" w:line="240"/>
    </w:pPr>
    <w:rPr>
      <w:color w:val="000000"/>
    </w:rPr>
    <w:tblPr>
      <w:tblStyleRowBandSize w:val="1"/>
      <w:tblStyleColBandSize w:val="1"/>
      <w:tblInd w:w="0" w:type="dxa"/>
      <w:shd w:val="clear" w:color="auto" w:fill="edf2f8"/>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9e3a38"/>
      </w:tcPr>
    </w:tblStylePr>
    <w:tblStylePr w:type="lastRow">
      <w:pPr/>
      <w:rPr>
        <w:b/>
        <w:bCs/>
        <w:color w:val="9e3a38"/>
      </w:rPr>
      <w:tblPr/>
      <w:tcPr>
        <w:tcBorders>
          <w:top w:val="single" w:sz="12" w:space="0" w:color="000000"/>
        </w:tcBorders>
        <w:shd w:val="clear" w:color="auto" w:fill="ffffff"/>
      </w:tcPr>
    </w:tblStylePr>
    <w:tblStylePr w:type="band1Horz">
      <w:pPr/>
      <w:tblPr/>
      <w:tcPr>
        <w:tcBorders/>
        <w:shd w:val="clear" w:color="auto" w:fill="dbe5f1"/>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d3dfee"/>
      </w:tcPr>
    </w:tblStylePr>
    <w:tcPr>
      <w:tcBorders/>
      <w:shd w:val="clear" w:color="auto" w:fill="edf2f8"/>
    </w:tcPr>
  </w:style>
  <w:style w:type="table" w:styleId="style202">
    <w:name w:val="Colorful List Accent 2"/>
    <w:basedOn w:val="style105"/>
    <w:next w:val="style202"/>
    <w:uiPriority w:val="72"/>
    <w:pPr>
      <w:spacing w:after="0" w:lineRule="auto" w:line="240"/>
    </w:pPr>
    <w:rPr>
      <w:color w:val="000000"/>
    </w:rPr>
    <w:tblPr>
      <w:tblStyleRowBandSize w:val="1"/>
      <w:tblStyleColBandSize w:val="1"/>
      <w:tblInd w:w="0" w:type="dxa"/>
      <w:shd w:val="clear" w:color="auto" w:fill="f8eded"/>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9e3a38"/>
      </w:tcPr>
    </w:tblStylePr>
    <w:tblStylePr w:type="lastRow">
      <w:pPr/>
      <w:rPr>
        <w:b/>
        <w:bCs/>
        <w:color w:val="9e3a38"/>
      </w:rPr>
      <w:tblPr/>
      <w:tcPr>
        <w:tcBorders>
          <w:top w:val="single" w:sz="12" w:space="0" w:color="000000"/>
        </w:tcBorders>
        <w:shd w:val="clear" w:color="auto" w:fill="ffffff"/>
      </w:tcPr>
    </w:tblStylePr>
    <w:tblStylePr w:type="band1Horz">
      <w:pPr/>
      <w:tblPr/>
      <w:tcPr>
        <w:tcBorders/>
        <w:shd w:val="clear" w:color="auto" w:fill="f2dbdb"/>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efd3d2"/>
      </w:tcPr>
    </w:tblStylePr>
    <w:tcPr>
      <w:tcBorders/>
      <w:shd w:val="clear" w:color="auto" w:fill="f8eded"/>
    </w:tcPr>
  </w:style>
  <w:style w:type="table" w:styleId="style216">
    <w:name w:val="Colorful List Accent 3"/>
    <w:basedOn w:val="style105"/>
    <w:next w:val="style216"/>
    <w:uiPriority w:val="72"/>
    <w:pPr>
      <w:spacing w:after="0" w:lineRule="auto" w:line="240"/>
    </w:pPr>
    <w:rPr>
      <w:color w:val="000000"/>
    </w:rPr>
    <w:tblPr>
      <w:tblStyleRowBandSize w:val="1"/>
      <w:tblStyleColBandSize w:val="1"/>
      <w:tblInd w:w="0" w:type="dxa"/>
      <w:shd w:val="clear" w:color="auto" w:fill="f5f8ee"/>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664e82"/>
      </w:tcPr>
    </w:tblStylePr>
    <w:tblStylePr w:type="lastRow">
      <w:pPr/>
      <w:rPr>
        <w:b/>
        <w:bCs/>
        <w:color w:val="664e82"/>
      </w:rPr>
      <w:tblPr/>
      <w:tcPr>
        <w:tcBorders>
          <w:top w:val="single" w:sz="12" w:space="0" w:color="000000"/>
        </w:tcBorders>
        <w:shd w:val="clear" w:color="auto" w:fill="ffffff"/>
      </w:tcPr>
    </w:tblStylePr>
    <w:tblStylePr w:type="band1Horz">
      <w:pPr/>
      <w:tblPr/>
      <w:tcPr>
        <w:tcBorders/>
        <w:shd w:val="clear" w:color="auto" w:fill="eaf1dd"/>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e6eed5"/>
      </w:tcPr>
    </w:tblStylePr>
    <w:tcPr>
      <w:tcBorders/>
      <w:shd w:val="clear" w:color="auto" w:fill="f5f8ee"/>
    </w:tcPr>
  </w:style>
  <w:style w:type="table" w:styleId="style230">
    <w:name w:val="Colorful List Accent 4"/>
    <w:basedOn w:val="style105"/>
    <w:next w:val="style230"/>
    <w:uiPriority w:val="72"/>
    <w:pPr>
      <w:spacing w:after="0" w:lineRule="auto" w:line="240"/>
    </w:pPr>
    <w:rPr>
      <w:color w:val="000000"/>
    </w:rPr>
    <w:tblPr>
      <w:tblStyleRowBandSize w:val="1"/>
      <w:tblStyleColBandSize w:val="1"/>
      <w:tblInd w:w="0" w:type="dxa"/>
      <w:shd w:val="clear" w:color="auto" w:fill="f2eff6"/>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7e9c40"/>
      </w:tcPr>
    </w:tblStylePr>
    <w:tblStylePr w:type="lastRow">
      <w:pPr/>
      <w:rPr>
        <w:b/>
        <w:bCs/>
        <w:color w:val="7e9c40"/>
      </w:rPr>
      <w:tblPr/>
      <w:tcPr>
        <w:tcBorders>
          <w:top w:val="single" w:sz="12" w:space="0" w:color="000000"/>
        </w:tcBorders>
        <w:shd w:val="clear" w:color="auto" w:fill="ffffff"/>
      </w:tcPr>
    </w:tblStylePr>
    <w:tblStylePr w:type="band1Horz">
      <w:pPr/>
      <w:tblPr/>
      <w:tcPr>
        <w:tcBorders/>
        <w:shd w:val="clear" w:color="auto" w:fill="e5dfec"/>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dfd8e8"/>
      </w:tcPr>
    </w:tblStylePr>
    <w:tcPr>
      <w:tcBorders/>
      <w:shd w:val="clear" w:color="auto" w:fill="f2eff6"/>
    </w:tcPr>
  </w:style>
  <w:style w:type="table" w:styleId="style244">
    <w:name w:val="Colorful List Accent 5"/>
    <w:basedOn w:val="style105"/>
    <w:next w:val="style244"/>
    <w:uiPriority w:val="72"/>
    <w:pPr>
      <w:spacing w:after="0" w:lineRule="auto" w:line="240"/>
    </w:pPr>
    <w:rPr>
      <w:color w:val="000000"/>
    </w:rPr>
    <w:tblPr>
      <w:tblStyleRowBandSize w:val="1"/>
      <w:tblStyleColBandSize w:val="1"/>
      <w:tblInd w:w="0" w:type="dxa"/>
      <w:shd w:val="clear" w:color="auto" w:fill="edf6f9"/>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f2730a"/>
      </w:tcPr>
    </w:tblStylePr>
    <w:tblStylePr w:type="lastRow">
      <w:pPr/>
      <w:rPr>
        <w:b/>
        <w:bCs/>
        <w:color w:val="f2730a"/>
      </w:rPr>
      <w:tblPr/>
      <w:tcPr>
        <w:tcBorders>
          <w:top w:val="single" w:sz="12" w:space="0" w:color="000000"/>
        </w:tcBorders>
        <w:shd w:val="clear" w:color="auto" w:fill="ffffff"/>
      </w:tcPr>
    </w:tblStylePr>
    <w:tblStylePr w:type="band1Horz">
      <w:pPr/>
      <w:tblPr/>
      <w:tcPr>
        <w:tcBorders/>
        <w:shd w:val="clear" w:color="auto" w:fill="daeef3"/>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d2eaf1"/>
      </w:tcPr>
    </w:tblStylePr>
    <w:tcPr>
      <w:tcBorders/>
      <w:shd w:val="clear" w:color="auto" w:fill="edf6f9"/>
    </w:tcPr>
  </w:style>
  <w:style w:type="table" w:styleId="style258">
    <w:name w:val="Colorful List Accent 6"/>
    <w:basedOn w:val="style105"/>
    <w:next w:val="style258"/>
    <w:uiPriority w:val="72"/>
    <w:pPr>
      <w:spacing w:after="0" w:lineRule="auto" w:line="240"/>
    </w:pPr>
    <w:rPr>
      <w:color w:val="000000"/>
    </w:rPr>
    <w:tblPr>
      <w:tblStyleRowBandSize w:val="1"/>
      <w:tblStyleColBandSize w:val="1"/>
      <w:tblInd w:w="0" w:type="dxa"/>
      <w:shd w:val="clear" w:color="auto" w:fill="fef4ec"/>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348da5"/>
      </w:tcPr>
    </w:tblStylePr>
    <w:tblStylePr w:type="lastRow">
      <w:pPr/>
      <w:rPr>
        <w:b/>
        <w:bCs/>
        <w:color w:val="348da5"/>
      </w:rPr>
      <w:tblPr/>
      <w:tcPr>
        <w:tcBorders>
          <w:top w:val="single" w:sz="12" w:space="0" w:color="000000"/>
        </w:tcBorders>
        <w:shd w:val="clear" w:color="auto" w:fill="ffffff"/>
      </w:tcPr>
    </w:tblStylePr>
    <w:tblStylePr w:type="band1Horz">
      <w:pPr/>
      <w:tblPr/>
      <w:tcPr>
        <w:tcBorders/>
        <w:shd w:val="clear" w:color="auto" w:fill="fde9d9"/>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fde4d0"/>
      </w:tcPr>
    </w:tblStylePr>
    <w:tcPr>
      <w:tcBorders/>
      <w:shd w:val="clear" w:color="auto" w:fill="fef4ec"/>
    </w:tcPr>
  </w:style>
  <w:style w:type="table" w:styleId="style171">
    <w:name w:val="Colorful Grid"/>
    <w:basedOn w:val="style105"/>
    <w:next w:val="style171"/>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cccccc"/>
      <w:tblCellMar>
        <w:top w:w="0" w:type="dxa"/>
        <w:left w:w="108" w:type="dxa"/>
        <w:bottom w:w="0" w:type="dxa"/>
        <w:right w:w="108" w:type="dxa"/>
      </w:tblCellMar>
    </w:tblPr>
    <w:tblStylePr w:type="firstRow">
      <w:pPr/>
      <w:rPr>
        <w:b/>
        <w:bCs/>
      </w:rPr>
      <w:tblPr/>
      <w:tcPr>
        <w:tcBorders/>
        <w:shd w:val="clear" w:color="auto" w:fill="999999"/>
      </w:tcPr>
    </w:tblStylePr>
    <w:tblStylePr w:type="lastRow">
      <w:pPr/>
      <w:rPr>
        <w:b/>
        <w:bCs/>
        <w:color w:val="000000"/>
      </w:rPr>
      <w:tblPr/>
      <w:tcPr>
        <w:tcBorders/>
        <w:shd w:val="clear" w:color="auto" w:fill="999999"/>
      </w:tcPr>
    </w:tblStylePr>
    <w:tblStylePr w:type="band1Horz">
      <w:pPr/>
      <w:tblPr/>
      <w:tcPr>
        <w:tcBorders/>
        <w:shd w:val="clear" w:color="auto" w:fill="808080"/>
      </w:tcPr>
    </w:tblStylePr>
    <w:tblStylePr w:type="firstCol">
      <w:pPr/>
      <w:rPr>
        <w:color w:val="ffffff"/>
      </w:rPr>
      <w:tblPr/>
      <w:tcPr>
        <w:tcBorders/>
        <w:shd w:val="clear" w:color="auto" w:fill="000000"/>
      </w:tcPr>
    </w:tblStylePr>
    <w:tblStylePr w:type="lastCol">
      <w:pPr/>
      <w:rPr>
        <w:color w:val="ffffff"/>
      </w:rPr>
      <w:tblPr/>
      <w:tcPr>
        <w:tcBorders/>
        <w:shd w:val="clear" w:color="auto" w:fill="000000"/>
      </w:tcPr>
    </w:tblStylePr>
    <w:tblStylePr w:type="band1Vert">
      <w:pPr/>
      <w:tblPr/>
      <w:tcPr>
        <w:tcBorders/>
        <w:shd w:val="clear" w:color="auto" w:fill="808080"/>
      </w:tcPr>
    </w:tblStylePr>
    <w:tcPr>
      <w:tcBorders/>
      <w:shd w:val="clear" w:color="auto" w:fill="cccccc"/>
    </w:tcPr>
  </w:style>
  <w:style w:type="table" w:styleId="style189">
    <w:name w:val="Colorful Grid Accent 1"/>
    <w:basedOn w:val="style105"/>
    <w:next w:val="style189"/>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dbe5f1"/>
      <w:tblCellMar>
        <w:top w:w="0" w:type="dxa"/>
        <w:left w:w="108" w:type="dxa"/>
        <w:bottom w:w="0" w:type="dxa"/>
        <w:right w:w="108" w:type="dxa"/>
      </w:tblCellMar>
    </w:tblPr>
    <w:tblStylePr w:type="firstRow">
      <w:pPr/>
      <w:rPr>
        <w:b/>
        <w:bCs/>
      </w:rPr>
      <w:tblPr/>
      <w:tcPr>
        <w:tcBorders/>
        <w:shd w:val="clear" w:color="auto" w:fill="b8cce4"/>
      </w:tcPr>
    </w:tblStylePr>
    <w:tblStylePr w:type="lastRow">
      <w:pPr/>
      <w:rPr>
        <w:b/>
        <w:bCs/>
        <w:color w:val="000000"/>
      </w:rPr>
      <w:tblPr/>
      <w:tcPr>
        <w:tcBorders/>
        <w:shd w:val="clear" w:color="auto" w:fill="b8cce4"/>
      </w:tcPr>
    </w:tblStylePr>
    <w:tblStylePr w:type="band1Horz">
      <w:pPr/>
      <w:tblPr/>
      <w:tcPr>
        <w:tcBorders/>
        <w:shd w:val="clear" w:color="auto" w:fill="a7bfde"/>
      </w:tcPr>
    </w:tblStylePr>
    <w:tblStylePr w:type="firstCol">
      <w:pPr/>
      <w:rPr>
        <w:color w:val="ffffff"/>
      </w:rPr>
      <w:tblPr/>
      <w:tcPr>
        <w:tcBorders/>
        <w:shd w:val="clear" w:color="auto" w:fill="365f91"/>
      </w:tcPr>
    </w:tblStylePr>
    <w:tblStylePr w:type="lastCol">
      <w:pPr/>
      <w:rPr>
        <w:color w:val="ffffff"/>
      </w:rPr>
      <w:tblPr/>
      <w:tcPr>
        <w:tcBorders/>
        <w:shd w:val="clear" w:color="auto" w:fill="365f91"/>
      </w:tcPr>
    </w:tblStylePr>
    <w:tblStylePr w:type="band1Vert">
      <w:pPr/>
      <w:tblPr/>
      <w:tcPr>
        <w:tcBorders/>
        <w:shd w:val="clear" w:color="auto" w:fill="a7bfde"/>
      </w:tcPr>
    </w:tblStylePr>
    <w:tcPr>
      <w:tcBorders/>
      <w:shd w:val="clear" w:color="auto" w:fill="dbe5f1"/>
    </w:tcPr>
  </w:style>
  <w:style w:type="table" w:styleId="style203">
    <w:name w:val="Colorful Grid Accent 2"/>
    <w:basedOn w:val="style105"/>
    <w:next w:val="style203"/>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f2dbdb"/>
      <w:tblCellMar>
        <w:top w:w="0" w:type="dxa"/>
        <w:left w:w="108" w:type="dxa"/>
        <w:bottom w:w="0" w:type="dxa"/>
        <w:right w:w="108" w:type="dxa"/>
      </w:tblCellMar>
    </w:tblPr>
    <w:tblStylePr w:type="firstRow">
      <w:pPr/>
      <w:rPr>
        <w:b/>
        <w:bCs/>
      </w:rPr>
      <w:tblPr/>
      <w:tcPr>
        <w:tcBorders/>
        <w:shd w:val="clear" w:color="auto" w:fill="e5b8b7"/>
      </w:tcPr>
    </w:tblStylePr>
    <w:tblStylePr w:type="lastRow">
      <w:pPr/>
      <w:rPr>
        <w:b/>
        <w:bCs/>
        <w:color w:val="000000"/>
      </w:rPr>
      <w:tblPr/>
      <w:tcPr>
        <w:tcBorders/>
        <w:shd w:val="clear" w:color="auto" w:fill="e5b8b7"/>
      </w:tcPr>
    </w:tblStylePr>
    <w:tblStylePr w:type="band1Horz">
      <w:pPr/>
      <w:tblPr/>
      <w:tcPr>
        <w:tcBorders/>
        <w:shd w:val="clear" w:color="auto" w:fill="dfa7a6"/>
      </w:tcPr>
    </w:tblStylePr>
    <w:tblStylePr w:type="firstCol">
      <w:pPr/>
      <w:rPr>
        <w:color w:val="ffffff"/>
      </w:rPr>
      <w:tblPr/>
      <w:tcPr>
        <w:tcBorders/>
        <w:shd w:val="clear" w:color="auto" w:fill="943634"/>
      </w:tcPr>
    </w:tblStylePr>
    <w:tblStylePr w:type="lastCol">
      <w:pPr/>
      <w:rPr>
        <w:color w:val="ffffff"/>
      </w:rPr>
      <w:tblPr/>
      <w:tcPr>
        <w:tcBorders/>
        <w:shd w:val="clear" w:color="auto" w:fill="943634"/>
      </w:tcPr>
    </w:tblStylePr>
    <w:tblStylePr w:type="band1Vert">
      <w:pPr/>
      <w:tblPr/>
      <w:tcPr>
        <w:tcBorders/>
        <w:shd w:val="clear" w:color="auto" w:fill="dfa7a6"/>
      </w:tcPr>
    </w:tblStylePr>
    <w:tcPr>
      <w:tcBorders/>
      <w:shd w:val="clear" w:color="auto" w:fill="f2dbdb"/>
    </w:tcPr>
  </w:style>
  <w:style w:type="table" w:styleId="style217">
    <w:name w:val="Colorful Grid Accent 3"/>
    <w:basedOn w:val="style105"/>
    <w:next w:val="style217"/>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eaf1dd"/>
      <w:tblCellMar>
        <w:top w:w="0" w:type="dxa"/>
        <w:left w:w="108" w:type="dxa"/>
        <w:bottom w:w="0" w:type="dxa"/>
        <w:right w:w="108" w:type="dxa"/>
      </w:tblCellMar>
    </w:tblPr>
    <w:tblStylePr w:type="firstRow">
      <w:pPr/>
      <w:rPr>
        <w:b/>
        <w:bCs/>
      </w:rPr>
      <w:tblPr/>
      <w:tcPr>
        <w:tcBorders/>
        <w:shd w:val="clear" w:color="auto" w:fill="d6e3bc"/>
      </w:tcPr>
    </w:tblStylePr>
    <w:tblStylePr w:type="lastRow">
      <w:pPr/>
      <w:rPr>
        <w:b/>
        <w:bCs/>
        <w:color w:val="000000"/>
      </w:rPr>
      <w:tblPr/>
      <w:tcPr>
        <w:tcBorders/>
        <w:shd w:val="clear" w:color="auto" w:fill="d6e3bc"/>
      </w:tcPr>
    </w:tblStylePr>
    <w:tblStylePr w:type="band1Horz">
      <w:pPr/>
      <w:tblPr/>
      <w:tcPr>
        <w:tcBorders/>
        <w:shd w:val="clear" w:color="auto" w:fill="cdddac"/>
      </w:tcPr>
    </w:tblStylePr>
    <w:tblStylePr w:type="firstCol">
      <w:pPr/>
      <w:rPr>
        <w:color w:val="ffffff"/>
      </w:rPr>
      <w:tblPr/>
      <w:tcPr>
        <w:tcBorders/>
        <w:shd w:val="clear" w:color="auto" w:fill="76923c"/>
      </w:tcPr>
    </w:tblStylePr>
    <w:tblStylePr w:type="lastCol">
      <w:pPr/>
      <w:rPr>
        <w:color w:val="ffffff"/>
      </w:rPr>
      <w:tblPr/>
      <w:tcPr>
        <w:tcBorders/>
        <w:shd w:val="clear" w:color="auto" w:fill="76923c"/>
      </w:tcPr>
    </w:tblStylePr>
    <w:tblStylePr w:type="band1Vert">
      <w:pPr/>
      <w:tblPr/>
      <w:tcPr>
        <w:tcBorders/>
        <w:shd w:val="clear" w:color="auto" w:fill="cdddac"/>
      </w:tcPr>
    </w:tblStylePr>
    <w:tcPr>
      <w:tcBorders/>
      <w:shd w:val="clear" w:color="auto" w:fill="eaf1dd"/>
    </w:tcPr>
  </w:style>
  <w:style w:type="table" w:styleId="style231">
    <w:name w:val="Colorful Grid Accent 4"/>
    <w:basedOn w:val="style105"/>
    <w:next w:val="style231"/>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e5dfec"/>
      <w:tblCellMar>
        <w:top w:w="0" w:type="dxa"/>
        <w:left w:w="108" w:type="dxa"/>
        <w:bottom w:w="0" w:type="dxa"/>
        <w:right w:w="108" w:type="dxa"/>
      </w:tblCellMar>
    </w:tblPr>
    <w:tblStylePr w:type="firstRow">
      <w:pPr/>
      <w:rPr>
        <w:b/>
        <w:bCs/>
      </w:rPr>
      <w:tblPr/>
      <w:tcPr>
        <w:tcBorders/>
        <w:shd w:val="clear" w:color="auto" w:fill="ccc0d9"/>
      </w:tcPr>
    </w:tblStylePr>
    <w:tblStylePr w:type="lastRow">
      <w:pPr/>
      <w:rPr>
        <w:b/>
        <w:bCs/>
        <w:color w:val="000000"/>
      </w:rPr>
      <w:tblPr/>
      <w:tcPr>
        <w:tcBorders/>
        <w:shd w:val="clear" w:color="auto" w:fill="ccc0d9"/>
      </w:tcPr>
    </w:tblStylePr>
    <w:tblStylePr w:type="band1Horz">
      <w:pPr/>
      <w:tblPr/>
      <w:tcPr>
        <w:tcBorders/>
        <w:shd w:val="clear" w:color="auto" w:fill="bfb1d0"/>
      </w:tcPr>
    </w:tblStylePr>
    <w:tblStylePr w:type="firstCol">
      <w:pPr/>
      <w:rPr>
        <w:color w:val="ffffff"/>
      </w:rPr>
      <w:tblPr/>
      <w:tcPr>
        <w:tcBorders/>
        <w:shd w:val="clear" w:color="auto" w:fill="5f497a"/>
      </w:tcPr>
    </w:tblStylePr>
    <w:tblStylePr w:type="lastCol">
      <w:pPr/>
      <w:rPr>
        <w:color w:val="ffffff"/>
      </w:rPr>
      <w:tblPr/>
      <w:tcPr>
        <w:tcBorders/>
        <w:shd w:val="clear" w:color="auto" w:fill="5f497a"/>
      </w:tcPr>
    </w:tblStylePr>
    <w:tblStylePr w:type="band1Vert">
      <w:pPr/>
      <w:tblPr/>
      <w:tcPr>
        <w:tcBorders/>
        <w:shd w:val="clear" w:color="auto" w:fill="bfb1d0"/>
      </w:tcPr>
    </w:tblStylePr>
    <w:tcPr>
      <w:tcBorders/>
      <w:shd w:val="clear" w:color="auto" w:fill="e5dfec"/>
    </w:tcPr>
  </w:style>
  <w:style w:type="table" w:styleId="style245">
    <w:name w:val="Colorful Grid Accent 5"/>
    <w:basedOn w:val="style105"/>
    <w:next w:val="style245"/>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daeef3"/>
      <w:tblCellMar>
        <w:top w:w="0" w:type="dxa"/>
        <w:left w:w="108" w:type="dxa"/>
        <w:bottom w:w="0" w:type="dxa"/>
        <w:right w:w="108" w:type="dxa"/>
      </w:tblCellMar>
    </w:tblPr>
    <w:tblStylePr w:type="firstRow">
      <w:pPr/>
      <w:rPr>
        <w:b/>
        <w:bCs/>
      </w:rPr>
      <w:tblPr/>
      <w:tcPr>
        <w:tcBorders/>
        <w:shd w:val="clear" w:color="auto" w:fill="b6dde8"/>
      </w:tcPr>
    </w:tblStylePr>
    <w:tblStylePr w:type="lastRow">
      <w:pPr/>
      <w:rPr>
        <w:b/>
        <w:bCs/>
        <w:color w:val="000000"/>
      </w:rPr>
      <w:tblPr/>
      <w:tcPr>
        <w:tcBorders/>
        <w:shd w:val="clear" w:color="auto" w:fill="b6dde8"/>
      </w:tcPr>
    </w:tblStylePr>
    <w:tblStylePr w:type="band1Horz">
      <w:pPr/>
      <w:tblPr/>
      <w:tcPr>
        <w:tcBorders/>
        <w:shd w:val="clear" w:color="auto" w:fill="a5d5e2"/>
      </w:tcPr>
    </w:tblStylePr>
    <w:tblStylePr w:type="firstCol">
      <w:pPr/>
      <w:rPr>
        <w:color w:val="ffffff"/>
      </w:rPr>
      <w:tblPr/>
      <w:tcPr>
        <w:tcBorders/>
        <w:shd w:val="clear" w:color="auto" w:fill="31849b"/>
      </w:tcPr>
    </w:tblStylePr>
    <w:tblStylePr w:type="lastCol">
      <w:pPr/>
      <w:rPr>
        <w:color w:val="ffffff"/>
      </w:rPr>
      <w:tblPr/>
      <w:tcPr>
        <w:tcBorders/>
        <w:shd w:val="clear" w:color="auto" w:fill="31849b"/>
      </w:tcPr>
    </w:tblStylePr>
    <w:tblStylePr w:type="band1Vert">
      <w:pPr/>
      <w:tblPr/>
      <w:tcPr>
        <w:tcBorders/>
        <w:shd w:val="clear" w:color="auto" w:fill="a5d5e2"/>
      </w:tcPr>
    </w:tblStylePr>
    <w:tcPr>
      <w:tcBorders/>
      <w:shd w:val="clear" w:color="auto" w:fill="daeef3"/>
    </w:tcPr>
  </w:style>
  <w:style w:type="table" w:styleId="style259">
    <w:name w:val="Colorful Grid Accent 6"/>
    <w:basedOn w:val="style105"/>
    <w:next w:val="style259"/>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fde9d9"/>
      <w:tblCellMar>
        <w:top w:w="0" w:type="dxa"/>
        <w:left w:w="108" w:type="dxa"/>
        <w:bottom w:w="0" w:type="dxa"/>
        <w:right w:w="108" w:type="dxa"/>
      </w:tblCellMar>
    </w:tblPr>
    <w:tblStylePr w:type="firstRow">
      <w:pPr/>
      <w:rPr>
        <w:b/>
        <w:bCs/>
      </w:rPr>
      <w:tblPr/>
      <w:tcPr>
        <w:tcBorders/>
        <w:shd w:val="clear" w:color="auto" w:fill="fbd4b4"/>
      </w:tcPr>
    </w:tblStylePr>
    <w:tblStylePr w:type="lastRow">
      <w:pPr/>
      <w:rPr>
        <w:b/>
        <w:bCs/>
        <w:color w:val="000000"/>
      </w:rPr>
      <w:tblPr/>
      <w:tcPr>
        <w:tcBorders/>
        <w:shd w:val="clear" w:color="auto" w:fill="fbd4b4"/>
      </w:tcPr>
    </w:tblStylePr>
    <w:tblStylePr w:type="band1Horz">
      <w:pPr/>
      <w:tblPr/>
      <w:tcPr>
        <w:tcBorders/>
        <w:shd w:val="clear" w:color="auto" w:fill="fbcaa2"/>
      </w:tcPr>
    </w:tblStylePr>
    <w:tblStylePr w:type="firstCol">
      <w:pPr/>
      <w:rPr>
        <w:color w:val="ffffff"/>
      </w:rPr>
      <w:tblPr/>
      <w:tcPr>
        <w:tcBorders/>
        <w:shd w:val="clear" w:color="auto" w:fill="e36c0a"/>
      </w:tcPr>
    </w:tblStylePr>
    <w:tblStylePr w:type="lastCol">
      <w:pPr/>
      <w:rPr>
        <w:color w:val="ffffff"/>
      </w:rPr>
      <w:tblPr/>
      <w:tcPr>
        <w:tcBorders/>
        <w:shd w:val="clear" w:color="auto" w:fill="e36c0a"/>
      </w:tcPr>
    </w:tblStylePr>
    <w:tblStylePr w:type="band1Vert">
      <w:pPr/>
      <w:tblPr/>
      <w:tcPr>
        <w:tcBorders/>
        <w:shd w:val="clear" w:color="auto" w:fill="fbcaa2"/>
      </w:tcPr>
    </w:tblStylePr>
    <w:tcPr>
      <w:tcBorders/>
      <w:shd w:val="clear" w:color="auto" w:fill="fde9d9"/>
    </w:tcPr>
  </w:style>
  <w:style w:type="paragraph" w:customStyle="1" w:styleId="style4116">
    <w:name w:val="Abstract Text"/>
    <w:basedOn w:val="style0"/>
    <w:next w:val="style4116"/>
    <w:pPr>
      <w:spacing w:before="0" w:after="0" w:lineRule="auto" w:line="240"/>
      <w:ind w:firstLine="0"/>
    </w:pPr>
    <w:rPr>
      <w:rFonts w:ascii="Times New Roman" w:hAnsi="Times New Roman"/>
      <w:color w:val="000000"/>
      <w:sz w:val="22"/>
    </w:rPr>
  </w:style>
  <w:style w:type="paragraph" w:customStyle="1" w:styleId="style4117">
    <w:name w:val="Caption Text"/>
    <w:basedOn w:val="style0"/>
    <w:next w:val="style4117"/>
    <w:pPr>
      <w:spacing w:before="0" w:after="0" w:lineRule="auto" w:line="240"/>
      <w:ind w:firstLine="0"/>
    </w:pPr>
    <w:rPr>
      <w:rFonts w:ascii="Times New Roman" w:hAnsi="Times New Roman"/>
      <w:color w:val="000000"/>
      <w:sz w:val="20"/>
    </w:rPr>
  </w:style>
  <w:style w:type="paragraph" w:customStyle="1" w:styleId="style4118">
    <w:name w:val="Reference APA"/>
    <w:basedOn w:val="style0"/>
    <w:next w:val="style4118"/>
    <w:pPr>
      <w:spacing w:before="0" w:after="0" w:lineRule="auto" w:line="240"/>
      <w:ind w:left="461" w:hanging="461"/>
    </w:pPr>
    <w:rPr>
      <w:rFonts w:ascii="Times New Roman" w:hAnsi="Times New Roman"/>
      <w:color w:val="000000"/>
      <w:sz w:val="22"/>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png"/><Relationship Id="rId3" Type="http://schemas.openxmlformats.org/officeDocument/2006/relationships/footer" Target="footer1.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4248</Words>
  <Pages>1</Pages>
  <Characters>28193</Characters>
  <Application>WPS Office</Application>
  <DocSecurity>0</DocSecurity>
  <Paragraphs>196</Paragraphs>
  <ScaleCrop>false</ScaleCrop>
  <LinksUpToDate>false</LinksUpToDate>
  <CharactersWithSpaces>32252</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2013-12-23T23:15:00Z</dcterms:created>
  <dc:creator>python-docx</dc:creator>
  <dc:description>generated by python-docx</dc:description>
  <lastModifiedBy>SM-A135F</lastModifiedBy>
  <dcterms:modified xsi:type="dcterms:W3CDTF">2026-10-15T19:51:22Z</dcterms:modified>
  <revision>1</revision>
  <dc:subject>Revised narrative review addressing journal review comments</dc:subject>
  <dc:title>Impact of Terrorism and Armed Insecurity on Library and Information Systems Development in Northern Nigeria: Revised IJIRM Manuscript</dc:title>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54e88267b3d9433aa725c105346f5b94</vt:lpwstr>
  </property>
</Properties>
</file>