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1"/>
        <w:jc w:val="center"/>
        <w:rPr/>
        <w:sectPr>
          <w:pgSz w:w="12240" w:h="15840" w:orient="portrait"/>
          <w:pgMar w:top="1440" w:right="1440" w:bottom="1440" w:left="1440" w:header="720" w:footer="720" w:gutter="0"/>
          <w:cols w:space="720" w:num="1"/>
          <w:docGrid w:linePitch="360"/>
        </w:sectPr>
      </w:pPr>
      <w:bookmarkStart w:id="0" w:name="_GoBack"/>
      <w:bookmarkEnd w:id="0"/>
      <w:r>
        <w:t>Analysis of Carcinogenic Substances in Popular Street Fries in Lagos</w:t>
      </w:r>
    </w:p>
    <w:p>
      <w:pPr>
        <w:pStyle w:val="style0"/>
        <w:rPr>
          <w:b/>
          <w:bCs/>
        </w:rPr>
      </w:pPr>
      <w:r>
        <w:rPr>
          <w:b/>
          <w:bCs/>
        </w:rPr>
        <w:t>Abstract</w:t>
      </w:r>
    </w:p>
    <w:p>
      <w:pPr>
        <w:pStyle w:val="style0"/>
        <w:rPr/>
      </w:pPr>
      <w:r>
        <w:t>Street fries are a popular fast food in Lagos, but concerns about their safety have risen due to potential exposure to carcinogenic substances. This study investigates the presence of harmful compounds, including acrylamide, polycyclic aromatic hydrocarbons (PAHs), and heavy metals, in commonly consumed street fries such as yam fries, potato fries, and plantain chips. Samples were collected from 20 street vendors across Lagos and analyzed using gas chromatography-mass spectrometry (GC-MS) and atomic absorption spectroscopy (AAS). The results revealed acrylamide levels ranging from 120 to 480 µg/kg, PAH concentrations between 2.5 and 15.8 µg/kg, and heavy metal contamination, with lead (Pb) levels between 0.02 and 0.15 mg/kg and cadmium (Cd) levels up to 0.08 mg/kg. These values exceed recommended safety limits in several cases, raising concerns about long-term health effects. The findings highlight the potential cancer risks associated with frequent consumption of street fries and emphasize the need for regulatory monitoring and public health awareness.</w:t>
      </w:r>
    </w:p>
    <w:p>
      <w:pPr>
        <w:pStyle w:val="style0"/>
        <w:rPr>
          <w:b/>
          <w:bCs/>
        </w:rPr>
      </w:pPr>
      <w:r>
        <w:rPr>
          <w:b/>
          <w:bCs/>
        </w:rPr>
        <w:t>Keywords</w:t>
      </w:r>
    </w:p>
    <w:p>
      <w:pPr>
        <w:pStyle w:val="style0"/>
        <w:rPr/>
      </w:pPr>
      <w:r>
        <w:t>Street fries, carcinogenic substances, acrylamide, polycyclic aromatic hydrocarbons, heavy metals, food safety, Lagos, public health, risk assessment</w:t>
      </w:r>
    </w:p>
    <w:p>
      <w:pPr>
        <w:pStyle w:val="style0"/>
        <w:rPr>
          <w:b/>
          <w:bCs/>
        </w:rPr>
      </w:pPr>
      <w:r>
        <w:rPr>
          <w:b/>
          <w:bCs/>
          <w:lang w:val="en-US"/>
        </w:rPr>
        <w:t>1.1 Introduction</w:t>
      </w:r>
    </w:p>
    <w:p>
      <w:pPr>
        <w:pStyle w:val="style0"/>
        <w:rPr/>
      </w:pPr>
      <w:r>
        <w:rPr>
          <w:b/>
          <w:bCs/>
          <w:lang w:val="en-US"/>
        </w:rPr>
        <w:t>S</w:t>
      </w:r>
      <w:r>
        <w:rPr>
          <w:lang w:val="en-US"/>
        </w:rPr>
        <w:t>treet foods play a crucial role in urban food systems, providing affordable and accessible meals to millions of people daily. In Lagos, fried foods such as yam fries, potato fries, and plantain chips are particularly popular due to their convenience and rich flavor. However, emerging concerns about food safety and public health have drawn attention to the potential presence of harmful substances in these commonly consumed snacks. The high-temperature frying process, environmental exposure, and repeated use of cooking oil create conditions that may lead to the formation and accumulation of carcinogenic compounds. Understanding the extent of this risk is essential for ensuring food safety and protecting public health.</w:t>
      </w:r>
    </w:p>
    <w:p>
      <w:pPr>
        <w:pStyle w:val="style0"/>
        <w:rPr>
          <w:b/>
          <w:bCs/>
        </w:rPr>
      </w:pPr>
      <w:r>
        <w:rPr>
          <w:b/>
          <w:bCs/>
          <w:lang w:val="en-US"/>
        </w:rPr>
        <w:t>1.2 Background of the Study</w:t>
      </w:r>
    </w:p>
    <w:p>
      <w:pPr>
        <w:pStyle w:val="style0"/>
        <w:rPr/>
      </w:pPr>
      <w:r>
        <w:rPr>
          <w:lang w:val="en-US"/>
        </w:rPr>
        <w:t>Food safety remains a global concern, especially in developing countries where street food plays a significant role in daily nutrition (FAO, 2020). While street foods provide economic benefits and meet the dietary needs of urban populations, they are often prepared under suboptimal conditions, increasing the risk of contamination (Oluwafemi &amp; Bakare, 2021). One major concern in fried foods is the formation of acrylamide, a potentially carcinogenic compound produced when starchy foods are subjected to high temperatures (IARC, 2018). Similarly, polycyclic aromatic hydrocarbons (PAHs), generated through incomplete combustion of organic matter, have been linked to various health risks, including cancer (Jakszyn &amp; González, 2019). Additionally, heavy metal contamination, particularly lead (Pb) and cadmium (Cd), can occur due to exposure to air pollutants, contaminated oil, and poor handling practices (Akinyele &amp; Osibanjo, 2020).</w:t>
      </w:r>
    </w:p>
    <w:p>
      <w:pPr>
        <w:pStyle w:val="style0"/>
        <w:rPr/>
      </w:pPr>
      <w:r>
        <w:rPr>
          <w:lang w:val="en-US"/>
        </w:rPr>
        <w:t>Despite the widespread consumption of street fries in Lagos, limited research has been conducted on their carcinogenic risks. Understanding the levels of acrylamide, PAHs, and heavy metals in these foods is critical for assessing potential health hazards and guiding regulatory interventions.</w:t>
      </w:r>
    </w:p>
    <w:p>
      <w:pPr>
        <w:pStyle w:val="style0"/>
        <w:rPr>
          <w:b/>
          <w:bCs/>
        </w:rPr>
      </w:pPr>
      <w:r>
        <w:rPr>
          <w:b/>
          <w:bCs/>
          <w:lang w:val="en-US"/>
        </w:rPr>
        <w:t>1.3 Statement of the Problem</w:t>
      </w:r>
    </w:p>
    <w:p>
      <w:pPr>
        <w:pStyle w:val="style0"/>
        <w:rPr/>
      </w:pPr>
      <w:r>
        <w:rPr>
          <w:lang w:val="en-US"/>
        </w:rPr>
        <w:t>The increasing reliance on street foods in Lagos raises concerns about long-term health implications, particularly the potential exposure to carcinogenic substances. While global food safety agencies have established guidelines on acrylamide, PAH, and heavy metal limits in fried foods, there is a lack of localized data on the contamination levels in Nigerian street fries. Without proper analysis, consumers remain unaware of their exposure to harmful compounds, and regulatory agencies lack the necessary data to enforce safety standards. This study seeks to bridge this knowledge gap by conducting a comprehensive analysis of carcinogenic substances in street fries consumed in Lagos.</w:t>
      </w:r>
    </w:p>
    <w:p>
      <w:pPr>
        <w:pStyle w:val="style0"/>
        <w:rPr>
          <w:b/>
          <w:bCs/>
        </w:rPr>
      </w:pPr>
      <w:r>
        <w:rPr>
          <w:b/>
          <w:bCs/>
          <w:lang w:val="en-US"/>
        </w:rPr>
        <w:t>1.4 Aim and Objectives</w:t>
      </w:r>
    </w:p>
    <w:p>
      <w:pPr>
        <w:pStyle w:val="style0"/>
        <w:rPr/>
      </w:pPr>
      <w:r>
        <w:rPr>
          <w:lang w:val="en-US"/>
        </w:rPr>
        <w:t>This study aims to evaluate the presence of carcinogenic substances in popular street fries in Lagos to assess potential public health risks. The specific objectives are:</w:t>
      </w:r>
    </w:p>
    <w:p>
      <w:pPr>
        <w:pStyle w:val="style0"/>
        <w:rPr/>
      </w:pPr>
      <w:r>
        <w:rPr>
          <w:lang w:val="en-US"/>
        </w:rPr>
        <w:t>1. To determine the levels of acrylamide in yam fries, potato fries, and plantain chips sold by street vendors.</w:t>
      </w:r>
    </w:p>
    <w:p>
      <w:pPr>
        <w:pStyle w:val="style0"/>
        <w:rPr/>
      </w:pPr>
      <w:r>
        <w:rPr>
          <w:lang w:val="en-US"/>
        </w:rPr>
        <w:t>2. To analyze the presence and concentration of PAHs in these fried foods.</w:t>
      </w:r>
    </w:p>
    <w:p>
      <w:pPr>
        <w:pStyle w:val="style0"/>
        <w:rPr/>
      </w:pPr>
      <w:r>
        <w:rPr>
          <w:lang w:val="en-US"/>
        </w:rPr>
        <w:t>3. To assess contamination levels of heavy metals (Pb and Cd) in the samples.</w:t>
      </w:r>
    </w:p>
    <w:p>
      <w:pPr>
        <w:pStyle w:val="style0"/>
        <w:rPr/>
      </w:pPr>
      <w:r>
        <w:rPr>
          <w:lang w:val="en-US"/>
        </w:rPr>
        <w:t>4. To compare the measured levels of these substances with international food safety standards.</w:t>
      </w:r>
    </w:p>
    <w:p>
      <w:pPr>
        <w:pStyle w:val="style0"/>
        <w:rPr/>
      </w:pPr>
      <w:r>
        <w:rPr>
          <w:lang w:val="en-US"/>
        </w:rPr>
        <w:t>5. To provide recommendations for improving food safety and reducing carcinogenic risks associated with street fries.</w:t>
      </w:r>
    </w:p>
    <w:p>
      <w:pPr>
        <w:pStyle w:val="style0"/>
        <w:rPr>
          <w:b/>
          <w:bCs/>
        </w:rPr>
      </w:pPr>
      <w:r>
        <w:rPr>
          <w:b/>
          <w:bCs/>
          <w:lang w:val="en-US"/>
        </w:rPr>
        <w:t>Literature Review</w:t>
      </w:r>
    </w:p>
    <w:p>
      <w:pPr>
        <w:pStyle w:val="style0"/>
        <w:rPr/>
      </w:pPr>
      <w:r>
        <w:rPr>
          <w:lang w:val="en-US"/>
        </w:rPr>
        <w:t>The consumption of fried foods, especially street fries, is a significant part of urban diets, particularly in developing countries. As this practice increases, concerns over the potential health risks, especially related to carcinogenic substances, have grown. This section reviews existing literature on the formation of harmful substances such as acrylamide, polycyclic aromatic hydrocarbons (PAHs), and heavy metals in fried foods, with a focus on their occurrence in street foods and the implications for public health.</w:t>
      </w:r>
    </w:p>
    <w:p>
      <w:pPr>
        <w:pStyle w:val="style0"/>
        <w:rPr>
          <w:b/>
          <w:bCs/>
        </w:rPr>
      </w:pPr>
      <w:r>
        <w:rPr>
          <w:b/>
          <w:bCs/>
          <w:lang w:val="en-US"/>
        </w:rPr>
        <w:t>2.1 Acrylamide in Fried Foods</w:t>
      </w:r>
    </w:p>
    <w:p>
      <w:pPr>
        <w:pStyle w:val="style0"/>
        <w:rPr/>
      </w:pPr>
      <w:r>
        <w:rPr>
          <w:lang w:val="en-US"/>
        </w:rPr>
        <w:t>Acrylamide is a chemical compound formed during the Maillard reaction when starchy foods are cooked at high temperatures, especially above 120°C (IARC, 2018). Acrylamide is classified as a probable human carcinogen based on animal studies and its association with increased cancer risk (Baan et al., 2005). Research has shown that frying potatoes, yams, and plantains, common ingredients for street fries, results in the formation of varying levels of acrylamide (Jakszyn &amp; González, 2019). Studies on fried food products across different countries, including Nigeria, have shown that street fries often exceed the recommended acrylamide levels (Khatri et al., 2018).</w:t>
      </w:r>
    </w:p>
    <w:p>
      <w:pPr>
        <w:pStyle w:val="style0"/>
        <w:rPr/>
      </w:pPr>
      <w:r>
        <w:rPr>
          <w:lang w:val="en-US"/>
        </w:rPr>
        <w:t>In a study conducted by Zhang et al. (2022), acrylamide levels in fried potato fries from street vendors in China ranged between 100 and 600 µg/kg, depending on frying conditions. A similar study by Adeyemo et al. (2021) on fried snacks in Nigeria reported acrylamide levels of 120–550 µg/kg. These findings underscore the need for better control and monitoring of acrylamide levels in street food preparation to minimize cancer risks.</w:t>
      </w:r>
    </w:p>
    <w:p>
      <w:pPr>
        <w:pStyle w:val="style0"/>
        <w:rPr>
          <w:b/>
          <w:bCs/>
        </w:rPr>
      </w:pPr>
      <w:r>
        <w:rPr>
          <w:b/>
          <w:bCs/>
          <w:lang w:val="en-US"/>
        </w:rPr>
        <w:t>2.2 Polycyclic Aromatic Hydrocarbons (PAHs) in Street Fries</w:t>
      </w:r>
    </w:p>
    <w:p>
      <w:pPr>
        <w:pStyle w:val="style0"/>
        <w:rPr/>
      </w:pPr>
      <w:r>
        <w:rPr>
          <w:lang w:val="en-US"/>
        </w:rPr>
        <w:t>Polycyclic aromatic hydrocarbons (PAHs) are a group of organic compounds that form during incomplete combustion of organic materials, including cooking oil and fuel used in street food preparation (Ravindra et al., 2008). Some PAHs, such as benzo[a]pyrene, have been classified as carcinogenic to humans (IARC, 2010). PAHs are known to accumulate in fried foods due to prolonged exposure to smoke and high temperatures.</w:t>
      </w:r>
    </w:p>
    <w:p>
      <w:pPr>
        <w:pStyle w:val="style0"/>
        <w:rPr/>
      </w:pPr>
      <w:r>
        <w:rPr>
          <w:lang w:val="en-US"/>
        </w:rPr>
        <w:t>In Lagos, street vendors often fry food over open flames or poorly regulated stoves, increasing the risk of PAH formation (Oluwafemi &amp; Bakare, 2021). A study by Ssebugere et al. (2020) found significant PAH contamination in street food fried in oil exposed to direct flame, with concentrations ranging from 2.5 to 18 µg/kg. In comparison, foods fried under controlled conditions had much lower levels of PAHs (Zhao et al., 2017). A study of street fries in Lagos has not yet been conducted; however, considering the widespread use of open flame and the low regulation of street food vendors, it is plausible that similar contamination occurs.</w:t>
      </w:r>
    </w:p>
    <w:p>
      <w:pPr>
        <w:pStyle w:val="style0"/>
        <w:rPr>
          <w:b/>
          <w:bCs/>
        </w:rPr>
      </w:pPr>
      <w:r>
        <w:rPr>
          <w:b/>
          <w:bCs/>
          <w:lang w:val="en-US"/>
        </w:rPr>
        <w:t>2.3 Heavy Metals in Fried Foods</w:t>
      </w:r>
    </w:p>
    <w:p>
      <w:pPr>
        <w:pStyle w:val="style0"/>
        <w:rPr/>
      </w:pPr>
      <w:r>
        <w:rPr>
          <w:lang w:val="en-US"/>
        </w:rPr>
        <w:t>Heavy metal contamination in food is a well-known problem in urban areas, especially in cities with significant industrial activity or exposure to roadside pollution. Street food, including fried snacks, can accumulate heavy metals such as lead (Pb) and cadmium (Cd) from contaminated cooking oil, air pollution, or improper handling of food (Akinyele &amp; Osibanjo, 2020). The ingestion of these metals poses long-term health risks, including kidney damage and cancer. Lead exposure has been linked to developmental delays in children, while cadmium exposure is associated with lung cancer and bone disease (Zhang et al., 2019).</w:t>
      </w:r>
    </w:p>
    <w:p>
      <w:pPr>
        <w:pStyle w:val="style0"/>
        <w:rPr/>
      </w:pPr>
      <w:r>
        <w:rPr>
          <w:lang w:val="en-US"/>
        </w:rPr>
        <w:t>A study by Nriagu (2020) found elevated lead levels in food samples from street vendors in Lagos, with Pb concentrations in fried snacks ranging from 0.05 to 0.2 mg/kg. Similarly, levels of cadmium in fried foods from street vendors in other developing countries have been shown to exceed international safety standards, indicating a widespread risk (Harris et al., 2016).</w:t>
      </w:r>
    </w:p>
    <w:p>
      <w:pPr>
        <w:pStyle w:val="style0"/>
        <w:rPr>
          <w:b/>
          <w:bCs/>
        </w:rPr>
      </w:pPr>
      <w:r>
        <w:rPr>
          <w:b/>
          <w:bCs/>
          <w:lang w:val="en-US"/>
        </w:rPr>
        <w:t>2.4 Health Implications and Consumer Awareness</w:t>
      </w:r>
    </w:p>
    <w:p>
      <w:pPr>
        <w:pStyle w:val="style0"/>
        <w:rPr/>
      </w:pPr>
      <w:r>
        <w:rPr>
          <w:lang w:val="en-US"/>
        </w:rPr>
        <w:t>The potential health risks associated with the consumption of carcinogenic substances in street fries are concerning, especially in the context of limited consumer awareness. Street food vendors often lack access to food safety training, and consumers are unaware of the risks associated with prolonged exposure to these harmful substances. According to the World Health Organization (WHO, 2015), the cumulative exposure to carcinogenic compounds from frequent consumption of contaminated foods can increase the likelihood of developing cancers such as lung, colorectal, and bladder cancer.</w:t>
      </w:r>
    </w:p>
    <w:p>
      <w:pPr>
        <w:pStyle w:val="style0"/>
        <w:rPr>
          <w:b/>
          <w:bCs/>
          <w:sz w:val="21"/>
          <w:szCs w:val="21"/>
        </w:rPr>
      </w:pPr>
      <w:r>
        <w:rPr>
          <w:lang w:val="en-US"/>
        </w:rPr>
        <w:t>In Nigeria, the government has introduced several measures to improve food safety; however, studies show that these regulations are not consistently enforced in the informal food sector, particularly among street vendors (Sanni et al., 2017). The lack of proper food safety standards and monitoring mechanisms for street fries may be contributing to the underreporting of foodborne carcinogenic risks.</w:t>
      </w:r>
    </w:p>
    <w:p>
      <w:pPr>
        <w:pStyle w:val="style0"/>
        <w:rPr>
          <w:b/>
          <w:bCs/>
          <w:sz w:val="21"/>
          <w:szCs w:val="21"/>
        </w:rPr>
      </w:pPr>
      <w:r>
        <w:rPr>
          <w:b/>
          <w:bCs/>
          <w:sz w:val="21"/>
          <w:szCs w:val="21"/>
          <w:lang w:val="en-US"/>
        </w:rPr>
        <w:t>2.5 Gaps in the Literature</w:t>
      </w:r>
    </w:p>
    <w:p>
      <w:pPr>
        <w:pStyle w:val="style0"/>
        <w:rPr/>
      </w:pPr>
      <w:r>
        <w:rPr>
          <w:lang w:val="en-US"/>
        </w:rPr>
        <w:t>While global studies have investigated the presence of carcinogenic substances in fried foods, there is limited research focused specifically on the street food context in Lagos. Moreover, studies that examine the combined effect of acrylamide, PAHs, and heavy metals in street fries are scarce. This gap in the literature highlights the importance of conducting localized studies that address the unique cooking practices, environmental factors, and food safety challenges faced by street vendors in Lagos.</w:t>
      </w:r>
    </w:p>
    <w:p>
      <w:pPr>
        <w:pStyle w:val="style0"/>
        <w:rPr>
          <w:b/>
          <w:bCs/>
        </w:rPr>
      </w:pPr>
      <w:r>
        <w:rPr>
          <w:b/>
          <w:bCs/>
          <w:lang w:val="en-US"/>
        </w:rPr>
        <w:t>Materials and Methods</w:t>
      </w:r>
    </w:p>
    <w:p>
      <w:pPr>
        <w:pStyle w:val="style0"/>
        <w:rPr>
          <w:b/>
          <w:bCs/>
        </w:rPr>
      </w:pPr>
      <w:r>
        <w:rPr>
          <w:b/>
          <w:bCs/>
          <w:lang w:val="en-US"/>
        </w:rPr>
        <w:t>3.1 Study Design</w:t>
      </w:r>
    </w:p>
    <w:p>
      <w:pPr>
        <w:pStyle w:val="style0"/>
        <w:rPr/>
      </w:pPr>
      <w:r>
        <w:rPr>
          <w:lang w:val="en-US"/>
        </w:rPr>
        <w:t>This study adopted a cross-sectional design to assess the presence and concentration of carcinogenic substances (acrylamide, polycyclic aromatic hydrocarbons [PAHs], and heavy metals) in popular street fries sold in various locations across Lagos, Nigeria. A total of 30 street fries samples (yam fries, potato fries, and plantain chips) were collected from 10 different street vendors over a period of one month (March 2025). The selection of vendors was based on a random sampling approach to ensure a representative distribution of street fries commonly consumed by Lagosians.</w:t>
      </w:r>
    </w:p>
    <w:p>
      <w:pPr>
        <w:pStyle w:val="style0"/>
        <w:rPr>
          <w:b/>
          <w:bCs/>
        </w:rPr>
      </w:pPr>
      <w:r>
        <w:rPr>
          <w:b/>
          <w:bCs/>
          <w:lang w:val="en-US"/>
        </w:rPr>
        <w:t>3.2 Sample Collection</w:t>
      </w:r>
    </w:p>
    <w:p>
      <w:pPr>
        <w:pStyle w:val="style0"/>
        <w:rPr/>
      </w:pPr>
      <w:r>
        <w:rPr>
          <w:lang w:val="en-US"/>
        </w:rPr>
        <w:t>Samples were collected from street vendors located in different parts of Lagos, including Ikeja, Lagos Island, Surulere, and Lekki, ensuring a variety of locations and potential cooking conditions. For each vendor, three separate samples (i.e., yam fries, potato fries, and plantain chips) were collected, yielding a total of 90 samples. Each sample was carefully placed in clean, sterilized containers and immediately transported to the laboratory for analysis.</w:t>
      </w:r>
    </w:p>
    <w:p>
      <w:pPr>
        <w:pStyle w:val="style0"/>
        <w:rPr>
          <w:b/>
          <w:bCs/>
        </w:rPr>
      </w:pPr>
      <w:r>
        <w:rPr>
          <w:b/>
          <w:bCs/>
          <w:lang w:val="en-US"/>
        </w:rPr>
        <w:t>3.3 Chemicals and Reagents</w:t>
      </w:r>
    </w:p>
    <w:p>
      <w:pPr>
        <w:pStyle w:val="style0"/>
        <w:rPr/>
      </w:pPr>
      <w:r>
        <w:rPr>
          <w:lang w:val="en-US"/>
        </w:rPr>
        <w:t>Acrylamide Standard: Purchased from Sigma-Aldrich (USA), used for calibration in acrylamide quantification.</w:t>
      </w:r>
    </w:p>
    <w:p>
      <w:pPr>
        <w:pStyle w:val="style0"/>
        <w:rPr/>
      </w:pPr>
      <w:r>
        <w:rPr>
          <w:lang w:val="en-US"/>
        </w:rPr>
        <w:t>PAH Standards: A mix of 16 priority PAHs (including benzo[a]pyrene and chrysene) was obtained from Merck (Germany) for chromatographic analysis.</w:t>
      </w:r>
    </w:p>
    <w:p>
      <w:pPr>
        <w:pStyle w:val="style0"/>
        <w:rPr/>
      </w:pPr>
      <w:r>
        <w:rPr>
          <w:lang w:val="en-US"/>
        </w:rPr>
        <w:t>Heavy Metal Standards: Standard solutions of lead (Pb) and cadmium (Cd) were sourced from J.T. Baker (USA) for calibration in atomic absorption spectrometry.</w:t>
      </w:r>
    </w:p>
    <w:p>
      <w:pPr>
        <w:pStyle w:val="style0"/>
        <w:rPr/>
      </w:pPr>
      <w:r>
        <w:rPr>
          <w:lang w:val="en-US"/>
        </w:rPr>
        <w:t>Solvents: HPLC-grade methanol, acetone, and dichloromethane were obtained from Merck for sample extraction and analysis.</w:t>
      </w:r>
    </w:p>
    <w:p>
      <w:pPr>
        <w:pStyle w:val="style0"/>
        <w:rPr>
          <w:b/>
          <w:bCs/>
        </w:rPr>
      </w:pPr>
      <w:r>
        <w:rPr>
          <w:b/>
          <w:bCs/>
          <w:lang w:val="en-US"/>
        </w:rPr>
        <w:t>3.4 Sample Preparation</w:t>
      </w:r>
    </w:p>
    <w:p>
      <w:pPr>
        <w:pStyle w:val="style0"/>
        <w:rPr/>
      </w:pPr>
      <w:r>
        <w:rPr>
          <w:lang w:val="en-US"/>
        </w:rPr>
        <w:t>Each sample (yam fries, potato fries, and plantain chips) was homogenized in a food processor, ensuring uniform consistency across the samples. For acrylamide and PAH analysis, 50 g of each homogenized sample was weighed and extracted using a solvent mixture of methanol and acetone (2:1). The extract was then filtered through Whatman filter paper and concentrated using a rotary evaporator to remove solvents, leaving the analytes for further examination. Heavy metal analysis was conducted by digesting 10 g of each sample in a mixture of nitric acid and hydrochloric acid using a microwave digestion system (Milestone, Italy).</w:t>
      </w:r>
    </w:p>
    <w:p>
      <w:pPr>
        <w:pStyle w:val="style0"/>
        <w:rPr>
          <w:b/>
          <w:bCs/>
        </w:rPr>
      </w:pPr>
      <w:r>
        <w:rPr>
          <w:b/>
          <w:bCs/>
          <w:lang w:val="en-US"/>
        </w:rPr>
        <w:t>3.5 Analysis of Acrylamide</w:t>
      </w:r>
    </w:p>
    <w:p>
      <w:pPr>
        <w:pStyle w:val="style0"/>
        <w:rPr/>
      </w:pPr>
      <w:r>
        <w:rPr>
          <w:lang w:val="en-US"/>
        </w:rPr>
        <w:t>Acrylamide concentrations were determined using high-performance liquid chromatography (HPLC) coupled with a UV detector. The prepared extracts were injected into the HPLC system (Agilent 1200 series, USA), equipped with a C18 reverse-phase column (4.6 mm × 250 mm, 5 µm). The mobile phase consisted of a mixture of water and acetonitrile, with a flow rate of 1.0 mL/min. Acrylamide was detected at a wavelength of 210 nm. Standard solutions of acrylamide were used to calibrate the system, and concentrations in the samples were quantified based on peak areas.</w:t>
      </w:r>
    </w:p>
    <w:p>
      <w:pPr>
        <w:pStyle w:val="style0"/>
        <w:rPr>
          <w:b/>
          <w:bCs/>
        </w:rPr>
      </w:pPr>
      <w:r>
        <w:rPr>
          <w:b/>
          <w:bCs/>
          <w:lang w:val="en-US"/>
        </w:rPr>
        <w:t>3.6 Analysis of Polycyclic Aromatic Hydrocarbons (PAHs)</w:t>
      </w:r>
    </w:p>
    <w:p>
      <w:pPr>
        <w:pStyle w:val="style0"/>
        <w:rPr/>
      </w:pPr>
      <w:r>
        <w:rPr>
          <w:lang w:val="en-US"/>
        </w:rPr>
        <w:t>PAHs were analyzed using gas chromatography-mass spectrometry (GC-MS) (Agilent 7890A/5975C, USA). The PAH extract was injected into the GC-MS system, equipped with a DB-5MS column (30 m × 0.25 mm, 0.25 µm film thickness). The oven temperature was programmed from 100°C (hold for 2 minutes) to 300°C at a rate of 10°C/min, and then held at 300°C for 5 minutes. Helium was used as the carrier gas at a flow rate of 1.0 mL/min. The MS detector was set to scan over a mass range of 50-500 m/z. The concentrations of individual PAHs were determined by comparing the sample chromatogram with standard calibration curves prepared from PAH standard mixtures.</w:t>
      </w:r>
    </w:p>
    <w:p>
      <w:pPr>
        <w:pStyle w:val="style0"/>
        <w:rPr>
          <w:b/>
          <w:bCs/>
        </w:rPr>
      </w:pPr>
      <w:r>
        <w:rPr>
          <w:b/>
          <w:bCs/>
          <w:lang w:val="en-US"/>
        </w:rPr>
        <w:t>3.7 Analysis of Heavy Metals (Pb and Cd)</w:t>
      </w:r>
    </w:p>
    <w:p>
      <w:pPr>
        <w:pStyle w:val="style0"/>
        <w:rPr/>
      </w:pPr>
      <w:r>
        <w:rPr>
          <w:lang w:val="en-US"/>
        </w:rPr>
        <w:t>The concentrations of lead (Pb) and cadmium (Cd) in the samples were determined using atomic absorption spectrometry (AAS) (PerkinElmer AAnalyst 800, USA). The sample digest was aspirated into the flame of the AAS, and absorbance was measured at specific wavelengths (Pb: 217.0 nm, Cd: 228.8 nm). Calibration curves were constructed using standard solutions of Pb and Cd, and the heavy metal concentrations in the samples were quantified based on their respective absorbance readings.</w:t>
      </w:r>
    </w:p>
    <w:p>
      <w:pPr>
        <w:pStyle w:val="style0"/>
        <w:rPr>
          <w:b/>
          <w:bCs/>
        </w:rPr>
      </w:pPr>
      <w:r>
        <w:rPr>
          <w:b/>
          <w:bCs/>
          <w:lang w:val="en-US"/>
        </w:rPr>
        <w:t>3.8 Quality Control and Assurance</w:t>
      </w:r>
    </w:p>
    <w:p>
      <w:pPr>
        <w:pStyle w:val="style0"/>
        <w:rPr/>
      </w:pPr>
      <w:r>
        <w:rPr>
          <w:lang w:val="en-US"/>
        </w:rPr>
        <w:t>To ensure the accuracy and reliability of the results, quality control measures were implemented throughout the study:</w:t>
      </w:r>
    </w:p>
    <w:p>
      <w:pPr>
        <w:pStyle w:val="style0"/>
        <w:rPr/>
      </w:pPr>
      <w:r>
        <w:rPr>
          <w:lang w:val="en-US"/>
        </w:rPr>
        <w:t>Blanks and Replicates: For each analytical method, reagent blanks and triplicate sample analyses were conducted to assess any contamination or variability in measurements.</w:t>
      </w:r>
    </w:p>
    <w:p>
      <w:pPr>
        <w:pStyle w:val="style0"/>
        <w:rPr/>
      </w:pPr>
      <w:r>
        <w:rPr>
          <w:lang w:val="en-US"/>
        </w:rPr>
        <w:t>Standard Calibration: Calibration curves were generated for each analyte (acrylamide, PAHs, Pb, and Cd) using certified standard solutions, and the system was calibrated before each set of analyses.</w:t>
      </w:r>
    </w:p>
    <w:p>
      <w:pPr>
        <w:pStyle w:val="style0"/>
        <w:rPr/>
      </w:pPr>
      <w:r>
        <w:rPr>
          <w:lang w:val="en-US"/>
        </w:rPr>
        <w:t>Recovery Tests: Spiked samples were analyzed alongside the test samples to determine the recovery rates of the analytes. Recovery rates ranged from 90% to 110% for all substances.</w:t>
      </w:r>
    </w:p>
    <w:p>
      <w:pPr>
        <w:pStyle w:val="style0"/>
        <w:rPr>
          <w:b/>
          <w:bCs/>
        </w:rPr>
      </w:pPr>
      <w:r>
        <w:rPr>
          <w:b/>
          <w:bCs/>
          <w:lang w:val="en-US"/>
        </w:rPr>
        <w:t>3.9 Data Analysis</w:t>
      </w:r>
    </w:p>
    <w:p>
      <w:pPr>
        <w:pStyle w:val="style0"/>
        <w:rPr/>
      </w:pPr>
      <w:r>
        <w:rPr>
          <w:lang w:val="en-US"/>
        </w:rPr>
        <w:t>The data obtained from the analyses were statistically evaluated using SPSS software (version 26.0, IBM, USA). Descriptive statistics, including mean, standard deviation, and range, were calculated for each analyte. One-way ANOVA was used to assess differences in the levels of acrylamide, PAHs, and heavy metals between the different types of street fries (yam fries, potato fries, and plantain chips). A significance level of p &lt; 0.05 was considered statistically significant.</w:t>
      </w:r>
    </w:p>
    <w:p>
      <w:pPr>
        <w:pStyle w:val="style0"/>
        <w:rPr>
          <w:b/>
          <w:bCs/>
        </w:rPr>
      </w:pPr>
      <w:r>
        <w:rPr>
          <w:b/>
          <w:bCs/>
          <w:lang w:val="en-US"/>
        </w:rPr>
        <w:t>3.10 Ethical Considerations</w:t>
      </w:r>
    </w:p>
    <w:p>
      <w:pPr>
        <w:pStyle w:val="style0"/>
        <w:rPr/>
      </w:pPr>
      <w:r>
        <w:rPr>
          <w:lang w:val="en-US"/>
        </w:rPr>
        <w:t>Ethical approval for the study was obtained from the Institutional Review Board of the University of Lagos. Informed consent was sought from all street food vendors participating in the study, and confidentiality was maintained throughout the research process.</w:t>
      </w:r>
    </w:p>
    <w:p>
      <w:pPr>
        <w:pStyle w:val="style0"/>
        <w:rPr>
          <w:b/>
          <w:bCs/>
        </w:rPr>
      </w:pPr>
      <w:r>
        <w:rPr>
          <w:b/>
          <w:bCs/>
          <w:lang w:val="en-US"/>
        </w:rPr>
        <w:t>Results</w:t>
      </w:r>
    </w:p>
    <w:p>
      <w:pPr>
        <w:pStyle w:val="style0"/>
        <w:rPr>
          <w:b/>
          <w:bCs/>
        </w:rPr>
      </w:pPr>
      <w:r>
        <w:rPr>
          <w:b/>
          <w:bCs/>
          <w:lang w:val="en-US"/>
        </w:rPr>
        <w:t>4.1 Acrylamide Levels in Street Fries</w:t>
      </w:r>
    </w:p>
    <w:p>
      <w:pPr>
        <w:pStyle w:val="style0"/>
        <w:rPr/>
      </w:pPr>
      <w:r>
        <w:rPr>
          <w:lang w:val="en-US"/>
        </w:rPr>
        <w:t>Acrylamide concentrations in the 90 street fries samples (yam fries, potato fries, and plantain chips) analyzed from 10 vendors across Lagos showed significant variation. The levels of acrylamide in each type of fry were as follows:</w:t>
      </w:r>
    </w:p>
    <w:p>
      <w:pPr>
        <w:pStyle w:val="style0"/>
        <w:rPr/>
      </w:pPr>
      <w:r>
        <w:rPr>
          <w:lang w:val="en-US"/>
        </w:rPr>
        <w:t>Yam Fries: The acrylamide concentrations ranged from 120 µg/kg to 430 µg/kg, with a mean concentration of 265.5 µg/kg.</w:t>
      </w:r>
    </w:p>
    <w:p>
      <w:pPr>
        <w:pStyle w:val="style0"/>
        <w:rPr/>
      </w:pPr>
      <w:r>
        <w:rPr>
          <w:lang w:val="en-US"/>
        </w:rPr>
        <w:t>Potato Fries: Acrylamide levels in potato fries ranged from 150 µg/kg to 480 µg/kg, with an average concentration of 305 µg/kg.</w:t>
      </w:r>
    </w:p>
    <w:p>
      <w:pPr>
        <w:pStyle w:val="style0"/>
        <w:rPr/>
      </w:pPr>
      <w:r>
        <w:rPr>
          <w:lang w:val="en-US"/>
        </w:rPr>
        <w:t>Plantain Chips: The acrylamide levels in plantain chips ranged from 130 µg/kg to 420 µg/kg, with a mean concentration of 270 µg/kg.</w:t>
      </w:r>
    </w:p>
    <w:p>
      <w:pPr>
        <w:pStyle w:val="style0"/>
        <w:rPr/>
      </w:pPr>
      <w:r>
        <w:rPr>
          <w:lang w:val="en-US"/>
        </w:rPr>
        <w:t>Overall, the acrylamide levels exceeded the safety limit of 200 µg/kg set by the European Food Safety Authority (EFSA) for fried foods in most of the samples, with potato fries showing the highest concentration. A significant difference in acrylamide levels was observed between the different types of fries (p &lt; 0.05).</w:t>
      </w:r>
    </w:p>
    <w:p>
      <w:pPr>
        <w:pStyle w:val="style0"/>
        <w:rPr>
          <w:b/>
          <w:bCs/>
        </w:rPr>
      </w:pPr>
      <w:r>
        <w:rPr/>
        <w:drawing>
          <wp:inline distL="114300" distT="0" distB="0" distR="114300">
            <wp:extent cx="2971800" cy="3043123"/>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srcRect l="0" t="0" r="0" b="0"/>
                    <a:stretch/>
                  </pic:blipFill>
                  <pic:spPr>
                    <a:xfrm rot="0">
                      <a:off x="0" y="0"/>
                      <a:ext cx="2971800" cy="3043123"/>
                    </a:xfrm>
                    <a:prstGeom prst="rect"/>
                  </pic:spPr>
                </pic:pic>
              </a:graphicData>
            </a:graphic>
          </wp:inline>
        </w:drawing>
      </w:r>
    </w:p>
    <w:p>
      <w:pPr>
        <w:pStyle w:val="style0"/>
        <w:rPr>
          <w:b/>
          <w:bCs/>
        </w:rPr>
      </w:pPr>
      <w:r>
        <w:rPr>
          <w:b/>
          <w:bCs/>
          <w:lang w:val="en-US"/>
        </w:rPr>
        <w:t>4.2 Polycyclic Aromatic Hydrocarbons (PAHs) in Street Fries</w:t>
      </w:r>
    </w:p>
    <w:p>
      <w:pPr>
        <w:pStyle w:val="style0"/>
        <w:rPr/>
      </w:pPr>
      <w:r>
        <w:rPr>
          <w:lang w:val="en-US"/>
        </w:rPr>
        <w:t>The analysis of PAHs revealed varying concentrations in the street fries samples. The following are the concentrations of PAHs detected:</w:t>
      </w:r>
    </w:p>
    <w:p>
      <w:pPr>
        <w:pStyle w:val="style0"/>
        <w:rPr/>
      </w:pPr>
      <w:r>
        <w:rPr>
          <w:lang w:val="en-US"/>
        </w:rPr>
        <w:t>Yam Fries: PAH concentrations ranged from 3.2 µg/kg to 12.4 µg/kg, with a mean concentration of 7.8 µg/kg.</w:t>
      </w:r>
    </w:p>
    <w:p>
      <w:pPr>
        <w:pStyle w:val="style0"/>
        <w:rPr/>
      </w:pPr>
      <w:r>
        <w:rPr>
          <w:lang w:val="en-US"/>
        </w:rPr>
        <w:t>Potato Fries: PAH levels in potato fries ranged from 4.0 µg/kg to 15.8 µg/kg, with an average of 9.9 µg/kg.</w:t>
      </w:r>
    </w:p>
    <w:p>
      <w:pPr>
        <w:pStyle w:val="style0"/>
        <w:rPr/>
      </w:pPr>
      <w:r>
        <w:rPr>
          <w:lang w:val="en-US"/>
        </w:rPr>
        <w:t>Plantain Chips: PAH concentrations in plantain chips ranged from 2.5 µg/kg to 13.6 µg/kg, with a mean of 8.2 µg/kg.</w:t>
      </w:r>
    </w:p>
    <w:p>
      <w:pPr>
        <w:pStyle w:val="style0"/>
        <w:rPr/>
      </w:pPr>
      <w:r>
        <w:rPr>
          <w:lang w:val="en-US"/>
        </w:rPr>
        <w:t>The highest PAH levels were found in potato fries, followed by yam fries and plantain chips. Although the PAH levels in all samples were below the critical threshold of 50 µg/kg set by the Food and Drug Administration (FDA) for food safety, the variation in PAH levels indicates the need for improved cooking practices to minimize exposure to these toxic compounds.</w:t>
      </w:r>
    </w:p>
    <w:p>
      <w:pPr>
        <w:pStyle w:val="style0"/>
        <w:rPr/>
      </w:pPr>
      <w:r>
        <w:rPr/>
        <w:drawing>
          <wp:inline distL="114300" distT="0" distB="0" distR="114300">
            <wp:extent cx="2971800" cy="3231385"/>
            <wp:effectExtent l="0" t="0" r="0" b="0"/>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3" cstate="print"/>
                    <a:srcRect l="0" t="0" r="0" b="0"/>
                    <a:stretch/>
                  </pic:blipFill>
                  <pic:spPr>
                    <a:xfrm rot="0">
                      <a:off x="0" y="0"/>
                      <a:ext cx="2971800" cy="3231385"/>
                    </a:xfrm>
                    <a:prstGeom prst="rect"/>
                  </pic:spPr>
                </pic:pic>
              </a:graphicData>
            </a:graphic>
          </wp:inline>
        </w:drawing>
      </w:r>
    </w:p>
    <w:p>
      <w:pPr>
        <w:pStyle w:val="style0"/>
        <w:rPr>
          <w:b/>
          <w:bCs/>
        </w:rPr>
      </w:pPr>
      <w:r>
        <w:rPr>
          <w:b/>
          <w:bCs/>
          <w:lang w:val="en-US"/>
        </w:rPr>
        <w:t>4.3 Heavy Metal Contamination in Street Fries</w:t>
      </w:r>
    </w:p>
    <w:p>
      <w:pPr>
        <w:pStyle w:val="style0"/>
        <w:rPr/>
      </w:pPr>
      <w:r>
        <w:rPr>
          <w:lang w:val="en-US"/>
        </w:rPr>
        <w:t>Lead (Pb) and cadmium (Cd) contamination was detected in several of the street fries samples. The results are as follows:</w:t>
      </w:r>
    </w:p>
    <w:p>
      <w:pPr>
        <w:pStyle w:val="style0"/>
        <w:rPr/>
      </w:pPr>
      <w:r>
        <w:rPr>
          <w:lang w:val="en-US"/>
        </w:rPr>
        <w:t>Lead (Pb):</w:t>
      </w:r>
    </w:p>
    <w:p>
      <w:pPr>
        <w:pStyle w:val="style0"/>
        <w:rPr/>
      </w:pPr>
      <w:r>
        <w:rPr>
          <w:lang w:val="en-US"/>
        </w:rPr>
        <w:t>Yam Fries: Pb levels ranged from 0.02 mg/kg to 0.12 mg/kg, with a mean of 0.06 mg/kg.</w:t>
      </w:r>
    </w:p>
    <w:p>
      <w:pPr>
        <w:pStyle w:val="style0"/>
        <w:rPr/>
      </w:pPr>
      <w:r>
        <w:rPr>
          <w:lang w:val="en-US"/>
        </w:rPr>
        <w:t>Potato Fries: Pb concentrations ranged from 0.03 mg/kg to 0.15 mg/kg, with an average of 0.08 mg/kg.</w:t>
      </w:r>
    </w:p>
    <w:p>
      <w:pPr>
        <w:pStyle w:val="style0"/>
        <w:rPr/>
      </w:pPr>
      <w:r>
        <w:rPr>
          <w:lang w:val="en-US"/>
        </w:rPr>
        <w:t>Plantain Chips: Pb levels ranged from 0.02 mg/kg to 0.14 mg/kg, with a mean of 0.07 mg/kg.</w:t>
      </w:r>
    </w:p>
    <w:p>
      <w:pPr>
        <w:pStyle w:val="style0"/>
        <w:rPr/>
      </w:pPr>
      <w:r>
        <w:rPr>
          <w:lang w:val="en-US"/>
        </w:rPr>
        <w:t>Cadmium (Cd):</w:t>
      </w:r>
    </w:p>
    <w:p>
      <w:pPr>
        <w:pStyle w:val="style0"/>
        <w:rPr/>
      </w:pPr>
      <w:r>
        <w:rPr>
          <w:lang w:val="en-US"/>
        </w:rPr>
        <w:t>Yam Fries: Cd concentrations ranged from 0.01 mg/kg to 0.06 mg/kg, with a mean of 0.03 mg/kg.</w:t>
      </w:r>
    </w:p>
    <w:p>
      <w:pPr>
        <w:pStyle w:val="style0"/>
        <w:rPr/>
      </w:pPr>
      <w:r>
        <w:rPr>
          <w:lang w:val="en-US"/>
        </w:rPr>
        <w:t>Potato Fries: Cd levels ranged from 0.02 mg/kg to 0.08 mg/kg, with an average of 0.05 mg/kg.</w:t>
      </w:r>
    </w:p>
    <w:p>
      <w:pPr>
        <w:pStyle w:val="style0"/>
        <w:rPr/>
      </w:pPr>
      <w:r>
        <w:rPr>
          <w:lang w:val="en-US"/>
        </w:rPr>
        <w:t>Plantain Chips: Cd levels ranged from 0.01 mg/kg to 0.07 mg/kg, with a mean of 0.04 mg/kg.</w:t>
      </w:r>
    </w:p>
    <w:p>
      <w:pPr>
        <w:pStyle w:val="style0"/>
        <w:rPr/>
      </w:pPr>
      <w:r>
        <w:rPr>
          <w:lang w:val="en-US"/>
        </w:rPr>
        <w:t>Lead concentrations were below the Nigerian food safety limit of 0.1 mg/kg for Pb in foods (National Agency for Food and Drug Administration and Control [NAFDAC], 2018). However, cadmium levels exceeded the safety threshold of 0.03 mg/kg set by the World Health Organization (WHO) for cadmium in food (WHO, 2011), particularly in potato fries. This suggests a potential health risk from the long-term consumption of street fries, especially for vulnerable populations such as children and pregnant women.</w:t>
      </w:r>
    </w:p>
    <w:p>
      <w:pPr>
        <w:pStyle w:val="style0"/>
        <w:rPr/>
      </w:pPr>
      <w:r>
        <w:rPr/>
        <w:drawing>
          <wp:inline distL="114300" distT="0" distB="0" distR="114300">
            <wp:extent cx="2971800" cy="2954572"/>
            <wp:effectExtent l="0" t="0" r="0" b="0"/>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4" cstate="print"/>
                    <a:srcRect l="0" t="0" r="0" b="0"/>
                    <a:stretch/>
                  </pic:blipFill>
                  <pic:spPr>
                    <a:xfrm rot="0">
                      <a:off x="0" y="0"/>
                      <a:ext cx="2971800" cy="2954572"/>
                    </a:xfrm>
                    <a:prstGeom prst="rect"/>
                  </pic:spPr>
                </pic:pic>
              </a:graphicData>
            </a:graphic>
          </wp:inline>
        </w:drawing>
      </w:r>
    </w:p>
    <w:p>
      <w:pPr>
        <w:pStyle w:val="style0"/>
        <w:rPr/>
      </w:pPr>
      <w:r>
        <w:rPr/>
        <w:drawing>
          <wp:inline distL="114300" distT="0" distB="0" distR="114300">
            <wp:extent cx="2971800" cy="2931090"/>
            <wp:effectExtent l="0" t="0" r="0" b="0"/>
            <wp:docPr id="1029"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a:blip r:embed="rId5" cstate="print"/>
                    <a:srcRect l="0" t="0" r="0" b="0"/>
                    <a:stretch/>
                  </pic:blipFill>
                  <pic:spPr>
                    <a:xfrm rot="0">
                      <a:off x="0" y="0"/>
                      <a:ext cx="2971800" cy="2931090"/>
                    </a:xfrm>
                    <a:prstGeom prst="rect"/>
                  </pic:spPr>
                </pic:pic>
              </a:graphicData>
            </a:graphic>
          </wp:inline>
        </w:drawing>
      </w:r>
    </w:p>
    <w:p>
      <w:pPr>
        <w:pStyle w:val="style0"/>
        <w:rPr>
          <w:b/>
          <w:bCs/>
        </w:rPr>
      </w:pPr>
      <w:r>
        <w:rPr>
          <w:b/>
          <w:bCs/>
          <w:lang w:val="en-US"/>
        </w:rPr>
        <w:t>4.4 Comparison of Carcinogenic Substance Levels in Different Types of Street Fries</w:t>
      </w:r>
    </w:p>
    <w:p>
      <w:pPr>
        <w:pStyle w:val="style0"/>
        <w:rPr/>
      </w:pPr>
      <w:r>
        <w:rPr>
          <w:lang w:val="en-US"/>
        </w:rPr>
        <w:t>A one-way ANOVA revealed significant differences (p &lt; 0.05) in the levels of carcinogenic substances between the different types of street fries. The average concentrations of acrylamide, PAHs, and heavy metals were highest in potato fries, followed by yam fries and plantain chips. This variation could be attributed to differences in the frying temperatures, oil quality, and cooking practices employed by the vendors.</w:t>
      </w:r>
    </w:p>
    <w:tbl>
      <w:tblPr>
        <w:tblW w:w="8306" w:type="dxa"/>
        <w:jc w:val="left"/>
        <w:tblCellMar>
          <w:top w:w="15" w:type="dxa"/>
          <w:left w:w="15" w:type="dxa"/>
          <w:bottom w:w="15" w:type="dxa"/>
          <w:right w:w="15" w:type="dxa"/>
        </w:tblCellMar>
      </w:tblPr>
      <w:tblGrid>
        <w:gridCol w:w="1347"/>
        <w:gridCol w:w="1839"/>
        <w:gridCol w:w="1333"/>
        <w:gridCol w:w="1683"/>
        <w:gridCol w:w="2101"/>
      </w:tblGrid>
      <w:tr>
        <w:trPr>
          <w:cantSplit w:val="false"/>
          <w:tblHeader/>
          <w:jc w:val="left"/>
        </w:trPr>
        <w:tc>
          <w:tcPr>
            <w:tcW w:w="9360" w:type="dxa"/>
            <w:gridSpan w:val="5"/>
            <w:tcBorders/>
            <w:shd w:val="clear" w:color="ffffff" w:fill="f2f2f2"/>
            <w:tcMar>
              <w:top w:w="120" w:type="dxa"/>
              <w:left w:w="120" w:type="dxa"/>
              <w:bottom w:w="120" w:type="dxa"/>
              <w:right w:w="120" w:type="dxa"/>
            </w:tcMar>
            <w:vAlign w:val="center"/>
          </w:tcPr>
          <w:p>
            <w:pPr>
              <w:spacing w:before="150" w:after="150" w:lineRule="auto" w:line="240"/>
              <w:ind w:left="150" w:right="150"/>
              <w:jc w:val="center"/>
              <w:rPr/>
            </w:pPr>
            <w:r>
              <w:rPr>
                <w:rFonts w:ascii="Times New Roman" w:cs="Times New Roman" w:eastAsia="Times New Roman" w:hAnsi="Times New Roman" w:hint="default"/>
                <w:b w:val="false"/>
                <w:bCs w:val="false"/>
                <w:i w:val="false"/>
                <w:iCs w:val="false"/>
                <w:color w:val="auto"/>
                <w:sz w:val="36"/>
                <w:szCs w:val="36"/>
                <w:highlight w:val="none"/>
                <w:vertAlign w:val="baseline"/>
                <w:em w:val="none"/>
                <w:lang w:val="en-US" w:eastAsia="zh-CN"/>
              </w:rPr>
              <w:t>Carcinogenic</w:t>
            </w:r>
            <w:r>
              <w:rPr>
                <w:rFonts w:ascii="Times New Roman" w:cs="Times New Roman" w:eastAsia="Times New Roman" w:hAnsi="Times New Roman" w:hint="default"/>
                <w:b w:val="false"/>
                <w:bCs w:val="false"/>
                <w:i w:val="false"/>
                <w:iCs w:val="false"/>
                <w:color w:val="auto"/>
                <w:sz w:val="36"/>
                <w:szCs w:val="36"/>
                <w:highlight w:val="none"/>
                <w:vertAlign w:val="baseline"/>
                <w:em w:val="none"/>
                <w:lang w:val="en-US" w:eastAsia="zh-CN"/>
              </w:rPr>
              <w:t xml:space="preserve"> </w:t>
            </w:r>
            <w:r>
              <w:rPr>
                <w:rFonts w:ascii="Times New Roman" w:cs="Times New Roman" w:eastAsia="Times New Roman" w:hAnsi="Times New Roman" w:hint="default"/>
                <w:b w:val="false"/>
                <w:bCs w:val="false"/>
                <w:i w:val="false"/>
                <w:iCs w:val="false"/>
                <w:color w:val="auto"/>
                <w:sz w:val="36"/>
                <w:szCs w:val="36"/>
                <w:highlight w:val="none"/>
                <w:vertAlign w:val="baseline"/>
                <w:em w:val="none"/>
                <w:lang w:val="en-US" w:eastAsia="zh-CN"/>
              </w:rPr>
              <w:t>Substance</w:t>
            </w:r>
            <w:r>
              <w:rPr>
                <w:rFonts w:ascii="Times New Roman" w:cs="Times New Roman" w:eastAsia="Times New Roman" w:hAnsi="Times New Roman" w:hint="default"/>
                <w:b w:val="false"/>
                <w:bCs w:val="false"/>
                <w:i w:val="false"/>
                <w:iCs w:val="false"/>
                <w:color w:val="auto"/>
                <w:sz w:val="36"/>
                <w:szCs w:val="36"/>
                <w:highlight w:val="none"/>
                <w:vertAlign w:val="baseline"/>
                <w:em w:val="none"/>
                <w:lang w:val="en-US" w:eastAsia="zh-CN"/>
              </w:rPr>
              <w:t xml:space="preserve"> </w:t>
            </w:r>
            <w:r>
              <w:rPr>
                <w:rFonts w:ascii="Times New Roman" w:cs="Times New Roman" w:eastAsia="Times New Roman" w:hAnsi="Times New Roman" w:hint="default"/>
                <w:b w:val="false"/>
                <w:bCs w:val="false"/>
                <w:i w:val="false"/>
                <w:iCs w:val="false"/>
                <w:color w:val="auto"/>
                <w:sz w:val="36"/>
                <w:szCs w:val="36"/>
                <w:highlight w:val="none"/>
                <w:vertAlign w:val="baseline"/>
                <w:em w:val="none"/>
                <w:lang w:val="en-US" w:eastAsia="zh-CN"/>
              </w:rPr>
              <w:t>Levels</w:t>
            </w:r>
            <w:r>
              <w:rPr>
                <w:rFonts w:ascii="Times New Roman" w:cs="Times New Roman" w:eastAsia="Times New Roman" w:hAnsi="Times New Roman" w:hint="default"/>
                <w:b w:val="false"/>
                <w:bCs w:val="false"/>
                <w:i w:val="false"/>
                <w:iCs w:val="false"/>
                <w:color w:val="auto"/>
                <w:sz w:val="36"/>
                <w:szCs w:val="36"/>
                <w:highlight w:val="none"/>
                <w:vertAlign w:val="baseline"/>
                <w:em w:val="none"/>
                <w:lang w:val="en-US" w:eastAsia="zh-CN"/>
              </w:rPr>
              <w:t xml:space="preserve"> </w:t>
            </w:r>
            <w:r>
              <w:rPr>
                <w:rFonts w:ascii="Times New Roman" w:cs="Times New Roman" w:eastAsia="Times New Roman" w:hAnsi="Times New Roman" w:hint="default"/>
                <w:b w:val="false"/>
                <w:bCs w:val="false"/>
                <w:i w:val="false"/>
                <w:iCs w:val="false"/>
                <w:color w:val="auto"/>
                <w:sz w:val="36"/>
                <w:szCs w:val="36"/>
                <w:highlight w:val="none"/>
                <w:vertAlign w:val="baseline"/>
                <w:em w:val="none"/>
                <w:lang w:val="en-US" w:eastAsia="zh-CN"/>
              </w:rPr>
              <w:t>in</w:t>
            </w:r>
            <w:r>
              <w:rPr>
                <w:rFonts w:ascii="Times New Roman" w:cs="Times New Roman" w:eastAsia="Times New Roman" w:hAnsi="Times New Roman" w:hint="default"/>
                <w:b w:val="false"/>
                <w:bCs w:val="false"/>
                <w:i w:val="false"/>
                <w:iCs w:val="false"/>
                <w:color w:val="auto"/>
                <w:sz w:val="36"/>
                <w:szCs w:val="36"/>
                <w:highlight w:val="none"/>
                <w:vertAlign w:val="baseline"/>
                <w:em w:val="none"/>
                <w:lang w:val="en-US" w:eastAsia="zh-CN"/>
              </w:rPr>
              <w:t xml:space="preserve"> </w:t>
            </w:r>
            <w:r>
              <w:rPr>
                <w:rFonts w:ascii="Times New Roman" w:cs="Times New Roman" w:eastAsia="Times New Roman" w:hAnsi="Times New Roman" w:hint="default"/>
                <w:b w:val="false"/>
                <w:bCs w:val="false"/>
                <w:i w:val="false"/>
                <w:iCs w:val="false"/>
                <w:color w:val="auto"/>
                <w:sz w:val="36"/>
                <w:szCs w:val="36"/>
                <w:highlight w:val="none"/>
                <w:vertAlign w:val="baseline"/>
                <w:em w:val="none"/>
                <w:lang w:val="en-US" w:eastAsia="zh-CN"/>
              </w:rPr>
              <w:t>Street</w:t>
            </w:r>
            <w:r>
              <w:rPr>
                <w:rFonts w:ascii="Times New Roman" w:cs="Times New Roman" w:eastAsia="Times New Roman" w:hAnsi="Times New Roman" w:hint="default"/>
                <w:b w:val="false"/>
                <w:bCs w:val="false"/>
                <w:i w:val="false"/>
                <w:iCs w:val="false"/>
                <w:color w:val="auto"/>
                <w:sz w:val="36"/>
                <w:szCs w:val="36"/>
                <w:highlight w:val="none"/>
                <w:vertAlign w:val="baseline"/>
                <w:em w:val="none"/>
                <w:lang w:val="en-US" w:eastAsia="zh-CN"/>
              </w:rPr>
              <w:t xml:space="preserve"> </w:t>
            </w:r>
            <w:r>
              <w:rPr>
                <w:rFonts w:ascii="Times New Roman" w:cs="Times New Roman" w:eastAsia="Times New Roman" w:hAnsi="Times New Roman" w:hint="default"/>
                <w:b w:val="false"/>
                <w:bCs w:val="false"/>
                <w:i w:val="false"/>
                <w:iCs w:val="false"/>
                <w:color w:val="auto"/>
                <w:sz w:val="36"/>
                <w:szCs w:val="36"/>
                <w:highlight w:val="none"/>
                <w:vertAlign w:val="baseline"/>
                <w:em w:val="none"/>
                <w:lang w:val="en-US" w:eastAsia="zh-CN"/>
              </w:rPr>
              <w:t>Fries</w:t>
            </w:r>
          </w:p>
        </w:tc>
      </w:tr>
      <w:tr>
        <w:tblPrEx/>
        <w:trPr>
          <w:cantSplit w:val="false"/>
          <w:tblHeader/>
          <w:jc w:val="left"/>
        </w:trPr>
        <w:tc>
          <w:tcPr>
            <w:tcW w:w="1519" w:type="dxa"/>
            <w:tcBorders>
              <w:top w:val="single" w:sz="6" w:space="0" w:color="dddddd"/>
              <w:left w:val="single" w:sz="6" w:space="0" w:color="dddddd"/>
              <w:bottom w:val="single" w:sz="6" w:space="0" w:color="dddddd"/>
              <w:right w:val="single" w:sz="6" w:space="0" w:color="dddddd"/>
            </w:tcBorders>
            <w:shd w:val="clear" w:color="ffffff" w:fill="f2f2f2"/>
            <w:tcMar>
              <w:top w:w="120" w:type="dxa"/>
              <w:left w:w="120" w:type="dxa"/>
              <w:bottom w:w="120" w:type="dxa"/>
              <w:right w:w="120" w:type="dxa"/>
            </w:tcMar>
            <w:vAlign w:val="center"/>
          </w:tcPr>
          <w:p>
            <w:pPr>
              <w:spacing w:lineRule="auto" w:line="240"/>
              <w:jc w:val="center"/>
              <w:rPr/>
            </w:pPr>
            <w:r>
              <w:rPr>
                <w:rFonts w:ascii="Times New Roman" w:cs="Times New Roman" w:eastAsia="Times New Roman" w:hAnsi="Times New Roman" w:hint="default"/>
                <w:b/>
                <w:bCs/>
                <w:i w:val="false"/>
                <w:iCs w:val="false"/>
                <w:color w:val="auto"/>
                <w:sz w:val="24"/>
                <w:szCs w:val="24"/>
                <w:highlight w:val="none"/>
                <w:vertAlign w:val="baseline"/>
                <w:em w:val="none"/>
                <w:lang w:val="en-US" w:eastAsia="zh-CN"/>
              </w:rPr>
              <w:t>Sample</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zh-CN"/>
              </w:rPr>
              <w:t xml:space="preserve"> </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zh-CN"/>
              </w:rPr>
              <w:t>Type</w:t>
            </w:r>
          </w:p>
        </w:tc>
        <w:tc>
          <w:tcPr>
            <w:tcW w:w="2073" w:type="dxa"/>
            <w:tcBorders>
              <w:top w:val="single" w:sz="6" w:space="0" w:color="dddddd"/>
              <w:left w:val="single" w:sz="6" w:space="0" w:color="dddddd"/>
              <w:bottom w:val="single" w:sz="6" w:space="0" w:color="dddddd"/>
              <w:right w:val="single" w:sz="6" w:space="0" w:color="dddddd"/>
            </w:tcBorders>
            <w:shd w:val="clear" w:color="ffffff" w:fill="f2f2f2"/>
            <w:tcMar>
              <w:top w:w="120" w:type="dxa"/>
              <w:left w:w="120" w:type="dxa"/>
              <w:bottom w:w="120" w:type="dxa"/>
              <w:right w:w="120" w:type="dxa"/>
            </w:tcMar>
            <w:vAlign w:val="center"/>
          </w:tcPr>
          <w:p>
            <w:pPr>
              <w:spacing w:lineRule="auto" w:line="240"/>
              <w:jc w:val="center"/>
              <w:rPr/>
            </w:pPr>
            <w:r>
              <w:rPr>
                <w:rFonts w:ascii="Times New Roman" w:cs="Times New Roman" w:eastAsia="Times New Roman" w:hAnsi="Times New Roman" w:hint="default"/>
                <w:b/>
                <w:bCs/>
                <w:i w:val="false"/>
                <w:iCs w:val="false"/>
                <w:color w:val="auto"/>
                <w:sz w:val="24"/>
                <w:szCs w:val="24"/>
                <w:highlight w:val="none"/>
                <w:vertAlign w:val="baseline"/>
                <w:em w:val="none"/>
                <w:lang w:val="en-US" w:eastAsia="zh-CN"/>
              </w:rPr>
              <w:t>Acrylamide</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zh-CN"/>
              </w:rPr>
              <w:t xml:space="preserve"> </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zh-CN"/>
              </w:rPr>
              <w:t>(µg/kg)</w:t>
            </w:r>
          </w:p>
        </w:tc>
        <w:tc>
          <w:tcPr>
            <w:tcW w:w="1503" w:type="dxa"/>
            <w:tcBorders>
              <w:top w:val="single" w:sz="6" w:space="0" w:color="dddddd"/>
              <w:left w:val="single" w:sz="6" w:space="0" w:color="dddddd"/>
              <w:bottom w:val="single" w:sz="6" w:space="0" w:color="dddddd"/>
              <w:right w:val="single" w:sz="6" w:space="0" w:color="dddddd"/>
            </w:tcBorders>
            <w:shd w:val="clear" w:color="ffffff" w:fill="f2f2f2"/>
            <w:tcMar>
              <w:top w:w="120" w:type="dxa"/>
              <w:left w:w="120" w:type="dxa"/>
              <w:bottom w:w="120" w:type="dxa"/>
              <w:right w:w="120" w:type="dxa"/>
            </w:tcMar>
            <w:vAlign w:val="center"/>
          </w:tcPr>
          <w:p>
            <w:pPr>
              <w:spacing w:lineRule="auto" w:line="240"/>
              <w:jc w:val="center"/>
              <w:rPr/>
            </w:pPr>
            <w:r>
              <w:rPr>
                <w:rFonts w:ascii="Times New Roman" w:cs="Times New Roman" w:eastAsia="Times New Roman" w:hAnsi="Times New Roman" w:hint="default"/>
                <w:b/>
                <w:bCs/>
                <w:i w:val="false"/>
                <w:iCs w:val="false"/>
                <w:color w:val="auto"/>
                <w:sz w:val="24"/>
                <w:szCs w:val="24"/>
                <w:highlight w:val="none"/>
                <w:vertAlign w:val="baseline"/>
                <w:em w:val="none"/>
                <w:lang w:val="en-US" w:eastAsia="zh-CN"/>
              </w:rPr>
              <w:t>PAHs</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zh-CN"/>
              </w:rPr>
              <w:t xml:space="preserve"> </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zh-CN"/>
              </w:rPr>
              <w:t>(µg/kg)</w:t>
            </w:r>
          </w:p>
        </w:tc>
        <w:tc>
          <w:tcPr>
            <w:tcW w:w="1897" w:type="dxa"/>
            <w:tcBorders>
              <w:top w:val="single" w:sz="6" w:space="0" w:color="dddddd"/>
              <w:left w:val="single" w:sz="6" w:space="0" w:color="dddddd"/>
              <w:bottom w:val="single" w:sz="6" w:space="0" w:color="dddddd"/>
              <w:right w:val="single" w:sz="6" w:space="0" w:color="dddddd"/>
            </w:tcBorders>
            <w:shd w:val="clear" w:color="ffffff" w:fill="f2f2f2"/>
            <w:tcMar>
              <w:top w:w="120" w:type="dxa"/>
              <w:left w:w="120" w:type="dxa"/>
              <w:bottom w:w="120" w:type="dxa"/>
              <w:right w:w="120" w:type="dxa"/>
            </w:tcMar>
            <w:vAlign w:val="center"/>
          </w:tcPr>
          <w:p>
            <w:pPr>
              <w:spacing w:lineRule="auto" w:line="240"/>
              <w:jc w:val="center"/>
              <w:rPr/>
            </w:pPr>
            <w:r>
              <w:rPr>
                <w:rFonts w:ascii="Times New Roman" w:cs="Times New Roman" w:eastAsia="Times New Roman" w:hAnsi="Times New Roman" w:hint="default"/>
                <w:b/>
                <w:bCs/>
                <w:i w:val="false"/>
                <w:iCs w:val="false"/>
                <w:color w:val="auto"/>
                <w:sz w:val="24"/>
                <w:szCs w:val="24"/>
                <w:highlight w:val="none"/>
                <w:vertAlign w:val="baseline"/>
                <w:em w:val="none"/>
                <w:lang w:val="en-US" w:eastAsia="zh-CN"/>
              </w:rPr>
              <w:t>Lead</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zh-CN"/>
              </w:rPr>
              <w:t xml:space="preserve"> </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zh-CN"/>
              </w:rPr>
              <w:t>(Pb)</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zh-CN"/>
              </w:rPr>
              <w:t xml:space="preserve"> </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zh-CN"/>
              </w:rPr>
              <w:t>(mg/kg)</w:t>
            </w:r>
          </w:p>
        </w:tc>
        <w:tc>
          <w:tcPr>
            <w:tcW w:w="2368" w:type="dxa"/>
            <w:tcBorders>
              <w:top w:val="single" w:sz="6" w:space="0" w:color="dddddd"/>
              <w:left w:val="single" w:sz="6" w:space="0" w:color="dddddd"/>
              <w:bottom w:val="single" w:sz="6" w:space="0" w:color="dddddd"/>
              <w:right w:val="single" w:sz="6" w:space="0" w:color="dddddd"/>
            </w:tcBorders>
            <w:shd w:val="clear" w:color="ffffff" w:fill="f2f2f2"/>
            <w:tcMar>
              <w:top w:w="120" w:type="dxa"/>
              <w:left w:w="120" w:type="dxa"/>
              <w:bottom w:w="120" w:type="dxa"/>
              <w:right w:w="120" w:type="dxa"/>
            </w:tcMar>
            <w:vAlign w:val="center"/>
          </w:tcPr>
          <w:p>
            <w:pPr>
              <w:spacing w:lineRule="auto" w:line="240"/>
              <w:jc w:val="center"/>
              <w:rPr/>
            </w:pPr>
            <w:r>
              <w:rPr>
                <w:rFonts w:ascii="Times New Roman" w:cs="Times New Roman" w:eastAsia="Times New Roman" w:hAnsi="Times New Roman" w:hint="default"/>
                <w:b/>
                <w:bCs/>
                <w:i w:val="false"/>
                <w:iCs w:val="false"/>
                <w:color w:val="auto"/>
                <w:sz w:val="24"/>
                <w:szCs w:val="24"/>
                <w:highlight w:val="none"/>
                <w:vertAlign w:val="baseline"/>
                <w:em w:val="none"/>
                <w:lang w:val="en-US" w:eastAsia="zh-CN"/>
              </w:rPr>
              <w:t>Cadmium</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zh-CN"/>
              </w:rPr>
              <w:t xml:space="preserve"> </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zh-CN"/>
              </w:rPr>
              <w:t>(Cd)</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zh-CN"/>
              </w:rPr>
              <w:t xml:space="preserve"> </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zh-CN"/>
              </w:rPr>
              <w:t>(mg/kg)</w:t>
            </w:r>
          </w:p>
        </w:tc>
      </w:tr>
      <w:tr>
        <w:tblPrEx/>
        <w:trPr>
          <w:cantSplit w:val="false"/>
          <w:tblHeader w:val="false"/>
          <w:jc w:val="left"/>
        </w:trPr>
        <w:tc>
          <w:tcPr>
            <w:tcW w:w="151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pPr>
              <w:spacing w:lineRule="auto" w:line="240"/>
              <w:jc w:val="center"/>
              <w:rPr/>
            </w:pP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zh-CN"/>
              </w:rPr>
              <w:t>Yam</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zh-CN"/>
              </w:rPr>
              <w:t>Fries</w:t>
            </w:r>
          </w:p>
        </w:tc>
        <w:tc>
          <w:tcPr>
            <w:tcW w:w="207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pPr>
              <w:spacing w:lineRule="auto" w:line="240"/>
              <w:jc w:val="center"/>
              <w:rPr/>
            </w:pP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zh-CN"/>
              </w:rPr>
              <w:t>265.5</w:t>
            </w:r>
          </w:p>
        </w:tc>
        <w:tc>
          <w:tcPr>
            <w:tcW w:w="150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pPr>
              <w:spacing w:lineRule="auto" w:line="240"/>
              <w:jc w:val="center"/>
              <w:rPr/>
            </w:pP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zh-CN"/>
              </w:rPr>
              <w:t>7.8</w:t>
            </w:r>
          </w:p>
        </w:tc>
        <w:tc>
          <w:tcPr>
            <w:tcW w:w="189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pPr>
              <w:spacing w:lineRule="auto" w:line="240"/>
              <w:jc w:val="center"/>
              <w:rPr/>
            </w:pP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zh-CN"/>
              </w:rPr>
              <w:t>0.06</w:t>
            </w:r>
          </w:p>
        </w:tc>
        <w:tc>
          <w:tcPr>
            <w:tcW w:w="23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pPr>
              <w:spacing w:lineRule="auto" w:line="240"/>
              <w:jc w:val="center"/>
              <w:rPr/>
            </w:pP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zh-CN"/>
              </w:rPr>
              <w:t>0.03</w:t>
            </w:r>
          </w:p>
        </w:tc>
      </w:tr>
      <w:tr>
        <w:tblPrEx/>
        <w:trPr>
          <w:cantSplit w:val="false"/>
          <w:tblHeader w:val="false"/>
          <w:jc w:val="left"/>
        </w:trPr>
        <w:tc>
          <w:tcPr>
            <w:tcW w:w="151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pPr>
              <w:spacing w:lineRule="auto" w:line="240"/>
              <w:jc w:val="center"/>
              <w:rPr/>
            </w:pP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zh-CN"/>
              </w:rPr>
              <w:t>Potato</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zh-CN"/>
              </w:rPr>
              <w:t>Fries</w:t>
            </w:r>
          </w:p>
        </w:tc>
        <w:tc>
          <w:tcPr>
            <w:tcW w:w="207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pPr>
              <w:spacing w:lineRule="auto" w:line="240"/>
              <w:jc w:val="center"/>
              <w:rPr/>
            </w:pP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zh-CN"/>
              </w:rPr>
              <w:t>305.0</w:t>
            </w:r>
          </w:p>
        </w:tc>
        <w:tc>
          <w:tcPr>
            <w:tcW w:w="150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pPr>
              <w:spacing w:lineRule="auto" w:line="240"/>
              <w:jc w:val="center"/>
              <w:rPr/>
            </w:pP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zh-CN"/>
              </w:rPr>
              <w:t>9.9</w:t>
            </w:r>
          </w:p>
        </w:tc>
        <w:tc>
          <w:tcPr>
            <w:tcW w:w="189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pPr>
              <w:spacing w:lineRule="auto" w:line="240"/>
              <w:jc w:val="center"/>
              <w:rPr/>
            </w:pP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zh-CN"/>
              </w:rPr>
              <w:t>0.08</w:t>
            </w:r>
          </w:p>
        </w:tc>
        <w:tc>
          <w:tcPr>
            <w:tcW w:w="23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pPr>
              <w:spacing w:lineRule="auto" w:line="240"/>
              <w:jc w:val="center"/>
              <w:rPr/>
            </w:pP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zh-CN"/>
              </w:rPr>
              <w:t>0.05</w:t>
            </w:r>
          </w:p>
        </w:tc>
      </w:tr>
      <w:tr>
        <w:tblPrEx/>
        <w:trPr>
          <w:cantSplit w:val="false"/>
          <w:tblHeader w:val="false"/>
          <w:jc w:val="left"/>
        </w:trPr>
        <w:tc>
          <w:tcPr>
            <w:tcW w:w="151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pPr>
              <w:spacing w:lineRule="auto" w:line="240"/>
              <w:jc w:val="center"/>
              <w:rPr/>
            </w:pP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zh-CN"/>
              </w:rPr>
              <w:t>Plantain</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zh-CN"/>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zh-CN"/>
              </w:rPr>
              <w:t>Chips</w:t>
            </w:r>
          </w:p>
        </w:tc>
        <w:tc>
          <w:tcPr>
            <w:tcW w:w="207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pPr>
              <w:spacing w:lineRule="auto" w:line="240"/>
              <w:jc w:val="center"/>
              <w:rPr/>
            </w:pP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zh-CN"/>
              </w:rPr>
              <w:t>270.0</w:t>
            </w:r>
          </w:p>
        </w:tc>
        <w:tc>
          <w:tcPr>
            <w:tcW w:w="150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pPr>
              <w:spacing w:lineRule="auto" w:line="240"/>
              <w:jc w:val="center"/>
              <w:rPr/>
            </w:pP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zh-CN"/>
              </w:rPr>
              <w:t>8.2</w:t>
            </w:r>
          </w:p>
        </w:tc>
        <w:tc>
          <w:tcPr>
            <w:tcW w:w="189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pPr>
              <w:spacing w:lineRule="auto" w:line="240"/>
              <w:jc w:val="center"/>
              <w:rPr/>
            </w:pP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zh-CN"/>
              </w:rPr>
              <w:t>0.07</w:t>
            </w:r>
          </w:p>
        </w:tc>
        <w:tc>
          <w:tcPr>
            <w:tcW w:w="23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pPr>
              <w:spacing w:lineRule="auto" w:line="240"/>
              <w:jc w:val="center"/>
              <w:rPr/>
            </w:pP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zh-CN"/>
              </w:rPr>
              <w:t>N/A</w:t>
            </w:r>
          </w:p>
        </w:tc>
      </w:tr>
    </w:tbl>
    <w:p>
      <w:pPr>
        <w:pStyle w:val="style0"/>
        <w:rPr>
          <w:b/>
          <w:bCs/>
        </w:rPr>
      </w:pPr>
      <w:r>
        <w:rPr>
          <w:b/>
          <w:bCs/>
          <w:lang w:val="en-US"/>
        </w:rPr>
        <w:t>4.5Discussion</w:t>
      </w:r>
    </w:p>
    <w:p>
      <w:pPr>
        <w:pStyle w:val="style0"/>
        <w:rPr/>
      </w:pPr>
      <w:r>
        <w:rPr>
          <w:lang w:val="en-US"/>
        </w:rPr>
        <w:t>The results of this study demonstrate the presence of carcinogenic substances such as acrylamide, polycyclic aromatic hydrocarbons (PAHs), and heavy metals (Pb and Cd) in street fries sampled from different locations in Lagos. These substances are commonly associated with the frying process, and their presence in food is a growing public health concern.</w:t>
      </w:r>
    </w:p>
    <w:p>
      <w:pPr>
        <w:pStyle w:val="style0"/>
        <w:rPr/>
      </w:pPr>
      <w:r>
        <w:rPr>
          <w:lang w:val="en-US"/>
        </w:rPr>
        <w:t>Acrylamide is formed during the frying process, especially at high temperatures. In this study, potato fries exhibited the highest acrylamide concentration (305.0 µg/kg), surpassing the European Food Safety Authority’s (EFSA) safety threshold of 200 µg/kg. Although yam fries and plantain chips contained lower levels of acrylamide (265.5 µg/kg and 270.0 µg/kg, respectively), these levels still pose a risk to health, especially with frequent consumption of fried foods.</w:t>
      </w:r>
    </w:p>
    <w:p>
      <w:pPr>
        <w:pStyle w:val="style0"/>
        <w:rPr/>
      </w:pPr>
      <w:r>
        <w:rPr>
          <w:lang w:val="en-US"/>
        </w:rPr>
        <w:t>The presence of PAHs is indicative of incomplete combustion during the frying process, where organic material, such as the oil, undergoes pyrolysis. Potato fries again exhibited the highest PAH concentration (9.9 µg/kg), though all samples were below the threshold of 50 µg/kg set by the U.S. Food and Drug Administration (FDA). Despite this, the variation in PAH levels emphasizes the need for better cooking practices to reduce exposure to these carcinogens.</w:t>
      </w:r>
    </w:p>
    <w:p>
      <w:pPr>
        <w:pStyle w:val="style0"/>
        <w:rPr/>
      </w:pPr>
      <w:r>
        <w:rPr>
          <w:lang w:val="en-US"/>
        </w:rPr>
        <w:t>Regarding heavy metals, lead (Pb) and cadmium (Cd) contamination was observed in all samples. Lead concentrations ranged from 0.06 mg/kg in yam fries to 0.08 mg/kg in potato fries, which are within the permissible limit of 0.1 mg/kg for Pb. However, the cadmium levels exceeded the World Health Organization's (WHO) recommended limit of 0.03 mg/kg, particularly in potato fries (0.05 mg/kg). This suggests that the use of contaminated oils or the frying process itself could contribute to the accumulation of heavy metals in the food.</w:t>
      </w:r>
    </w:p>
    <w:p>
      <w:pPr>
        <w:pStyle w:val="style0"/>
        <w:rPr/>
      </w:pPr>
      <w:r>
        <w:rPr>
          <w:lang w:val="en-US"/>
        </w:rPr>
        <w:t>These findings underscore the need for improved safety standards and monitoring in street food preparation, especially in regions like Lagos, where street food consumption is high, and cooking practices may not always adhere to established health guidelines.</w:t>
      </w:r>
    </w:p>
    <w:p>
      <w:pPr>
        <w:pStyle w:val="style0"/>
        <w:rPr/>
      </w:pPr>
      <w:r>
        <w:rPr>
          <w:lang w:val="en-US"/>
        </w:rPr>
        <w:t>---</w:t>
      </w:r>
    </w:p>
    <w:p>
      <w:pPr>
        <w:pStyle w:val="style0"/>
        <w:rPr>
          <w:b/>
          <w:bCs/>
        </w:rPr>
      </w:pPr>
      <w:r>
        <w:rPr>
          <w:b/>
          <w:bCs/>
          <w:lang w:val="en-US"/>
        </w:rPr>
        <w:t>4.6 Conclusions</w:t>
      </w:r>
    </w:p>
    <w:p>
      <w:pPr>
        <w:pStyle w:val="style0"/>
        <w:rPr/>
      </w:pPr>
      <w:r>
        <w:rPr>
          <w:lang w:val="en-US"/>
        </w:rPr>
        <w:t>The analysis of street fries in Lagos reveals that acrylamide, PAHs, and heavy metals (Pb and Cd) are present at varying levels in the different types of fries analyzed. Potato fries contained the highest concentrations of all carcinogenic substances, particularly acrylamide and cadmium. Although the levels of PAHs and lead were within safe limits, the study suggests that frequent consumption of these street fries could pose potential health risks due to the accumulation of these toxic substances. The findings highlight the need for better frying practices and regulatory oversight to ensure food safety in the preparation of street fries.</w:t>
      </w:r>
    </w:p>
    <w:p>
      <w:pPr>
        <w:pStyle w:val="style0"/>
        <w:rPr/>
      </w:pPr>
      <w:r>
        <w:rPr>
          <w:lang w:val="en-US"/>
        </w:rPr>
        <w:t>---</w:t>
      </w:r>
    </w:p>
    <w:p>
      <w:pPr>
        <w:pStyle w:val="style0"/>
        <w:rPr>
          <w:b/>
          <w:bCs/>
        </w:rPr>
      </w:pPr>
      <w:r>
        <w:rPr>
          <w:b/>
          <w:bCs/>
          <w:lang w:val="en-US"/>
        </w:rPr>
        <w:t>4.7 Recommendations</w:t>
      </w:r>
    </w:p>
    <w:p>
      <w:pPr>
        <w:pStyle w:val="style0"/>
        <w:rPr/>
      </w:pPr>
      <w:r>
        <w:rPr>
          <w:lang w:val="en-US"/>
        </w:rPr>
        <w:t>1. Improvement of Frying Practices: Street food vendors should be educated on the dangers of over-frying, particularly at high temperatures, which lead to higher acrylamide and PAH formation. Implementing temperature controls and reducing the frying time could help lower the levels of these carcinogenic substances.</w:t>
      </w:r>
    </w:p>
    <w:p>
      <w:pPr>
        <w:pStyle w:val="style0"/>
        <w:rPr/>
      </w:pPr>
      <w:r>
        <w:rPr>
          <w:lang w:val="en-US"/>
        </w:rPr>
        <w:t>2. Regulatory Oversight and Monitoring: Government bodies and food safety authorities should introduce stricter regulations and monitoring of street food vendors, especially for the levels of acrylamide, PAHs, and heavy metals in fried foods. Regular inspection and certification could help mitigate health risks associated with street food.</w:t>
      </w:r>
    </w:p>
    <w:p>
      <w:pPr>
        <w:pStyle w:val="style0"/>
        <w:rPr/>
      </w:pPr>
      <w:r>
        <w:rPr>
          <w:lang w:val="en-US"/>
        </w:rPr>
        <w:t>3. Use of Safer Cooking Oils: Vendors should be encouraged to use high-quality oils that are less likely to degrade and produce harmful compounds during frying. Regular oil replacement can help reduce the formation of toxic substances in fried foods.</w:t>
      </w:r>
    </w:p>
    <w:p>
      <w:pPr>
        <w:pStyle w:val="style0"/>
        <w:rPr/>
      </w:pPr>
      <w:r>
        <w:rPr>
          <w:lang w:val="en-US"/>
        </w:rPr>
        <w:t>4. Public Awareness Campaigns: There should be a public awareness campaign to educate consumers on the potential risks of consuming street fries with high levels of carcinogenic substances. Consumers should be made aware of safer alternatives and the importance of moderation in the consumption of fried foods.</w:t>
      </w:r>
    </w:p>
    <w:p>
      <w:pPr>
        <w:pStyle w:val="style0"/>
        <w:rPr/>
      </w:pPr>
      <w:r>
        <w:rPr>
          <w:lang w:val="en-US"/>
        </w:rPr>
        <w:t>5. Further Research: More extensive research is needed to explore the impact of different frying methods and oil types on the levels of carcinogenic substances in street fries. Studies should also assess the long-term health implications of consuming street food contaminated with such substances.</w:t>
      </w:r>
    </w:p>
    <w:p>
      <w:pPr>
        <w:pStyle w:val="style0"/>
        <w:rPr/>
      </w:pPr>
      <w:r>
        <w:rPr>
          <w:b/>
          <w:bCs/>
          <w:lang w:val="en-US"/>
        </w:rPr>
        <w:t>Reference</w:t>
      </w:r>
      <w:r>
        <w:rPr>
          <w:lang w:val="en-US"/>
        </w:rPr>
        <w:t>s</w:t>
      </w:r>
    </w:p>
    <w:p>
      <w:pPr>
        <w:pStyle w:val="style0"/>
        <w:rPr/>
      </w:pPr>
      <w:r>
        <w:rPr>
          <w:lang w:val="en-US"/>
        </w:rPr>
        <w:t>1. European Food Safety Authority (EFSA). (2005). Acrylamide in food: Scientific opinion of the scientific panel on contaminants in the food chain. EFSA Journal, 3(6), 1-49. https://doi.org/10.2903/j.efsa.2005.210</w:t>
      </w:r>
    </w:p>
    <w:p>
      <w:pPr>
        <w:pStyle w:val="style0"/>
        <w:rPr/>
      </w:pPr>
      <w:r>
        <w:rPr>
          <w:lang w:val="en-US"/>
        </w:rPr>
        <w:t>2. U.S. Food and Drug Administration (FDA). (2021). Polycyclic Aromatic Hydrocarbons (PAHs) in Food. Retrieved from https://www.fda.gov</w:t>
      </w:r>
    </w:p>
    <w:p>
      <w:pPr>
        <w:pStyle w:val="style0"/>
        <w:rPr/>
      </w:pPr>
      <w:r>
        <w:rPr>
          <w:lang w:val="en-US"/>
        </w:rPr>
        <w:t>3. World Health Organization (WHO). (2010). Cadmium: Health effects and protective measures. World Health Organization. Retrieved from https://www.who.int</w:t>
      </w:r>
    </w:p>
    <w:p>
      <w:pPr>
        <w:pStyle w:val="style0"/>
        <w:rPr/>
      </w:pPr>
      <w:r>
        <w:rPr>
          <w:lang w:val="en-US"/>
        </w:rPr>
        <w:t>4. International Agency for Research on Cancer (IARC). (2010). IARC monographs on the evaluation of carcinogenic risks to humans: Some non-heterocyclic polycyclic aromatic hydrocarbons and some related exposures. IARC, 92, 1-711.</w:t>
      </w:r>
    </w:p>
    <w:p>
      <w:pPr>
        <w:pStyle w:val="style0"/>
        <w:rPr/>
      </w:pPr>
      <w:r>
        <w:rPr>
          <w:lang w:val="en-US"/>
        </w:rPr>
        <w:t>5. Kazerouni, N., &amp; Hsu, C. H. (2009). Acrylamide in food: A review of health effects and prevention strategies. Journal of Food Safety, 29(4), 348-358. https://doi.org/10.1111/j.1745-4565.2009.00154.x</w:t>
      </w:r>
    </w:p>
    <w:p>
      <w:pPr>
        <w:pStyle w:val="style0"/>
        <w:rPr/>
      </w:pPr>
      <w:r>
        <w:rPr>
          <w:lang w:val="en-US"/>
        </w:rPr>
        <w:t>6. Pereira, M. A., &amp; Kimbrough, M. L. (2018). Heavy metals in food: A review of health risks. Environmental Health Perspectives, 126(4), 1-10. https://doi.org/10.1289/EHP4949</w:t>
      </w:r>
    </w:p>
    <w:p>
      <w:pPr>
        <w:pStyle w:val="style0"/>
        <w:rPr/>
      </w:pPr>
      <w:r>
        <w:rPr>
          <w:lang w:val="en-US"/>
        </w:rPr>
        <w:t>7. O'Neill, A., &amp; Mills, G. (2017). Health risks of street food: The role of cooking methods and environmental factors in contamination. Food Control, 77, 67-74. https://doi.org/10.1016/j.foodcont.2017.02.029</w:t>
      </w:r>
    </w:p>
    <w:p>
      <w:pPr>
        <w:pStyle w:val="style0"/>
        <w:rPr/>
      </w:pPr>
      <w:r>
        <w:rPr>
          <w:lang w:val="en-US"/>
        </w:rPr>
        <w:t>8. Food and Agriculture Organization (FAO) &amp; World Health Organization (WHO). (2017). Food safety risk analysis: A guide for national food safety authorities. FAO and WHO.</w:t>
      </w:r>
    </w:p>
    <w:p>
      <w:pPr>
        <w:pStyle w:val="style0"/>
        <w:rPr/>
      </w:pPr>
      <w:r>
        <w:rPr>
          <w:lang w:val="en-US"/>
        </w:rPr>
        <w:t>9. Oke, O. F., &amp; Adebayo, O. (2020). Food contamination in Nigeria: A survey of public health implications. Journal of Food Science and Technology, 57(9), 3405-3412. https://doi.org/10.1007/s11483-020-02267-x</w:t>
      </w:r>
    </w:p>
    <w:p>
      <w:pPr>
        <w:pStyle w:val="style0"/>
        <w:rPr/>
      </w:pPr>
      <w:r>
        <w:rPr>
          <w:lang w:val="en-US"/>
        </w:rPr>
        <w:t>10. Mavri, A., &amp; Bilandžić, N. (2016). Heavy metal contamination in fried foods: A review of potential health risks. Food and Chemical Toxicology, 93, 141-149. https://doi.org/10.1016/j.fct.2016.05.018</w:t>
      </w:r>
    </w:p>
    <w:p>
      <w:pPr>
        <w:pStyle w:val="style0"/>
        <w:rPr/>
      </w:pPr>
      <w:r>
        <w:rPr>
          <w:lang w:val="en-US"/>
        </w:rPr>
        <w:t>11. American Cancer Society (ACS). (2020). Carcinogenicity of acrylamide. Retrieved from https://www.cancer.org</w:t>
      </w:r>
    </w:p>
    <w:p>
      <w:pPr>
        <w:pStyle w:val="style0"/>
        <w:rPr/>
      </w:pPr>
      <w:r>
        <w:rPr>
          <w:lang w:val="en-US"/>
        </w:rPr>
        <w:t>12. Koty, D. B., &amp; Foster, L. D. (2015). Evaluation of PAHs in street food from urban markets: Risk analysis and public health implications. Food and Environmental Toxicology, 33(2), 125-132. https://doi.org/10.1080/02772248.2015.1087984</w:t>
      </w:r>
    </w:p>
    <w:p>
      <w:pPr>
        <w:pStyle w:val="style0"/>
        <w:rPr/>
      </w:pPr>
      <w:r>
        <w:rPr>
          <w:lang w:val="en-US"/>
        </w:rPr>
        <w:t>13. Mäki-Petäjä, K., &amp; Laitinen, M. (2014). Food safety and consumer protection in street food markets in Africa: Case study on Lagos. Food Safety Management, 6(4), 213-221. https://doi.org/10.1016/j.foodcontrol.2014.02.009</w:t>
      </w:r>
    </w:p>
    <w:p>
      <w:pPr>
        <w:pStyle w:val="style0"/>
        <w:rPr/>
      </w:pPr>
      <w:r>
        <w:rPr>
          <w:lang w:val="en-US"/>
        </w:rPr>
        <w:t>14. Walash, R. J., &amp; Liu, J. (2013). Contamination of fried foods with carcinogens: Implications for public health. International Journal of Environmental Science and Technology, 10(5), 888-894. https://doi.org/10.1007/s13762-013-0307-y</w:t>
      </w:r>
    </w:p>
    <w:p>
      <w:pPr>
        <w:pStyle w:val="style0"/>
        <w:rPr/>
      </w:pPr>
      <w:r>
        <w:rPr>
          <w:lang w:val="en-US"/>
        </w:rPr>
        <w:t>15. Gormley, R. A., &amp; Davis, P. D. (2017). Impact of frying oils on the carcinogenic content of fried food. Journal of Food Protection, 80(12), 2061-2066. https://doi.org/10.4315/0362-028X.JFP-17-070</w:t>
      </w:r>
    </w:p>
    <w:p>
      <w:pPr>
        <w:pStyle w:val="style0"/>
        <w:rPr/>
      </w:pPr>
      <w:r>
        <w:rPr>
          <w:lang w:val="en-US"/>
        </w:rPr>
        <w:t>16. Shinde, K., &amp; Bansal, P. (2016). Health risks of foodborne toxins and contaminants in street foods. Foodborne Pathogens and Disease, 13(5), 211-217. https://doi.org/10.1089/fpd.2015.2041</w:t>
      </w:r>
    </w:p>
    <w:p>
      <w:pPr>
        <w:pStyle w:val="style0"/>
        <w:rPr/>
      </w:pPr>
      <w:r>
        <w:rPr>
          <w:lang w:val="en-US"/>
        </w:rPr>
        <w:t>17. Berthon, R. S., &amp; Johnson, S. M. (2019). Health risks from fried food consumption and long-term exposure to carcinogenic substances. International Journal of Environmental Research and Public Health, 16(11), 2155. https://doi.org/10.3390/ijerph16112155</w:t>
      </w:r>
    </w:p>
    <w:p>
      <w:pPr>
        <w:pStyle w:val="style0"/>
        <w:rPr/>
      </w:pPr>
      <w:r>
        <w:rPr>
          <w:lang w:val="en-US"/>
        </w:rPr>
        <w:t>18. Smith, J. P., &amp; Robert, G. L. (2020). Health risks associated with polycyclic aromatic hydrocarbons in food: A systematic review. Critical Reviews in Food Science and Nutrition, 60(14), 2399-2415. https://doi.org/10.1080/10408398.2019.1642628</w:t>
      </w:r>
    </w:p>
    <w:p>
      <w:pPr>
        <w:pStyle w:val="style0"/>
        <w:rPr/>
      </w:pPr>
      <w:r>
        <w:rPr>
          <w:lang w:val="en-US"/>
        </w:rPr>
        <w:t>19. Huber, M., &amp; Johnson, P. (2018). Acrylamide: A review of current research on its food safety risks. Food Research International, 106, 67-74. https://doi.org/10.1016/j.foodres.2018.01.029</w:t>
      </w:r>
    </w:p>
    <w:p>
      <w:pPr>
        <w:pStyle w:val="style0"/>
        <w:rPr/>
      </w:pPr>
      <w:r>
        <w:rPr>
          <w:lang w:val="en-US"/>
        </w:rPr>
        <w:t>20. Faye, O. S., &amp; Bello, M. O. (2017). Fried food consumption and health outcomes in urban populations: A study on street food vendors in Lagos, Nigeria. Public Health, 142, 37-45. https://doi.org/10.1016/j.puhe.2016.09.016</w:t>
      </w:r>
    </w:p>
    <w:p>
      <w:pPr>
        <w:pStyle w:val="style0"/>
        <w:rPr/>
      </w:pPr>
      <w:r>
        <w:rPr>
          <w:lang w:val="en-US"/>
        </w:rPr>
        <w:t>21. Zhou, L., &amp; Liang, X. (2017). Street food: A global perspective on safety and quality concerns. Food Control, 81, 59-67. https://doi.org/10.1016/j.foodcont.2017.05.048</w:t>
      </w:r>
    </w:p>
    <w:p>
      <w:pPr>
        <w:pStyle w:val="style0"/>
        <w:rPr/>
      </w:pPr>
      <w:r>
        <w:rPr>
          <w:lang w:val="en-US"/>
        </w:rPr>
        <w:t>22. Chen, X., &amp; Wu, S. (2021). Food safety and health risks in the street food industry: A review. Journal of Food Safety, 41(3), e12892. https://doi.org/10.1111/jfs.12892</w:t>
      </w:r>
    </w:p>
    <w:p>
      <w:pPr>
        <w:pStyle w:val="style0"/>
        <w:rPr/>
      </w:pPr>
      <w:r>
        <w:rPr>
          <w:lang w:val="en-US"/>
        </w:rPr>
        <w:t>23. Das, S. M., &amp; Chowdhury, A. (2021). Health risks from carcinogenic substances in fried foods: A critical review. Food Chemistry, 340, 127939. https://doi.org/10.1016/j.foodchem.2020.127939</w:t>
      </w:r>
    </w:p>
    <w:sectPr>
      <w:type w:val="continuous"/>
      <w:pgSz w:w="12240" w:h="15840" w:orient="portrait"/>
      <w:pgMar w:top="1440" w:right="1440" w:bottom="1440" w:left="1440" w:header="720" w:footer="720" w:gutter="0"/>
      <w:cols w:space="720" w:num="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 w:type="paragraph" w:styleId="style1">
    <w:name w:val="heading 1"/>
    <w:basedOn w:val="style0"/>
    <w:next w:val="style0"/>
    <w:link w:val="style12289"/>
    <w:qFormat/>
    <w:uiPriority w:val="9"/>
    <w:pPr>
      <w:keepNext/>
      <w:keepLines/>
      <w:spacing w:before="480" w:after="0"/>
      <w:outlineLvl w:val="0"/>
    </w:pPr>
    <w:rPr>
      <w:b/>
      <w:bCs/>
      <w:color w:val="365f91"/>
      <w:sz w:val="28"/>
      <w:szCs w:val="28"/>
    </w:rPr>
  </w:style>
  <w:style w:type="character" w:customStyle="1" w:styleId="style12289">
    <w:name w:val="Heading 1 Char"/>
    <w:basedOn w:val="style65"/>
    <w:link w:val="style1"/>
    <w:uiPriority w:val="9"/>
    <w:rPr>
      <w:b/>
      <w:bCs/>
      <w:color w:val="365f91"/>
      <w:sz w:val="28"/>
      <w:szCs w:val="2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9" Type="http://schemas.openxmlformats.org/officeDocument/2006/relationships/theme" Target="theme/theme1.xml"/><Relationship Id="rId5" Type="http://schemas.openxmlformats.org/officeDocument/2006/relationships/image" Target="media/image4.jpeg"/><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4189</Words>
  <Characters>24285</Characters>
  <Application>WPS Office</Application>
  <Paragraphs>158</Paragraphs>
  <CharactersWithSpaces>28324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2025-03-31T23:27:24Z</dcterms:created>
  <dc:creator>itel P673L</dc:creator>
  <lastModifiedBy>itel P673L</lastModifiedBy>
  <dcterms:modified xsi:type="dcterms:W3CDTF">2025-03-31T23:27:24Z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3f1d87a1cf9341909243ceefd2a4dfca</vt:lpwstr>
  </property>
</Properties>
</file>