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A0E165">
      <w:pPr>
        <w:spacing w:before="1080" w:after="240"/>
        <w:jc w:val="center"/>
        <w:rPr>
          <w:rFonts w:ascii="Times New Roman" w:hAnsi="Times New Roman"/>
          <w:b/>
          <w:bCs/>
          <w:sz w:val="48"/>
          <w:szCs w:val="48"/>
          <w:shd w:val="clear" w:color="auto" w:fill="FFFFFF"/>
        </w:rPr>
      </w:pPr>
      <w:r>
        <w:rPr>
          <w:rFonts w:ascii="Times New Roman" w:hAnsi="Times New Roman"/>
          <w:b/>
          <w:bCs/>
          <w:sz w:val="48"/>
          <w:szCs w:val="48"/>
          <w:shd w:val="clear" w:color="auto" w:fill="FFFFFF"/>
        </w:rPr>
        <w:t>Write not to hide! Open access publishing during the COVID-19 pandemic in Uganda</w:t>
      </w:r>
    </w:p>
    <w:p w14:paraId="7A8BBF02">
      <w:pPr>
        <w:jc w:val="center"/>
        <w:rPr>
          <w:rFonts w:ascii="Times New Roman" w:hAnsi="Times New Roman"/>
          <w:b/>
          <w:bCs/>
          <w:sz w:val="24"/>
          <w:szCs w:val="24"/>
          <w:shd w:val="clear" w:color="auto" w:fill="FFFFFF"/>
        </w:rPr>
      </w:pPr>
      <w:r>
        <w:rPr>
          <w:rFonts w:ascii="Times New Roman" w:hAnsi="Times New Roman"/>
          <w:b/>
          <w:bCs/>
          <w:sz w:val="24"/>
          <w:szCs w:val="24"/>
          <w:shd w:val="clear" w:color="auto" w:fill="FFFFFF"/>
        </w:rPr>
        <w:t>Kireeba Amuza</w:t>
      </w:r>
    </w:p>
    <w:p w14:paraId="081CBEEA">
      <w:pPr>
        <w:jc w:val="center"/>
        <w:rPr>
          <w:rFonts w:ascii="Times New Roman" w:hAnsi="Times New Roman"/>
          <w:b/>
          <w:bCs/>
          <w:sz w:val="24"/>
          <w:szCs w:val="24"/>
          <w:shd w:val="clear" w:color="auto" w:fill="FFFFFF"/>
        </w:rPr>
      </w:pPr>
      <w:r>
        <w:rPr>
          <w:rFonts w:ascii="Times New Roman" w:hAnsi="Times New Roman"/>
          <w:b/>
          <w:bCs/>
          <w:sz w:val="24"/>
          <w:szCs w:val="24"/>
          <w:shd w:val="clear" w:color="auto" w:fill="FFFFFF"/>
        </w:rPr>
        <w:t>Lecturer</w:t>
      </w:r>
    </w:p>
    <w:p w14:paraId="792E9CF4">
      <w:pPr>
        <w:jc w:val="center"/>
        <w:rPr>
          <w:rFonts w:ascii="Times New Roman" w:hAnsi="Times New Roman"/>
          <w:b/>
          <w:bCs/>
          <w:i/>
          <w:sz w:val="24"/>
          <w:szCs w:val="24"/>
          <w:shd w:val="clear" w:color="auto" w:fill="FFFFFF"/>
        </w:rPr>
      </w:pPr>
      <w:r>
        <w:rPr>
          <w:rFonts w:ascii="Times New Roman" w:hAnsi="Times New Roman"/>
          <w:b/>
          <w:bCs/>
          <w:i/>
          <w:sz w:val="24"/>
          <w:szCs w:val="24"/>
          <w:shd w:val="clear" w:color="auto" w:fill="FFFFFF"/>
        </w:rPr>
        <w:t xml:space="preserve">Islamic University in Uganda, Females’ campus </w:t>
      </w:r>
    </w:p>
    <w:p w14:paraId="7C58BF09">
      <w:pPr>
        <w:jc w:val="center"/>
        <w:rPr>
          <w:rFonts w:ascii="Times New Roman" w:hAnsi="Times New Roman"/>
          <w:b/>
          <w:bCs/>
          <w:sz w:val="24"/>
          <w:szCs w:val="24"/>
          <w:shd w:val="clear" w:color="auto" w:fill="FFFFFF"/>
        </w:rPr>
      </w:pPr>
      <w:r>
        <w:rPr>
          <w:rFonts w:ascii="Times New Roman" w:hAnsi="Times New Roman"/>
          <w:b/>
          <w:i/>
          <w:sz w:val="24"/>
          <w:szCs w:val="24"/>
        </w:rPr>
        <w:t>P.O. Box 7724, Kampala</w:t>
      </w:r>
    </w:p>
    <w:p w14:paraId="192EB6F0">
      <w:pPr>
        <w:spacing w:before="200"/>
        <w:ind w:left="1008" w:right="1008"/>
        <w:rPr>
          <w:rFonts w:ascii="Times New Roman" w:hAnsi="Times New Roman"/>
          <w:b/>
          <w:bCs/>
          <w:sz w:val="20"/>
          <w:szCs w:val="20"/>
          <w:shd w:val="clear" w:color="auto" w:fill="FFFFFF"/>
        </w:rPr>
      </w:pPr>
      <w:r>
        <w:rPr>
          <w:rFonts w:ascii="Times New Roman" w:hAnsi="Times New Roman"/>
          <w:b/>
          <w:bCs/>
          <w:sz w:val="20"/>
          <w:szCs w:val="20"/>
          <w:shd w:val="clear" w:color="auto" w:fill="FFFFFF"/>
        </w:rPr>
        <w:t>Abstract</w:t>
      </w:r>
    </w:p>
    <w:p w14:paraId="1A9DBA5B">
      <w:pPr>
        <w:spacing w:before="200"/>
        <w:ind w:left="1008" w:right="1008"/>
        <w:rPr>
          <w:rFonts w:ascii="Times New Roman" w:hAnsi="Times New Roman"/>
          <w:bCs/>
          <w:sz w:val="20"/>
          <w:szCs w:val="20"/>
          <w:shd w:val="clear" w:color="auto" w:fill="FFFFFF"/>
        </w:rPr>
      </w:pPr>
      <w:r>
        <w:rPr>
          <w:rFonts w:ascii="Times New Roman" w:hAnsi="Times New Roman"/>
          <w:bCs/>
          <w:sz w:val="20"/>
          <w:szCs w:val="20"/>
          <w:shd w:val="clear" w:color="auto" w:fill="FFFFFF"/>
        </w:rPr>
        <w:t>The need to communicate research findings is increasing in the academia allowing free access and use of such findings by all information seekers/users at all times with no limitations via open access publishing. This paper discusses how researchers and authors have fared during and after COVID-19 pandemic, contributing to author visibility, share and link research data, make more discoveries, increasing the researcher’s impact in the academia and the outside world, and sharing the research findings with the outside world. Open access publishing creates</w:t>
      </w:r>
      <w:r>
        <w:rPr>
          <w:rFonts w:ascii="Times New Roman" w:hAnsi="Times New Roman"/>
          <w:bCs/>
          <w:color w:val="FF0000"/>
          <w:sz w:val="20"/>
          <w:szCs w:val="20"/>
          <w:shd w:val="clear" w:color="auto" w:fill="FFFFFF"/>
        </w:rPr>
        <w:t xml:space="preserve"> </w:t>
      </w:r>
      <w:r>
        <w:rPr>
          <w:rFonts w:ascii="Times New Roman" w:hAnsi="Times New Roman"/>
          <w:bCs/>
          <w:sz w:val="20"/>
          <w:szCs w:val="20"/>
          <w:shd w:val="clear" w:color="auto" w:fill="FFFFFF"/>
        </w:rPr>
        <w:t>avenues for findings to be applied for problem solving, evident during COVID-19 for the health related content around the globe. This study was based on the already existing literature over the internet with the data accessed</w:t>
      </w:r>
      <w:r>
        <w:rPr>
          <w:rFonts w:ascii="Times New Roman" w:hAnsi="Times New Roman"/>
          <w:bCs/>
          <w:color w:val="FF0000"/>
          <w:sz w:val="20"/>
          <w:szCs w:val="20"/>
          <w:shd w:val="clear" w:color="auto" w:fill="FFFFFF"/>
        </w:rPr>
        <w:t xml:space="preserve"> </w:t>
      </w:r>
      <w:r>
        <w:rPr>
          <w:rFonts w:ascii="Times New Roman" w:hAnsi="Times New Roman"/>
          <w:bCs/>
          <w:sz w:val="20"/>
          <w:szCs w:val="20"/>
          <w:shd w:val="clear" w:color="auto" w:fill="FFFFFF"/>
        </w:rPr>
        <w:t>from the local Institutional Repositories (IRs) which publishes local preprints like for Uganda Martyrs University and Makerere University, publisher websites which supports open access</w:t>
      </w:r>
      <w:r>
        <w:rPr>
          <w:rFonts w:ascii="Times New Roman" w:hAnsi="Times New Roman"/>
          <w:bCs/>
          <w:color w:val="FF0000"/>
          <w:sz w:val="20"/>
          <w:szCs w:val="20"/>
          <w:shd w:val="clear" w:color="auto" w:fill="FFFFFF"/>
        </w:rPr>
        <w:t xml:space="preserve"> </w:t>
      </w:r>
      <w:r>
        <w:rPr>
          <w:rFonts w:ascii="Times New Roman" w:hAnsi="Times New Roman"/>
          <w:bCs/>
          <w:sz w:val="20"/>
          <w:szCs w:val="20"/>
          <w:shd w:val="clear" w:color="auto" w:fill="FFFFFF"/>
        </w:rPr>
        <w:t>publishing like</w:t>
      </w:r>
      <w:r>
        <w:rPr>
          <w:rFonts w:ascii="Times New Roman" w:hAnsi="Times New Roman"/>
          <w:bCs/>
          <w:color w:val="FF0000"/>
          <w:sz w:val="20"/>
          <w:szCs w:val="20"/>
          <w:shd w:val="clear" w:color="auto" w:fill="FFFFFF"/>
        </w:rPr>
        <w:t xml:space="preserve"> </w:t>
      </w:r>
      <w:r>
        <w:rPr>
          <w:rFonts w:ascii="Times New Roman" w:hAnsi="Times New Roman"/>
          <w:bCs/>
          <w:sz w:val="20"/>
          <w:szCs w:val="20"/>
          <w:shd w:val="clear" w:color="auto" w:fill="FFFFFF"/>
        </w:rPr>
        <w:t xml:space="preserve">Taylor &amp; Francis, citation databases like Dimensions, PLOS, F1000Research, and Scitex. These provided data to determine the progress of open access publishing, the role it plays to individual researchers and publishers and the findings which have been published during the pandemic by researchers in Uganda. Many researchers across the globe have published their research findings during the pandemic leading to increased visibility, availability of research data (data sets), increased readership, access to up-to-date information, creating avenues for global author collaboration. Much as the pandemic has affected the world greatly in various sectors, it has paved a way and provided channels for sharing research at the global level at no cost through open access publishing. </w:t>
      </w:r>
    </w:p>
    <w:p w14:paraId="2CDC1508">
      <w:pPr>
        <w:spacing w:before="200"/>
        <w:ind w:left="1008" w:right="1008"/>
        <w:rPr>
          <w:rFonts w:ascii="Times New Roman" w:hAnsi="Times New Roman"/>
          <w:bCs/>
          <w:sz w:val="20"/>
          <w:szCs w:val="20"/>
          <w:shd w:val="clear" w:color="auto" w:fill="FFFFFF"/>
        </w:rPr>
      </w:pPr>
      <w:r>
        <w:rPr>
          <w:rFonts w:ascii="Times New Roman" w:hAnsi="Times New Roman" w:eastAsia="Times New Roman"/>
          <w:b/>
          <w:sz w:val="20"/>
          <w:szCs w:val="20"/>
        </w:rPr>
        <w:t>Keywords; Open Access, Open Access publishing, COVID-19, Uganda</w:t>
      </w:r>
    </w:p>
    <w:p w14:paraId="7C1D2D88">
      <w:pPr>
        <w:pStyle w:val="7"/>
        <w:spacing w:before="200" w:beforeAutospacing="0" w:after="120" w:afterAutospacing="0"/>
        <w:jc w:val="both"/>
        <w:rPr>
          <w:b/>
          <w:bCs/>
          <w:color w:val="000000"/>
          <w:sz w:val="28"/>
          <w:szCs w:val="28"/>
        </w:rPr>
      </w:pPr>
    </w:p>
    <w:p w14:paraId="686BA7E6">
      <w:pPr>
        <w:pStyle w:val="7"/>
        <w:spacing w:before="200" w:beforeAutospacing="0" w:after="120" w:afterAutospacing="0"/>
        <w:jc w:val="both"/>
      </w:pPr>
      <w:r>
        <w:rPr>
          <w:b/>
          <w:bCs/>
          <w:color w:val="000000"/>
          <w:sz w:val="28"/>
          <w:szCs w:val="28"/>
        </w:rPr>
        <w:t>Introduction</w:t>
      </w:r>
    </w:p>
    <w:p w14:paraId="71DABE7B">
      <w:pPr>
        <w:pStyle w:val="7"/>
        <w:spacing w:before="240" w:beforeAutospacing="0" w:after="240" w:afterAutospacing="0"/>
        <w:ind w:firstLine="720"/>
        <w:jc w:val="both"/>
        <w:rPr>
          <w:color w:val="000000"/>
        </w:rPr>
      </w:pPr>
      <w:r>
        <w:rPr>
          <w:color w:val="000000"/>
        </w:rPr>
        <w:t>It is uplifting to see a good number of readers referring to author’s research findings published in Open Access.  Open Access (OA) is scholarly literature that is online, free for access with free licensing restrictions in their use, free on the practical bit where authors or researchers write to be read or technological where the internet makes it easy for free widespread access and use  (Tomlin &amp; Tomiin, 2011). Open access movement has been embraced by a number of authors, researchers, publishers, research communities around the globe as prompted by COVID-19 to showcase their invention, ideas and contributions in terms of research output in the different fields (Grove, 2020). An increase in open access and e-book publishing has been recorded in 2019 and 2020 (Trimarco, 2021) especially with the advent and use of the internet during COVID-19, a disease caused by coronavirus. This fast-moving production of knowledge around the globe (Price &amp; Ozkan, 2021) has made traditional houses (printing) open their paywalls and give free access to research papers and data for scholars and researchers to research more on the pandemic and related issues and then openly share the findings. Open science movement (open data, open science, open source among others) involves free sharing of knowledge, innovation, and ideas without restrictions, allowing some publishers to take on hybrid, gold, and green OA (Harris, 2012).</w:t>
      </w:r>
      <w:r>
        <w:rPr>
          <w:color w:val="FF0000"/>
        </w:rPr>
        <w:t xml:space="preserve"> </w:t>
      </w:r>
      <w:r>
        <w:rPr>
          <w:color w:val="000000"/>
        </w:rPr>
        <w:t>Publishers like Taylor &amp; Francis</w:t>
      </w:r>
      <w:r>
        <w:fldChar w:fldCharType="begin"/>
      </w:r>
      <w:r>
        <w:instrText xml:space="preserve"> HYPERLINK "https://www.tandfonline.com/openaccess" </w:instrText>
      </w:r>
      <w:r>
        <w:fldChar w:fldCharType="separate"/>
      </w:r>
      <w:r>
        <w:rPr>
          <w:rStyle w:val="6"/>
          <w:color w:val="000000"/>
        </w:rPr>
        <w:t xml:space="preserve"> </w:t>
      </w:r>
      <w:r>
        <w:rPr>
          <w:rStyle w:val="6"/>
          <w:color w:val="1155CC"/>
        </w:rPr>
        <w:t>https://www.tandfonline.com/openaccess</w:t>
      </w:r>
      <w:r>
        <w:rPr>
          <w:rStyle w:val="6"/>
          <w:color w:val="1155CC"/>
        </w:rPr>
        <w:fldChar w:fldCharType="end"/>
      </w:r>
      <w:r>
        <w:rPr>
          <w:color w:val="000000"/>
        </w:rPr>
        <w:t>, Emerald Open Research</w:t>
      </w:r>
      <w:r>
        <w:fldChar w:fldCharType="begin"/>
      </w:r>
      <w:r>
        <w:instrText xml:space="preserve">HYPERLINK "../../../../../../Downloads/, https:/emeraldopenresearch.com/"</w:instrText>
      </w:r>
      <w:r>
        <w:fldChar w:fldCharType="separate"/>
      </w:r>
      <w:r>
        <w:rPr>
          <w:rStyle w:val="6"/>
        </w:rPr>
        <w:t>, https://emeraldopenresearch.com/</w:t>
      </w:r>
      <w:r>
        <w:rPr>
          <w:rStyle w:val="6"/>
        </w:rPr>
        <w:fldChar w:fldCharType="end"/>
      </w:r>
      <w:r>
        <w:rPr>
          <w:color w:val="000000"/>
        </w:rPr>
        <w:t>,</w:t>
      </w:r>
      <w:r>
        <w:rPr>
          <w:color w:val="FF0000"/>
        </w:rPr>
        <w:t xml:space="preserve"> </w:t>
      </w:r>
      <w:r>
        <w:rPr>
          <w:color w:val="000000"/>
        </w:rPr>
        <w:t>Springer Nature</w:t>
      </w:r>
      <w:r>
        <w:fldChar w:fldCharType="begin"/>
      </w:r>
      <w:r>
        <w:instrText xml:space="preserve"> HYPERLINK "https://www.springernature.com/gp/open-research/journals-books/journals" </w:instrText>
      </w:r>
      <w:r>
        <w:fldChar w:fldCharType="separate"/>
      </w:r>
      <w:r>
        <w:rPr>
          <w:rStyle w:val="6"/>
          <w:color w:val="000000"/>
        </w:rPr>
        <w:t xml:space="preserve"> </w:t>
      </w:r>
      <w:r>
        <w:rPr>
          <w:rStyle w:val="6"/>
          <w:color w:val="1155CC"/>
        </w:rPr>
        <w:t>https://www.springernature.com/gp/open-research/journals-books/journals</w:t>
      </w:r>
      <w:r>
        <w:rPr>
          <w:rStyle w:val="6"/>
          <w:color w:val="1155CC"/>
        </w:rPr>
        <w:fldChar w:fldCharType="end"/>
      </w:r>
      <w:r>
        <w:rPr>
          <w:color w:val="000000"/>
        </w:rPr>
        <w:t>,</w:t>
      </w:r>
      <w:r>
        <w:rPr>
          <w:color w:val="FF0000"/>
        </w:rPr>
        <w:t xml:space="preserve"> </w:t>
      </w:r>
      <w:r>
        <w:rPr>
          <w:color w:val="000000"/>
        </w:rPr>
        <w:t>Neuron under Elsevier, citation and discovery tool and databases like Dimensions</w:t>
      </w:r>
      <w:r>
        <w:fldChar w:fldCharType="begin"/>
      </w:r>
      <w:r>
        <w:instrText xml:space="preserve"> HYPERLINK "https://app.dimensions.ai/discover/publication" </w:instrText>
      </w:r>
      <w:r>
        <w:fldChar w:fldCharType="separate"/>
      </w:r>
      <w:r>
        <w:rPr>
          <w:rStyle w:val="6"/>
          <w:color w:val="FF0000"/>
        </w:rPr>
        <w:t xml:space="preserve"> </w:t>
      </w:r>
      <w:r>
        <w:rPr>
          <w:rStyle w:val="6"/>
          <w:color w:val="1155CC"/>
        </w:rPr>
        <w:t>https://app.dimensions.ai/discover/publication</w:t>
      </w:r>
      <w:r>
        <w:rPr>
          <w:rStyle w:val="6"/>
          <w:color w:val="1155CC"/>
        </w:rPr>
        <w:fldChar w:fldCharType="end"/>
      </w:r>
      <w:r>
        <w:rPr>
          <w:color w:val="000000"/>
        </w:rPr>
        <w:t>,</w:t>
      </w:r>
      <w:r>
        <w:rPr>
          <w:color w:val="FF0000"/>
        </w:rPr>
        <w:t xml:space="preserve"> </w:t>
      </w:r>
      <w:r>
        <w:rPr>
          <w:color w:val="000000"/>
        </w:rPr>
        <w:t>Public Library of Science (PLoS) especially with preprints from Uganda</w:t>
      </w:r>
      <w:r>
        <w:fldChar w:fldCharType="begin"/>
      </w:r>
      <w:r>
        <w:instrText xml:space="preserve"> HYPERLINK "https://plos.org/announcement/trends-in-preprints/" </w:instrText>
      </w:r>
      <w:r>
        <w:fldChar w:fldCharType="separate"/>
      </w:r>
      <w:r>
        <w:rPr>
          <w:rStyle w:val="6"/>
          <w:color w:val="000000"/>
        </w:rPr>
        <w:t xml:space="preserve"> </w:t>
      </w:r>
      <w:r>
        <w:rPr>
          <w:rStyle w:val="6"/>
          <w:color w:val="1155CC"/>
        </w:rPr>
        <w:t>https://plos.org/announcement/trends-in-preprints/</w:t>
      </w:r>
      <w:r>
        <w:rPr>
          <w:rStyle w:val="6"/>
          <w:color w:val="1155CC"/>
        </w:rPr>
        <w:fldChar w:fldCharType="end"/>
      </w:r>
      <w:r>
        <w:rPr>
          <w:color w:val="000000"/>
        </w:rPr>
        <w:t>, Scite</w:t>
      </w:r>
      <w:r>
        <w:fldChar w:fldCharType="begin"/>
      </w:r>
      <w:r>
        <w:instrText xml:space="preserve"> HYPERLINK "https://scite.ai/home" </w:instrText>
      </w:r>
      <w:r>
        <w:fldChar w:fldCharType="separate"/>
      </w:r>
      <w:r>
        <w:rPr>
          <w:rStyle w:val="6"/>
          <w:color w:val="FF0000"/>
        </w:rPr>
        <w:t xml:space="preserve"> </w:t>
      </w:r>
      <w:r>
        <w:rPr>
          <w:rStyle w:val="6"/>
          <w:color w:val="1155CC"/>
        </w:rPr>
        <w:t>https://scite.ai/home</w:t>
      </w:r>
      <w:r>
        <w:rPr>
          <w:rStyle w:val="6"/>
          <w:color w:val="1155CC"/>
        </w:rPr>
        <w:fldChar w:fldCharType="end"/>
      </w:r>
      <w:r>
        <w:rPr>
          <w:color w:val="FF0000"/>
        </w:rPr>
        <w:t xml:space="preserve"> </w:t>
      </w:r>
      <w:r>
        <w:rPr>
          <w:color w:val="000000"/>
        </w:rPr>
        <w:t>among others have advocated for unrestricted sharing of scientific papers during the pandemic hastening the shift towards more open access publishing making their content openly and publicly available by anyone (Grove, 2020)</w:t>
      </w:r>
      <w:r>
        <w:rPr>
          <w:b/>
          <w:bCs/>
          <w:color w:val="000000"/>
        </w:rPr>
        <w:t xml:space="preserve">. </w:t>
      </w:r>
      <w:r>
        <w:rPr>
          <w:color w:val="000000"/>
        </w:rPr>
        <w:t>In East Africa a number of institutions (universities) have acknowledged Institutional Repositories (IRs) as a gateway to penetrate into OA movement like Makerere University, Uganda Martyrs University, Kenyatta University among others, registering for Directorate of Open Access Journals for their research publications to be indexed (Kakai &amp; Musoke, 2018). In Uganda, a number of researchers including librarians have continuously shown their interest in the OA movement (John, Shafik, &amp; Sousa, 2015) including universities like Uganda Martyrs University, Makerere University, Uganda Christian University among others. Open access movement has transformed the process of writing where authors from different parts of the global south and global north have collaborated and carried out research during the pandemic with the help of the internet. With open access, researchers are able to access the once restricted resources. Researchers through OA have opened up their work to vast new audiences to access their work which increases the researcher’s visibility, make new discoveries, share and link research data and the impact of their work, shaping the future vision of how findings are communicated (Joseph, 2013)</w:t>
      </w:r>
    </w:p>
    <w:p w14:paraId="6050464A">
      <w:pPr>
        <w:pStyle w:val="7"/>
        <w:spacing w:before="240" w:beforeAutospacing="0" w:after="240" w:afterAutospacing="0"/>
        <w:ind w:firstLine="720"/>
        <w:jc w:val="both"/>
        <w:rPr>
          <w:color w:val="000000"/>
        </w:rPr>
      </w:pPr>
    </w:p>
    <w:p w14:paraId="155F11E3">
      <w:pPr>
        <w:pStyle w:val="7"/>
        <w:spacing w:before="240" w:beforeAutospacing="0" w:after="240" w:afterAutospacing="0"/>
        <w:ind w:firstLine="720"/>
        <w:jc w:val="both"/>
        <w:rPr>
          <w:color w:val="000000"/>
        </w:rPr>
      </w:pPr>
    </w:p>
    <w:p w14:paraId="4C2F5D4F">
      <w:pPr>
        <w:pStyle w:val="7"/>
        <w:spacing w:before="240" w:beforeAutospacing="0" w:after="240" w:afterAutospacing="0"/>
        <w:ind w:firstLine="720"/>
        <w:jc w:val="both"/>
      </w:pPr>
    </w:p>
    <w:p w14:paraId="6E76497F">
      <w:pPr>
        <w:pStyle w:val="7"/>
        <w:spacing w:before="200" w:beforeAutospacing="0" w:after="120" w:afterAutospacing="0"/>
        <w:jc w:val="both"/>
      </w:pPr>
      <w:r>
        <w:rPr>
          <w:b/>
          <w:bCs/>
          <w:color w:val="000000"/>
          <w:sz w:val="28"/>
          <w:szCs w:val="28"/>
        </w:rPr>
        <w:t xml:space="preserve">Objectives </w:t>
      </w:r>
      <w:bookmarkStart w:id="0" w:name="_GoBack"/>
      <w:bookmarkEnd w:id="0"/>
    </w:p>
    <w:p w14:paraId="089F3FD1">
      <w:pPr>
        <w:pStyle w:val="7"/>
        <w:spacing w:before="240" w:beforeAutospacing="0" w:after="120" w:afterAutospacing="0"/>
        <w:ind w:left="360" w:hanging="360"/>
        <w:jc w:val="both"/>
      </w:pPr>
      <w:r>
        <w:rPr>
          <w:color w:val="000000"/>
        </w:rPr>
        <w:t>1.</w:t>
      </w:r>
      <w:r>
        <w:rPr>
          <w:color w:val="000000"/>
          <w:sz w:val="14"/>
          <w:szCs w:val="14"/>
        </w:rPr>
        <w:t xml:space="preserve">  </w:t>
      </w:r>
      <w:r>
        <w:rPr>
          <w:rStyle w:val="8"/>
          <w:color w:val="000000"/>
          <w:sz w:val="14"/>
          <w:szCs w:val="14"/>
        </w:rPr>
        <w:tab/>
      </w:r>
      <w:r>
        <w:rPr>
          <w:color w:val="000000"/>
        </w:rPr>
        <w:t>To assess Open Access models or types for authors and or researchers</w:t>
      </w:r>
    </w:p>
    <w:p w14:paraId="7460A09D">
      <w:pPr>
        <w:pStyle w:val="7"/>
        <w:spacing w:before="240" w:beforeAutospacing="0" w:after="120" w:afterAutospacing="0"/>
        <w:ind w:left="360" w:hanging="360"/>
        <w:jc w:val="both"/>
      </w:pPr>
      <w:r>
        <w:rPr>
          <w:color w:val="000000"/>
        </w:rPr>
        <w:t>2.</w:t>
      </w:r>
      <w:r>
        <w:rPr>
          <w:color w:val="000000"/>
          <w:sz w:val="14"/>
          <w:szCs w:val="14"/>
        </w:rPr>
        <w:t xml:space="preserve">  </w:t>
      </w:r>
      <w:r>
        <w:rPr>
          <w:rStyle w:val="8"/>
          <w:color w:val="000000"/>
          <w:sz w:val="14"/>
          <w:szCs w:val="14"/>
        </w:rPr>
        <w:tab/>
      </w:r>
      <w:r>
        <w:rPr>
          <w:color w:val="000000"/>
        </w:rPr>
        <w:t>To identify Open Access publisher websites for researchers in Uganda</w:t>
      </w:r>
    </w:p>
    <w:p w14:paraId="0EC00220">
      <w:pPr>
        <w:pStyle w:val="7"/>
        <w:spacing w:before="240" w:beforeAutospacing="0" w:after="120" w:afterAutospacing="0"/>
        <w:ind w:left="360" w:hanging="360"/>
        <w:jc w:val="both"/>
      </w:pPr>
      <w:r>
        <w:rPr>
          <w:color w:val="000000"/>
        </w:rPr>
        <w:t>3.</w:t>
      </w:r>
      <w:r>
        <w:rPr>
          <w:color w:val="000000"/>
          <w:sz w:val="14"/>
          <w:szCs w:val="14"/>
        </w:rPr>
        <w:t xml:space="preserve">  </w:t>
      </w:r>
      <w:r>
        <w:rPr>
          <w:rStyle w:val="8"/>
          <w:color w:val="000000"/>
          <w:sz w:val="14"/>
          <w:szCs w:val="14"/>
        </w:rPr>
        <w:tab/>
      </w:r>
      <w:r>
        <w:rPr>
          <w:color w:val="000000"/>
        </w:rPr>
        <w:t>To enlist the benefits of Open Access publishing to researchers and publishers</w:t>
      </w:r>
    </w:p>
    <w:p w14:paraId="5879D03A">
      <w:pPr>
        <w:pStyle w:val="7"/>
        <w:spacing w:before="240" w:beforeAutospacing="0" w:after="120" w:afterAutospacing="0"/>
        <w:ind w:left="360" w:hanging="360"/>
        <w:jc w:val="both"/>
      </w:pPr>
      <w:r>
        <w:rPr>
          <w:color w:val="000000"/>
        </w:rPr>
        <w:t>4.</w:t>
      </w:r>
      <w:r>
        <w:rPr>
          <w:color w:val="000000"/>
          <w:sz w:val="14"/>
          <w:szCs w:val="14"/>
        </w:rPr>
        <w:t xml:space="preserve">  </w:t>
      </w:r>
      <w:r>
        <w:rPr>
          <w:rStyle w:val="8"/>
          <w:color w:val="000000"/>
          <w:sz w:val="14"/>
          <w:szCs w:val="14"/>
        </w:rPr>
        <w:tab/>
      </w:r>
      <w:r>
        <w:rPr>
          <w:color w:val="000000"/>
        </w:rPr>
        <w:t>To determine the future of Open Access at the global level and in Uganda</w:t>
      </w:r>
    </w:p>
    <w:p w14:paraId="4F897E5A">
      <w:pPr>
        <w:pStyle w:val="7"/>
        <w:spacing w:before="240" w:beforeAutospacing="0" w:after="120" w:afterAutospacing="0"/>
        <w:ind w:left="360" w:hanging="360"/>
        <w:jc w:val="both"/>
      </w:pPr>
      <w:r>
        <w:rPr>
          <w:color w:val="000000"/>
        </w:rPr>
        <w:t>5.</w:t>
      </w:r>
      <w:r>
        <w:rPr>
          <w:color w:val="000000"/>
          <w:sz w:val="14"/>
          <w:szCs w:val="14"/>
        </w:rPr>
        <w:t xml:space="preserve">  </w:t>
      </w:r>
      <w:r>
        <w:rPr>
          <w:rStyle w:val="8"/>
          <w:color w:val="000000"/>
          <w:sz w:val="14"/>
          <w:szCs w:val="14"/>
        </w:rPr>
        <w:tab/>
      </w:r>
      <w:r>
        <w:rPr>
          <w:color w:val="000000"/>
        </w:rPr>
        <w:t>To find out the challenges researchers face in the open access publishing</w:t>
      </w:r>
    </w:p>
    <w:p w14:paraId="6A7D3367">
      <w:pPr>
        <w:pStyle w:val="7"/>
        <w:spacing w:before="200" w:beforeAutospacing="0" w:after="120" w:afterAutospacing="0"/>
        <w:jc w:val="both"/>
      </w:pPr>
      <w:r>
        <w:rPr>
          <w:b/>
          <w:bCs/>
          <w:color w:val="000000"/>
          <w:sz w:val="28"/>
          <w:szCs w:val="28"/>
        </w:rPr>
        <w:t>Methodology</w:t>
      </w:r>
    </w:p>
    <w:p w14:paraId="45A5B60E">
      <w:pPr>
        <w:pStyle w:val="7"/>
        <w:spacing w:before="240" w:beforeAutospacing="0" w:after="240" w:afterAutospacing="0"/>
        <w:ind w:firstLine="720"/>
        <w:jc w:val="both"/>
      </w:pPr>
      <w:r>
        <w:rPr>
          <w:color w:val="000000"/>
        </w:rPr>
        <w:t>The study employed a qualitative method of reviewing the existing literature to collect data from prominent OA publishers or websites and the different citation databases which publish open access content and individual research output published by institutional repositories via preprints produced during COVID-19. A few selected publishers like Taylor &amp; Francis, F1000Research, Scitex, Dimensions, PloS, and university IR like Uganda Martyrs University, Makerere University and Uganda Christian University were analyzed to find out the kind of data published, the model used to publish the findings, the benefits of OA play to both researchers and publishers and assessing the future of OA in Uganda, answering the who, what, when, where and how. The data concerning individual research output was collected from an open access citation website and analyzed to give how much was published during the pandemic. These were chosen because they have played a lead role in publishing OA literature especially during the pandemic</w:t>
      </w:r>
    </w:p>
    <w:p w14:paraId="351F8A03">
      <w:pPr>
        <w:pStyle w:val="7"/>
        <w:spacing w:before="240" w:beforeAutospacing="0" w:after="240" w:afterAutospacing="0"/>
        <w:jc w:val="both"/>
      </w:pPr>
      <w:r>
        <w:rPr>
          <w:b/>
          <w:bCs/>
          <w:color w:val="000000"/>
          <w:sz w:val="28"/>
          <w:szCs w:val="28"/>
        </w:rPr>
        <w:t>Key results or innovation</w:t>
      </w:r>
    </w:p>
    <w:p w14:paraId="697E9530">
      <w:pPr>
        <w:pStyle w:val="7"/>
        <w:spacing w:before="240" w:beforeAutospacing="0" w:after="240" w:afterAutospacing="0"/>
        <w:jc w:val="both"/>
      </w:pPr>
      <w:r>
        <w:rPr>
          <w:i/>
          <w:iCs/>
          <w:color w:val="000000"/>
        </w:rPr>
        <w:t>OA models or types for authors and or researchers</w:t>
      </w:r>
    </w:p>
    <w:p w14:paraId="42F6945C">
      <w:pPr>
        <w:pStyle w:val="7"/>
        <w:spacing w:before="240" w:beforeAutospacing="0" w:after="240" w:afterAutospacing="0"/>
        <w:ind w:firstLine="720"/>
        <w:jc w:val="both"/>
      </w:pPr>
      <w:r>
        <w:rPr>
          <w:color w:val="000000"/>
        </w:rPr>
        <w:t>Open access publishing provides content by paywall with the gold OA model (with open and hybrid models), green OA model, and the bronze,</w:t>
      </w:r>
      <w:r>
        <w:rPr>
          <w:color w:val="FF0000"/>
        </w:rPr>
        <w:t xml:space="preserve"> </w:t>
      </w:r>
      <w:r>
        <w:rPr>
          <w:color w:val="000000"/>
        </w:rPr>
        <w:t>incorporating different copyright, reuse, and author posting rights among others. The gold open access publishing model  is where publications are born free hence is the basic premise where institutions and individuals should be able to access any published materials free of charge giving free access to content openly by Creative Commons By Attribute (CC BY). The gold OA model is of two scenarios, one, where the OA journal provides articles free of charge to readers but the author pays article processing charges (APCs) for the publisher or journal to process the article and make it available for users and two, the hybrid OA model where the journal publishes closed articles together with open articles after paying APC hence some open while others are closed (Costello, Farrell, &amp; Murphy, 2020).  The green open access is where items, articles or publications are made available by self-archiving in institutional repositories or preprint servers to share findings or data (Price &amp; Ozkan, 2021 &amp; Fredericks, 2015). Authors or researchers can archive their publications on repositories other than the publishing journal websites during the pre-peer review stage or before typesetting (Costello et al., 2020). Broze access is temporary free access via publishers’ websites with some characteristics of the gold OA model yet without licenses like Creative Commons making their legal usage to remain unclear (Costello et al., 2020). Publishers may wish to stop the publication from being freely accessible anytime which contradicts the openness of a publication (Abdelrahman, 2020). Ugandan authors or researchers can make use of these OA models to publish their findings during and after the pandemic.</w:t>
      </w:r>
    </w:p>
    <w:p w14:paraId="516E6F8B">
      <w:pPr>
        <w:pStyle w:val="7"/>
        <w:spacing w:before="240" w:beforeAutospacing="0" w:after="240" w:afterAutospacing="0"/>
        <w:jc w:val="both"/>
      </w:pPr>
      <w:r>
        <w:rPr>
          <w:i/>
          <w:iCs/>
          <w:color w:val="000000"/>
        </w:rPr>
        <w:t>Open Access publisher websites for researchers in Uganda</w:t>
      </w:r>
    </w:p>
    <w:p w14:paraId="13D03D36">
      <w:pPr>
        <w:pStyle w:val="7"/>
        <w:spacing w:before="240" w:beforeAutospacing="0" w:after="240" w:afterAutospacing="0"/>
        <w:ind w:firstLine="720"/>
        <w:jc w:val="both"/>
      </w:pPr>
      <w:r>
        <w:rPr>
          <w:color w:val="000000"/>
        </w:rPr>
        <w:t>The OA movement has been changing the landscape of academic and scholarly publishing globally (Tikhonova &amp; Raitskaya, 2020). The change is seen in the way institutions are coming up with Institutional Repositories (IR) to archive local publications for access. Institutional Repository usually collects processes and provides access to locally published research outputs. Universities like Uganda Martyrs University and Makerere University have archived their staff and students’ publications and openly availed their research findings. Uganda Martyrs University IR can be accessed via</w:t>
      </w:r>
      <w:r>
        <w:fldChar w:fldCharType="begin"/>
      </w:r>
      <w:r>
        <w:instrText xml:space="preserve"> HYPERLINK "http://ir.umu.ac.ug/" </w:instrText>
      </w:r>
      <w:r>
        <w:fldChar w:fldCharType="separate"/>
      </w:r>
      <w:r>
        <w:rPr>
          <w:rStyle w:val="6"/>
          <w:color w:val="000000"/>
        </w:rPr>
        <w:t xml:space="preserve"> </w:t>
      </w:r>
      <w:r>
        <w:rPr>
          <w:rStyle w:val="6"/>
          <w:color w:val="1155CC"/>
        </w:rPr>
        <w:t>http://ir.umu.ac.u</w:t>
      </w:r>
      <w:r>
        <w:rPr>
          <w:rStyle w:val="6"/>
          <w:color w:val="1155CC"/>
        </w:rPr>
        <w:fldChar w:fldCharType="end"/>
      </w:r>
      <w:r>
        <w:rPr>
          <w:color w:val="000000"/>
        </w:rPr>
        <w:t>g for preprints including book chapters, journal articles, conference papers, dissertations and thesis and the items have grown to be 737 as of 2021. Makerere University IR items have also grown to 8161 and can be accessed at</w:t>
      </w:r>
      <w:r>
        <w:fldChar w:fldCharType="begin"/>
      </w:r>
      <w:r>
        <w:instrText xml:space="preserve"> HYPERLINK "http://makir.mak.ac.ug/" </w:instrText>
      </w:r>
      <w:r>
        <w:fldChar w:fldCharType="separate"/>
      </w:r>
      <w:r>
        <w:rPr>
          <w:rStyle w:val="6"/>
          <w:color w:val="000000"/>
        </w:rPr>
        <w:t xml:space="preserve"> </w:t>
      </w:r>
      <w:r>
        <w:rPr>
          <w:rStyle w:val="6"/>
          <w:color w:val="1155CC"/>
        </w:rPr>
        <w:t>http://makir.mak.ac.ug</w:t>
      </w:r>
      <w:r>
        <w:rPr>
          <w:rStyle w:val="6"/>
          <w:color w:val="1155CC"/>
        </w:rPr>
        <w:fldChar w:fldCharType="end"/>
      </w:r>
      <w:r>
        <w:rPr>
          <w:color w:val="000000"/>
        </w:rPr>
        <w:t>, Uganda Christian University institutional repository accessed via</w:t>
      </w:r>
      <w:r>
        <w:fldChar w:fldCharType="begin"/>
      </w:r>
      <w:r>
        <w:instrText xml:space="preserve"> HYPERLINK "http://ucudir.ucu.ac.ug/" </w:instrText>
      </w:r>
      <w:r>
        <w:fldChar w:fldCharType="separate"/>
      </w:r>
      <w:r>
        <w:rPr>
          <w:rStyle w:val="6"/>
          <w:color w:val="000000"/>
        </w:rPr>
        <w:t xml:space="preserve"> </w:t>
      </w:r>
      <w:r>
        <w:rPr>
          <w:rStyle w:val="6"/>
          <w:color w:val="1155CC"/>
        </w:rPr>
        <w:t>http://ucudir.ucu.ac.ug</w:t>
      </w:r>
      <w:r>
        <w:rPr>
          <w:rStyle w:val="6"/>
          <w:color w:val="1155CC"/>
        </w:rPr>
        <w:fldChar w:fldCharType="end"/>
      </w:r>
      <w:r>
        <w:rPr>
          <w:color w:val="000000"/>
        </w:rPr>
        <w:t xml:space="preserve"> with 750 items as of 2021. Dimensions is another citation and discovery tool for content published in open access and organizes research results according to countries, or individual researcher, research organization among others</w:t>
      </w:r>
      <w:r>
        <w:fldChar w:fldCharType="begin"/>
      </w:r>
      <w:r>
        <w:instrText xml:space="preserve"> HYPERLINK "https://app.dimensions.ai/" </w:instrText>
      </w:r>
      <w:r>
        <w:fldChar w:fldCharType="separate"/>
      </w:r>
      <w:r>
        <w:rPr>
          <w:rStyle w:val="6"/>
          <w:color w:val="000000"/>
        </w:rPr>
        <w:t xml:space="preserve"> </w:t>
      </w:r>
      <w:r>
        <w:rPr>
          <w:rStyle w:val="6"/>
          <w:color w:val="1155CC"/>
        </w:rPr>
        <w:t>https://app.dimensions.ai</w:t>
      </w:r>
      <w:r>
        <w:rPr>
          <w:rStyle w:val="6"/>
          <w:color w:val="1155CC"/>
        </w:rPr>
        <w:fldChar w:fldCharType="end"/>
      </w:r>
      <w:r>
        <w:rPr>
          <w:color w:val="000000"/>
        </w:rPr>
        <w:t>. Statistics show that there is an increase in publications during the pandemic between 2020 and 2021 (Dimensions, 2021). Universities like Uganda Martyrs University shows an increment of 33 publications between 2020 and 2021 which was not the case with the previous year, 2019 and 2018 with 8 and 6 publications respectively,</w:t>
      </w:r>
      <w:r>
        <w:rPr>
          <w:color w:val="FF0000"/>
        </w:rPr>
        <w:t xml:space="preserve"> </w:t>
      </w:r>
      <w:r>
        <w:rPr>
          <w:color w:val="000000"/>
        </w:rPr>
        <w:t>Makerere University, as a research organization, has statistics of research publications which grew from 1205 papers produced in 2019 to 3144 published in 2020 and 2021 during the pandemic. Taylor &amp; Francis, partnering with Electronic Information for Libraries (EIFL) is one of the open access publishers which breaks barriers to reading research output and increases researcher’s opportunity to build upon their research. Many Ugandan authors have published their research findings openly in Taylor and Francis Open Access databases like Cogent OA Journal which is multidisciplinary in nature and is listed in DOAJ with a total of 32 publications from Ugandan authors between 2020 and 2021 like Omona Kizito, Miriam Kayendeke, and David Kayondo among others (Taylor &amp; Francis, 2021). F1000Research is an open publishing platform under Taylor &amp; Francis for scientists, clinicians and scholars and institutions can bring together their collection and some of the Uganda authors who have published between 2020-2021 included Edgar Kigozi, Rogers Kamulegeya and Ivan Sserwadda (F1000Research, 2021). Scitex publishes is another citation website that indexes publications including preprints, books, and journal articles including source types and it can be accessed at</w:t>
      </w:r>
      <w:r>
        <w:fldChar w:fldCharType="begin"/>
      </w:r>
      <w:r>
        <w:instrText xml:space="preserve"> HYPERLINK "https://scite.ai/" </w:instrText>
      </w:r>
      <w:r>
        <w:fldChar w:fldCharType="separate"/>
      </w:r>
      <w:r>
        <w:rPr>
          <w:rStyle w:val="6"/>
          <w:color w:val="000000"/>
        </w:rPr>
        <w:t xml:space="preserve"> </w:t>
      </w:r>
      <w:r>
        <w:rPr>
          <w:rStyle w:val="6"/>
          <w:color w:val="1155CC"/>
        </w:rPr>
        <w:t>https://scite.ai/</w:t>
      </w:r>
      <w:r>
        <w:rPr>
          <w:rStyle w:val="6"/>
          <w:color w:val="1155CC"/>
        </w:rPr>
        <w:fldChar w:fldCharType="end"/>
      </w:r>
      <w:r>
        <w:rPr>
          <w:color w:val="000000"/>
        </w:rPr>
        <w:t>. Scite provides publications published by Ugandan authors and organizations/institutions especially through the institutional repositories amounting to 1171 publications as of 2021.</w:t>
      </w:r>
    </w:p>
    <w:p w14:paraId="1D8EC29D">
      <w:pPr>
        <w:pStyle w:val="7"/>
        <w:spacing w:before="240" w:beforeAutospacing="0" w:after="240" w:afterAutospacing="0"/>
        <w:jc w:val="both"/>
      </w:pPr>
      <w:r>
        <w:rPr>
          <w:i/>
          <w:iCs/>
          <w:color w:val="000000"/>
        </w:rPr>
        <w:t>Benefits of Open Access publishing to researchers and publishers</w:t>
      </w:r>
    </w:p>
    <w:p w14:paraId="621C99C0">
      <w:pPr>
        <w:pStyle w:val="7"/>
        <w:spacing w:before="240" w:beforeAutospacing="0" w:after="240" w:afterAutospacing="0"/>
        <w:ind w:firstLine="720"/>
        <w:jc w:val="both"/>
      </w:pPr>
      <w:r>
        <w:rPr>
          <w:color w:val="000000"/>
        </w:rPr>
        <w:t>The benefits of OA publishing cut across the authors/researchers, publishers of the content, the funding agencies and the readers of the information. OA publishing contributes to larger readership of the author or researcher’s findings which causes an increase in the citation rates of the authors or researchers which  thereby contributing to their visibility, public access or wider public access to scholarly content and hence higher accessibility, the publishers in a way earn from the revenue that is secured through the article processing and publishing charges which drives towards more innovations in the publishing world and greater global impact of the publishing houses, and at the same time helps to comply with funder agencies and their policies (Essl, Courchamp, Dullinger, Jeschke, &amp; Schindler, 2020). Author collaborations have been formed across the globe during the pandemic with Uganda taking part in the Sub-Saharan collaboration (Asubiaro, 2021). Ugandan authors have written and published findings in line with the pandemic, how it can be prevented and curbed, and the health care unit response and publishing them in the OA databases like Cogent under Taylor and Francis, F1000Research, PloS One, Open Research among others (Li et al., 2020; Umviligihozo et al., 2020; Kiwanuka, Waswa, Alemayehu, &amp; Simbeye, 2020; Fry, Cai, Zhang, &amp; Wagner, 2020 &amp; Bernardo et al., 2021). According to Talley (2008) &amp; Fitzgerald &amp; Jiang (2020) OA publishing greatly and positively affects the impact factor of periodicals and data mining of scholarly knowledge, journals and researchers than those that are in closed access hence measuring the quality of the publications’ content. According to Heller, Moshiri, &amp; Bhargava (2013) OA publishing helps to expand access to up-to-date of literature or content of journals to everyone with access to internet while fulfilling the need for immediate access to information in a point of service environment through the mobile internet devices, evident during the pandemic helping both the medical practitioners and the researchers.</w:t>
      </w:r>
    </w:p>
    <w:p w14:paraId="58E69710">
      <w:pPr>
        <w:pStyle w:val="7"/>
        <w:spacing w:before="240" w:beforeAutospacing="0" w:after="240" w:afterAutospacing="0"/>
        <w:jc w:val="both"/>
      </w:pPr>
      <w:r>
        <w:rPr>
          <w:b/>
          <w:bCs/>
          <w:i/>
          <w:iCs/>
          <w:color w:val="000000"/>
        </w:rPr>
        <w:t>The future of OA at the global level and in Uganda</w:t>
      </w:r>
    </w:p>
    <w:p w14:paraId="42D0B823">
      <w:pPr>
        <w:pStyle w:val="7"/>
        <w:spacing w:before="240" w:beforeAutospacing="0" w:after="240" w:afterAutospacing="0"/>
        <w:ind w:firstLine="720"/>
        <w:jc w:val="both"/>
      </w:pPr>
      <w:r>
        <w:rPr>
          <w:color w:val="000000"/>
        </w:rPr>
        <w:t>COVID-19 has led to a big shift in the publishing landscape changing how research findings are made available before the public, encouraging more online publishing than the print. Online preprint publishing of manuscripts has come as a result of the pandemic (preprint servers) allowing global access to research findings (Miller &amp; Tsai, 2020).  Different publishers across the globe like Wiley, Cambridge University Press have signed what we call “publish and read” deals with institutions so as their open access publications are put on open access as well as gaining access to the publisher’s digital library (Langheinrich, 2019)</w:t>
      </w:r>
      <w:r>
        <w:t xml:space="preserve">. </w:t>
      </w:r>
      <w:r>
        <w:rPr>
          <w:b/>
          <w:bCs/>
          <w:color w:val="000000"/>
        </w:rPr>
        <w:t xml:space="preserve">Plan S. </w:t>
      </w:r>
      <w:r>
        <w:rPr>
          <w:color w:val="000000"/>
        </w:rPr>
        <w:t>is an innovative open access publication initiative under the direction of Science of Europe (Kim, 2020). Coalition S, a body which is responsible for Plan S promotes and supports OA publishing for the research outputs or findings that are funded by public and private funds or grants. In case research is funded by a government, an international body, regional research councils or funding bodies, then the findings should be available to the public openly for use (Abdelrahman, 2020). According to Kim (2020) Plan S will have ten principles to follow including, authors retaining the publication copyright under an open license, should include open access journals, platforms and repositories, there should be support to establish open journals, platforms and repositories in case they do not exist, publication fees should be covered by funders or institutions but individual researchers, publication fees should be transparent with upper limit, and participating agencies to have consistent policies, should have an action plan for book publishing, hybrid open access journals are unacceptable, monitor compliance with the plan, and to consider the merit of the research when reviewing research results but not considering factors like journal reputation or impact factor. Data sharing,</w:t>
      </w:r>
      <w:r>
        <w:rPr>
          <w:b/>
          <w:bCs/>
          <w:color w:val="000000"/>
        </w:rPr>
        <w:t xml:space="preserve"> </w:t>
      </w:r>
      <w:r>
        <w:rPr>
          <w:color w:val="000000"/>
        </w:rPr>
        <w:t>due to COVID-19, has led to data sharing across the globe for an open exchange of ideas leading to a change and progress in the way scientific data can be accessed and used under paywalls. Data sharing will help to further research especially when data sets are shared and making data available to whoever needs without any restrictions (Miller &amp; Tsai, 2020). As we see an increase in the number of publications produced every day from 2020 to date, academic and scholarly publishers will need better strategies and processes to manage such a large number of publications from now on. This can be achieved through artificial intelligence</w:t>
      </w:r>
      <w:r>
        <w:rPr>
          <w:b/>
          <w:bCs/>
          <w:color w:val="000000"/>
        </w:rPr>
        <w:t xml:space="preserve"> </w:t>
      </w:r>
      <w:r>
        <w:rPr>
          <w:color w:val="000000"/>
        </w:rPr>
        <w:t>to perform quality checks (plagiarism), handle the huge amount of data, and help in peer review and submitting manuscripts for consideration.</w:t>
      </w:r>
    </w:p>
    <w:p w14:paraId="3E44D83E">
      <w:pPr>
        <w:pStyle w:val="7"/>
        <w:spacing w:before="200" w:beforeAutospacing="0" w:after="120" w:afterAutospacing="0"/>
        <w:jc w:val="both"/>
      </w:pPr>
      <w:r>
        <w:rPr>
          <w:b/>
          <w:bCs/>
          <w:color w:val="000000"/>
          <w:sz w:val="28"/>
          <w:szCs w:val="28"/>
        </w:rPr>
        <w:t>Challenges encountered in OA publishing</w:t>
      </w:r>
    </w:p>
    <w:p w14:paraId="7F721F2B">
      <w:pPr>
        <w:pStyle w:val="7"/>
        <w:spacing w:before="240" w:beforeAutospacing="0" w:after="240" w:afterAutospacing="0"/>
        <w:ind w:firstLine="720"/>
        <w:jc w:val="both"/>
      </w:pPr>
      <w:r>
        <w:rPr>
          <w:color w:val="000000"/>
        </w:rPr>
        <w:t>OA publishing especially in Uganda is challenged by absence of national and institutional policies especially those publishing and archiving their research findings in institutional repositories. Plan S, a new trend in OA publishing advocates for consistent policies like mandatory provisions to deposit copies for archiving yet some institutions do not have policies and those with them are never implemented. Since OA publishing involves authors, researchers, editors, publishers, and reviewers, this would bring up issues of conflict of interest on how the process should be carried out especially where there are no stimulated policies and processes. Failure to distinguish between genuine OA publishers from those which are predatory and this will affect the quality of the publication. This could also be brought about by lack of awareness of the different OA publishers and their publication processes like the waiver information to determine especially when they cannot afford proprietary publishers.</w:t>
      </w:r>
    </w:p>
    <w:p w14:paraId="2FAEB5C7">
      <w:pPr>
        <w:pStyle w:val="7"/>
        <w:spacing w:before="200" w:beforeAutospacing="0" w:after="120" w:afterAutospacing="0"/>
        <w:jc w:val="both"/>
      </w:pPr>
      <w:r>
        <w:rPr>
          <w:b/>
          <w:bCs/>
          <w:color w:val="000000"/>
          <w:sz w:val="28"/>
          <w:szCs w:val="28"/>
        </w:rPr>
        <w:t>Recommendations</w:t>
      </w:r>
    </w:p>
    <w:p w14:paraId="09BC7652">
      <w:pPr>
        <w:pStyle w:val="7"/>
        <w:spacing w:before="240" w:beforeAutospacing="0" w:after="240" w:afterAutospacing="0"/>
        <w:ind w:firstLine="720"/>
        <w:jc w:val="both"/>
      </w:pPr>
      <w:r>
        <w:rPr>
          <w:color w:val="000000"/>
        </w:rPr>
        <w:t>Academic and scholarly publishing is taking a new trend from providing paywall or closed access to articles to talking on open access publishing in order to provide free access to research findings. Ugandan researchers and authors need to source out for publishers who engage in OA publishing through publisher websites at the global level, to share and disseminate research findings for problem solving or to support innovations and development. Such results can only be used when openly shared for access without any restrictions around the globe</w:t>
      </w:r>
      <w:r>
        <w:rPr>
          <w:color w:val="FF0000"/>
        </w:rPr>
        <w:t xml:space="preserve"> </w:t>
      </w:r>
      <w:r>
        <w:rPr>
          <w:color w:val="000000"/>
        </w:rPr>
        <w:t>and the gold OA will help to find, access, and reuse data by the different readers.   Researchers in Uganda should form writers’ associations or communities of practice and engage in collaborative writing and publishing to win grants and government funding. With the advent of Plan S, funded research findings should be published under OA which will increase their visibility and use of the research data which is an advantage to both the researcher and the publisher and researchers in Uganda should publish their findings in gold OA for their findings.</w:t>
      </w:r>
      <w:r>
        <w:rPr>
          <w:color w:val="FF0000"/>
        </w:rPr>
        <w:t xml:space="preserve"> </w:t>
      </w:r>
      <w:r>
        <w:rPr>
          <w:color w:val="000000"/>
        </w:rPr>
        <w:t>Researchers should follow different publishers in order to know about the future developments and progress about OA. Researchers should work on their IT skills to be able to compete favorably since traditional publishing is being overpowered by online publishing. Different publishers usually send notifications concerning new publisher developments like article processing charges (APC), or how researchers can take on the different deals or programmes organized by publishers.</w:t>
      </w:r>
    </w:p>
    <w:p w14:paraId="4383B916">
      <w:pPr>
        <w:rPr>
          <w:rFonts w:ascii="Times New Roman" w:hAnsi="Times New Roman"/>
          <w:b/>
          <w:sz w:val="24"/>
          <w:szCs w:val="24"/>
        </w:rPr>
      </w:pPr>
    </w:p>
    <w:p w14:paraId="547D791F">
      <w:pPr>
        <w:rPr>
          <w:rFonts w:ascii="Times New Roman" w:hAnsi="Times New Roman"/>
          <w:b/>
          <w:sz w:val="24"/>
          <w:szCs w:val="24"/>
        </w:rPr>
      </w:pPr>
    </w:p>
    <w:p w14:paraId="03AC6934">
      <w:pPr>
        <w:rPr>
          <w:rFonts w:ascii="Times New Roman" w:hAnsi="Times New Roman"/>
          <w:b/>
          <w:sz w:val="24"/>
          <w:szCs w:val="24"/>
        </w:rPr>
      </w:pPr>
    </w:p>
    <w:p w14:paraId="708EEDDB">
      <w:pPr>
        <w:spacing w:before="200" w:after="120"/>
        <w:rPr>
          <w:rFonts w:ascii="Times New Roman" w:hAnsi="Times New Roman"/>
          <w:b/>
          <w:sz w:val="28"/>
          <w:szCs w:val="28"/>
        </w:rPr>
      </w:pPr>
    </w:p>
    <w:p w14:paraId="350CCA65">
      <w:pPr>
        <w:spacing w:before="200" w:after="120"/>
        <w:rPr>
          <w:rFonts w:ascii="Times New Roman" w:hAnsi="Times New Roman"/>
          <w:b/>
          <w:sz w:val="28"/>
          <w:szCs w:val="28"/>
        </w:rPr>
      </w:pPr>
      <w:r>
        <w:rPr>
          <w:rFonts w:ascii="Times New Roman" w:hAnsi="Times New Roman"/>
          <w:b/>
          <w:sz w:val="28"/>
          <w:szCs w:val="28"/>
        </w:rPr>
        <w:t>References</w:t>
      </w:r>
    </w:p>
    <w:p w14:paraId="0968F3E6">
      <w:pPr>
        <w:widowControl w:val="0"/>
        <w:autoSpaceDE w:val="0"/>
        <w:autoSpaceDN w:val="0"/>
        <w:adjustRightInd w:val="0"/>
        <w:ind w:left="480" w:hanging="480"/>
        <w:rPr>
          <w:rFonts w:ascii="Times New Roman" w:hAnsi="Times New Roman"/>
          <w:sz w:val="24"/>
          <w:szCs w:val="24"/>
        </w:rPr>
      </w:pPr>
      <w:r>
        <w:rPr>
          <w:rFonts w:ascii="Times New Roman" w:hAnsi="Times New Roman"/>
          <w:sz w:val="24"/>
          <w:szCs w:val="24"/>
        </w:rPr>
        <w:fldChar w:fldCharType="begin" w:fldLock="1"/>
      </w:r>
      <w:r>
        <w:rPr>
          <w:rFonts w:ascii="Times New Roman" w:hAnsi="Times New Roman"/>
          <w:sz w:val="24"/>
          <w:szCs w:val="24"/>
        </w:rPr>
        <w:instrText xml:space="preserve">ADDIN Mendeley Bibliography CSL_BIBLIOGRAPHY </w:instrText>
      </w:r>
      <w:r>
        <w:rPr>
          <w:rFonts w:ascii="Times New Roman" w:hAnsi="Times New Roman"/>
          <w:sz w:val="24"/>
          <w:szCs w:val="24"/>
        </w:rPr>
        <w:fldChar w:fldCharType="separate"/>
      </w:r>
      <w:r>
        <w:rPr>
          <w:rFonts w:ascii="Times New Roman" w:hAnsi="Times New Roman"/>
          <w:sz w:val="24"/>
          <w:szCs w:val="24"/>
        </w:rPr>
        <w:t xml:space="preserve">Abdelrahman, O. H. (2020). Overview of the principles and practices of Open Access Publishing. In </w:t>
      </w:r>
      <w:r>
        <w:rPr>
          <w:rFonts w:ascii="Times New Roman" w:hAnsi="Times New Roman"/>
          <w:i/>
          <w:iCs/>
          <w:sz w:val="24"/>
          <w:szCs w:val="24"/>
        </w:rPr>
        <w:t>Digital Libraries - Advancing Open Science</w:t>
      </w:r>
      <w:r>
        <w:rPr>
          <w:rFonts w:ascii="Times New Roman" w:hAnsi="Times New Roman"/>
          <w:sz w:val="24"/>
          <w:szCs w:val="24"/>
        </w:rPr>
        <w:t>. IntechOpen. Retrieved from https://www.intechopen.com/books/advanced-biometric-technologies/liveness-detection-in-biometrics</w:t>
      </w:r>
    </w:p>
    <w:p w14:paraId="167ED532">
      <w:pPr>
        <w:widowControl w:val="0"/>
        <w:autoSpaceDE w:val="0"/>
        <w:autoSpaceDN w:val="0"/>
        <w:adjustRightInd w:val="0"/>
        <w:ind w:left="480" w:hanging="480"/>
        <w:rPr>
          <w:rFonts w:ascii="Times New Roman" w:hAnsi="Times New Roman"/>
          <w:sz w:val="24"/>
          <w:szCs w:val="24"/>
        </w:rPr>
      </w:pPr>
      <w:r>
        <w:rPr>
          <w:rFonts w:ascii="Times New Roman" w:hAnsi="Times New Roman"/>
          <w:sz w:val="24"/>
          <w:szCs w:val="24"/>
        </w:rPr>
        <w:t>Asubiaro, T. V. (2021). Inequalities in COVID-19 Research from Sub- Saharan Africa : Differences in the Prestige of Journal Articles with Internal and External Lead Authors , Collaborations and Publishers, 1–24.</w:t>
      </w:r>
    </w:p>
    <w:p w14:paraId="6066B761">
      <w:pPr>
        <w:widowControl w:val="0"/>
        <w:autoSpaceDE w:val="0"/>
        <w:autoSpaceDN w:val="0"/>
        <w:adjustRightInd w:val="0"/>
        <w:ind w:left="480" w:hanging="480"/>
        <w:rPr>
          <w:rFonts w:ascii="Times New Roman" w:hAnsi="Times New Roman"/>
          <w:sz w:val="24"/>
          <w:szCs w:val="24"/>
        </w:rPr>
      </w:pPr>
      <w:r>
        <w:rPr>
          <w:rFonts w:ascii="Times New Roman" w:hAnsi="Times New Roman"/>
          <w:sz w:val="24"/>
          <w:szCs w:val="24"/>
        </w:rPr>
        <w:t xml:space="preserve">Bernardo, T., Sobkowich, K. E., Forrest, R. O., Stewart, L. S., D’Agostino, M., Gutierrez, E. P., &amp; Gillis, D. (2021). Collaborating in the time of COVID-19: The scope and scale of innovative responses to a global pandemic. </w:t>
      </w:r>
      <w:r>
        <w:rPr>
          <w:rFonts w:ascii="Times New Roman" w:hAnsi="Times New Roman"/>
          <w:i/>
          <w:iCs/>
          <w:sz w:val="24"/>
          <w:szCs w:val="24"/>
        </w:rPr>
        <w:t>JMIR Public Health and Surveillance</w:t>
      </w:r>
      <w:r>
        <w:rPr>
          <w:rFonts w:ascii="Times New Roman" w:hAnsi="Times New Roman"/>
          <w:sz w:val="24"/>
          <w:szCs w:val="24"/>
        </w:rPr>
        <w:t xml:space="preserve">, </w:t>
      </w:r>
      <w:r>
        <w:rPr>
          <w:rFonts w:ascii="Times New Roman" w:hAnsi="Times New Roman"/>
          <w:i/>
          <w:iCs/>
          <w:sz w:val="24"/>
          <w:szCs w:val="24"/>
        </w:rPr>
        <w:t>7</w:t>
      </w:r>
      <w:r>
        <w:rPr>
          <w:rFonts w:ascii="Times New Roman" w:hAnsi="Times New Roman"/>
          <w:sz w:val="24"/>
          <w:szCs w:val="24"/>
        </w:rPr>
        <w:t>(2). https://doi.org/10.2196/25935</w:t>
      </w:r>
    </w:p>
    <w:p w14:paraId="5B109381">
      <w:pPr>
        <w:widowControl w:val="0"/>
        <w:autoSpaceDE w:val="0"/>
        <w:autoSpaceDN w:val="0"/>
        <w:adjustRightInd w:val="0"/>
        <w:ind w:left="480" w:hanging="480"/>
        <w:rPr>
          <w:rFonts w:ascii="Times New Roman" w:hAnsi="Times New Roman"/>
          <w:sz w:val="24"/>
          <w:szCs w:val="24"/>
        </w:rPr>
      </w:pPr>
      <w:r>
        <w:rPr>
          <w:rFonts w:ascii="Times New Roman" w:hAnsi="Times New Roman"/>
          <w:sz w:val="24"/>
          <w:szCs w:val="24"/>
        </w:rPr>
        <w:t xml:space="preserve">Costello, E., Farrelly, T., &amp; Murphy, T. (2020). Open and shut: Open access in hybrid educational technology journals 2010-2017. </w:t>
      </w:r>
      <w:r>
        <w:rPr>
          <w:rFonts w:ascii="Times New Roman" w:hAnsi="Times New Roman"/>
          <w:i/>
          <w:iCs/>
          <w:sz w:val="24"/>
          <w:szCs w:val="24"/>
        </w:rPr>
        <w:t>International Review of Research in Open and Distance Learning</w:t>
      </w:r>
      <w:r>
        <w:rPr>
          <w:rFonts w:ascii="Times New Roman" w:hAnsi="Times New Roman"/>
          <w:sz w:val="24"/>
          <w:szCs w:val="24"/>
        </w:rPr>
        <w:t xml:space="preserve">, </w:t>
      </w:r>
      <w:r>
        <w:rPr>
          <w:rFonts w:ascii="Times New Roman" w:hAnsi="Times New Roman"/>
          <w:i/>
          <w:iCs/>
          <w:sz w:val="24"/>
          <w:szCs w:val="24"/>
        </w:rPr>
        <w:t>21</w:t>
      </w:r>
      <w:r>
        <w:rPr>
          <w:rFonts w:ascii="Times New Roman" w:hAnsi="Times New Roman"/>
          <w:sz w:val="24"/>
          <w:szCs w:val="24"/>
        </w:rPr>
        <w:t>(1), 113–134. https://doi.org/10.19173/IRRODL.V20I5.4383</w:t>
      </w:r>
    </w:p>
    <w:p w14:paraId="2F0E1AC5">
      <w:pPr>
        <w:widowControl w:val="0"/>
        <w:autoSpaceDE w:val="0"/>
        <w:autoSpaceDN w:val="0"/>
        <w:adjustRightInd w:val="0"/>
        <w:ind w:left="480" w:hanging="480"/>
        <w:rPr>
          <w:rFonts w:ascii="Times New Roman" w:hAnsi="Times New Roman"/>
          <w:sz w:val="24"/>
          <w:szCs w:val="24"/>
        </w:rPr>
      </w:pPr>
      <w:r>
        <w:rPr>
          <w:rFonts w:ascii="Times New Roman" w:hAnsi="Times New Roman"/>
          <w:sz w:val="24"/>
          <w:szCs w:val="24"/>
        </w:rPr>
        <w:t xml:space="preserve">Essl, F., Courchamp, F., Dullinger, S., Jeschke, J. M., &amp; Schindler, S. (2020). Make Open Access Publishing Fair and Transparent! </w:t>
      </w:r>
      <w:r>
        <w:rPr>
          <w:rFonts w:ascii="Times New Roman" w:hAnsi="Times New Roman"/>
          <w:i/>
          <w:iCs/>
          <w:sz w:val="24"/>
          <w:szCs w:val="24"/>
        </w:rPr>
        <w:t>BioScience</w:t>
      </w:r>
      <w:r>
        <w:rPr>
          <w:rFonts w:ascii="Times New Roman" w:hAnsi="Times New Roman"/>
          <w:sz w:val="24"/>
          <w:szCs w:val="24"/>
        </w:rPr>
        <w:t xml:space="preserve">, </w:t>
      </w:r>
      <w:r>
        <w:rPr>
          <w:rFonts w:ascii="Times New Roman" w:hAnsi="Times New Roman"/>
          <w:i/>
          <w:iCs/>
          <w:sz w:val="24"/>
          <w:szCs w:val="24"/>
        </w:rPr>
        <w:t>70</w:t>
      </w:r>
      <w:r>
        <w:rPr>
          <w:rFonts w:ascii="Times New Roman" w:hAnsi="Times New Roman"/>
          <w:sz w:val="24"/>
          <w:szCs w:val="24"/>
        </w:rPr>
        <w:t>(3), 201–204. https://doi.org/10.1093/biosci/biaa004</w:t>
      </w:r>
    </w:p>
    <w:p w14:paraId="623D8182">
      <w:pPr>
        <w:widowControl w:val="0"/>
        <w:autoSpaceDE w:val="0"/>
        <w:autoSpaceDN w:val="0"/>
        <w:adjustRightInd w:val="0"/>
        <w:ind w:left="480" w:hanging="480"/>
        <w:rPr>
          <w:rFonts w:ascii="Times New Roman" w:hAnsi="Times New Roman"/>
          <w:sz w:val="24"/>
          <w:szCs w:val="24"/>
        </w:rPr>
      </w:pPr>
      <w:r>
        <w:rPr>
          <w:rFonts w:ascii="Times New Roman" w:hAnsi="Times New Roman"/>
          <w:sz w:val="24"/>
          <w:szCs w:val="24"/>
        </w:rPr>
        <w:t xml:space="preserve">Fitzgerald, S. R., &amp; Jiang, Z. (2020). Scholarly Publishing at a Crossroads: Scholarly Perspectives on Open Access. </w:t>
      </w:r>
      <w:r>
        <w:rPr>
          <w:rFonts w:ascii="Times New Roman" w:hAnsi="Times New Roman"/>
          <w:i/>
          <w:iCs/>
          <w:sz w:val="24"/>
          <w:szCs w:val="24"/>
        </w:rPr>
        <w:t>Innovative Higher Education</w:t>
      </w:r>
      <w:r>
        <w:rPr>
          <w:rFonts w:ascii="Times New Roman" w:hAnsi="Times New Roman"/>
          <w:sz w:val="24"/>
          <w:szCs w:val="24"/>
        </w:rPr>
        <w:t xml:space="preserve">, </w:t>
      </w:r>
      <w:r>
        <w:rPr>
          <w:rFonts w:ascii="Times New Roman" w:hAnsi="Times New Roman"/>
          <w:i/>
          <w:iCs/>
          <w:sz w:val="24"/>
          <w:szCs w:val="24"/>
        </w:rPr>
        <w:t>45</w:t>
      </w:r>
      <w:r>
        <w:rPr>
          <w:rFonts w:ascii="Times New Roman" w:hAnsi="Times New Roman"/>
          <w:sz w:val="24"/>
          <w:szCs w:val="24"/>
        </w:rPr>
        <w:t>(6), 457–469. https://doi.org/10.1007/s10755-020-09508-8</w:t>
      </w:r>
    </w:p>
    <w:p w14:paraId="0C6E56C3">
      <w:pPr>
        <w:widowControl w:val="0"/>
        <w:autoSpaceDE w:val="0"/>
        <w:autoSpaceDN w:val="0"/>
        <w:adjustRightInd w:val="0"/>
        <w:ind w:left="480" w:hanging="480"/>
        <w:rPr>
          <w:rFonts w:ascii="Times New Roman" w:hAnsi="Times New Roman"/>
          <w:sz w:val="24"/>
          <w:szCs w:val="24"/>
        </w:rPr>
      </w:pPr>
      <w:r>
        <w:rPr>
          <w:rFonts w:ascii="Times New Roman" w:hAnsi="Times New Roman"/>
          <w:sz w:val="24"/>
          <w:szCs w:val="24"/>
        </w:rPr>
        <w:t>Fredericks, S. (2015). Is gold open access the only option for nurse researchers?: Questioning the efficacy of this unrestricted publication access approach (pp. 1–8).</w:t>
      </w:r>
    </w:p>
    <w:p w14:paraId="7CEF87E4">
      <w:pPr>
        <w:widowControl w:val="0"/>
        <w:autoSpaceDE w:val="0"/>
        <w:autoSpaceDN w:val="0"/>
        <w:adjustRightInd w:val="0"/>
        <w:ind w:left="480" w:hanging="480"/>
        <w:rPr>
          <w:rFonts w:ascii="Times New Roman" w:hAnsi="Times New Roman"/>
          <w:sz w:val="24"/>
          <w:szCs w:val="24"/>
        </w:rPr>
      </w:pPr>
      <w:r>
        <w:rPr>
          <w:rFonts w:ascii="Times New Roman" w:hAnsi="Times New Roman"/>
          <w:sz w:val="24"/>
          <w:szCs w:val="24"/>
        </w:rPr>
        <w:t xml:space="preserve">Fry, C. V., Cai, X., Zhang, Y., &amp; Wagner, C. S. (2020). Consolidation in a crisis: Patterns of international collaboration in early COVID-19 research. </w:t>
      </w:r>
      <w:r>
        <w:rPr>
          <w:rFonts w:ascii="Times New Roman" w:hAnsi="Times New Roman"/>
          <w:i/>
          <w:iCs/>
          <w:sz w:val="24"/>
          <w:szCs w:val="24"/>
        </w:rPr>
        <w:t>PLoS ONE</w:t>
      </w:r>
      <w:r>
        <w:rPr>
          <w:rFonts w:ascii="Times New Roman" w:hAnsi="Times New Roman"/>
          <w:sz w:val="24"/>
          <w:szCs w:val="24"/>
        </w:rPr>
        <w:t xml:space="preserve">, </w:t>
      </w:r>
      <w:r>
        <w:rPr>
          <w:rFonts w:ascii="Times New Roman" w:hAnsi="Times New Roman"/>
          <w:i/>
          <w:iCs/>
          <w:sz w:val="24"/>
          <w:szCs w:val="24"/>
        </w:rPr>
        <w:t>15</w:t>
      </w:r>
      <w:r>
        <w:rPr>
          <w:rFonts w:ascii="Times New Roman" w:hAnsi="Times New Roman"/>
          <w:sz w:val="24"/>
          <w:szCs w:val="24"/>
        </w:rPr>
        <w:t>(7 July), 1–15. https://doi.org/10.1371/journal.pone.0236307</w:t>
      </w:r>
    </w:p>
    <w:p w14:paraId="672EEE55">
      <w:pPr>
        <w:rPr>
          <w:rFonts w:ascii="Times New Roman" w:hAnsi="Times New Roman"/>
          <w:sz w:val="24"/>
          <w:szCs w:val="24"/>
        </w:rPr>
      </w:pPr>
      <w:r>
        <w:rPr>
          <w:rFonts w:ascii="Times New Roman" w:hAnsi="Times New Roman"/>
          <w:sz w:val="24"/>
          <w:szCs w:val="24"/>
        </w:rPr>
        <w:t>Grove, J. Open-Access publishing and the Coronavirus. Times Higher Education.</w:t>
      </w:r>
    </w:p>
    <w:p w14:paraId="265DF096">
      <w:pPr>
        <w:widowControl w:val="0"/>
        <w:autoSpaceDE w:val="0"/>
        <w:autoSpaceDN w:val="0"/>
        <w:adjustRightInd w:val="0"/>
        <w:ind w:left="480" w:hanging="480"/>
        <w:rPr>
          <w:rFonts w:ascii="Times New Roman" w:hAnsi="Times New Roman"/>
          <w:sz w:val="24"/>
          <w:szCs w:val="24"/>
        </w:rPr>
      </w:pPr>
      <w:r>
        <w:rPr>
          <w:rFonts w:ascii="Times New Roman" w:hAnsi="Times New Roman"/>
          <w:sz w:val="24"/>
          <w:szCs w:val="24"/>
        </w:rPr>
        <w:tab/>
      </w:r>
      <w:r>
        <w:fldChar w:fldCharType="begin"/>
      </w:r>
      <w:r>
        <w:instrText xml:space="preserve"> HYPERLINK "https://www.insidehighered.com/news/2020/05/15/coronavirus-may-be-encouraging-" </w:instrText>
      </w:r>
      <w:r>
        <w:fldChar w:fldCharType="separate"/>
      </w:r>
      <w:r>
        <w:rPr>
          <w:rStyle w:val="6"/>
          <w:rFonts w:ascii="Times New Roman" w:hAnsi="Times New Roman"/>
          <w:sz w:val="24"/>
          <w:szCs w:val="24"/>
        </w:rPr>
        <w:t>https://www.insidehighered.com/news/2020/05/15/coronavirus-may-be-encouraging-</w:t>
      </w:r>
      <w:r>
        <w:rPr>
          <w:rStyle w:val="6"/>
          <w:rFonts w:ascii="Times New Roman" w:hAnsi="Times New Roman"/>
          <w:sz w:val="24"/>
          <w:szCs w:val="24"/>
        </w:rPr>
        <w:fldChar w:fldCharType="end"/>
      </w:r>
      <w:r>
        <w:rPr>
          <w:rFonts w:ascii="Times New Roman" w:hAnsi="Times New Roman"/>
          <w:sz w:val="24"/>
          <w:szCs w:val="24"/>
        </w:rPr>
        <w:t>publishers-pursue-open-access</w:t>
      </w:r>
    </w:p>
    <w:p w14:paraId="1DF13274">
      <w:pPr>
        <w:widowControl w:val="0"/>
        <w:autoSpaceDE w:val="0"/>
        <w:autoSpaceDN w:val="0"/>
        <w:adjustRightInd w:val="0"/>
        <w:ind w:left="480" w:hanging="480"/>
        <w:rPr>
          <w:rFonts w:ascii="Times New Roman" w:hAnsi="Times New Roman"/>
          <w:sz w:val="24"/>
          <w:szCs w:val="24"/>
        </w:rPr>
      </w:pPr>
      <w:r>
        <w:rPr>
          <w:rFonts w:ascii="Times New Roman" w:hAnsi="Times New Roman"/>
          <w:sz w:val="24"/>
          <w:szCs w:val="24"/>
        </w:rPr>
        <w:t>Harris, S. (2012). Moving towards an open access future : the role of academic libraries, (August).</w:t>
      </w:r>
    </w:p>
    <w:p w14:paraId="76CD9C1A">
      <w:pPr>
        <w:widowControl w:val="0"/>
        <w:autoSpaceDE w:val="0"/>
        <w:autoSpaceDN w:val="0"/>
        <w:adjustRightInd w:val="0"/>
        <w:ind w:left="480" w:hanging="480"/>
        <w:rPr>
          <w:rFonts w:ascii="Times New Roman" w:hAnsi="Times New Roman"/>
          <w:sz w:val="24"/>
          <w:szCs w:val="24"/>
        </w:rPr>
      </w:pPr>
      <w:r>
        <w:rPr>
          <w:rFonts w:ascii="Times New Roman" w:hAnsi="Times New Roman"/>
          <w:sz w:val="24"/>
          <w:szCs w:val="24"/>
        </w:rPr>
        <w:t xml:space="preserve">Heller, M., Moshiri, M., &amp; Bhargava, P. (2013). From the editor’s desk: Benefits of open-access publishing. </w:t>
      </w:r>
      <w:r>
        <w:rPr>
          <w:rFonts w:ascii="Times New Roman" w:hAnsi="Times New Roman"/>
          <w:i/>
          <w:iCs/>
          <w:sz w:val="24"/>
          <w:szCs w:val="24"/>
        </w:rPr>
        <w:t>Radiology Case Reports</w:t>
      </w:r>
      <w:r>
        <w:rPr>
          <w:rFonts w:ascii="Times New Roman" w:hAnsi="Times New Roman"/>
          <w:sz w:val="24"/>
          <w:szCs w:val="24"/>
        </w:rPr>
        <w:t xml:space="preserve">, </w:t>
      </w:r>
      <w:r>
        <w:rPr>
          <w:rFonts w:ascii="Times New Roman" w:hAnsi="Times New Roman"/>
          <w:i/>
          <w:iCs/>
          <w:sz w:val="24"/>
          <w:szCs w:val="24"/>
        </w:rPr>
        <w:t>8</w:t>
      </w:r>
      <w:r>
        <w:rPr>
          <w:rFonts w:ascii="Times New Roman" w:hAnsi="Times New Roman"/>
          <w:sz w:val="24"/>
          <w:szCs w:val="24"/>
        </w:rPr>
        <w:t>(2), 840. https://doi.org/10.2484/rcr.v8i2.840</w:t>
      </w:r>
    </w:p>
    <w:p w14:paraId="18E66804">
      <w:pPr>
        <w:widowControl w:val="0"/>
        <w:autoSpaceDE w:val="0"/>
        <w:autoSpaceDN w:val="0"/>
        <w:adjustRightInd w:val="0"/>
        <w:ind w:left="480" w:hanging="480"/>
        <w:rPr>
          <w:rFonts w:ascii="Times New Roman" w:hAnsi="Times New Roman"/>
          <w:sz w:val="24"/>
          <w:szCs w:val="24"/>
        </w:rPr>
      </w:pPr>
      <w:r>
        <w:rPr>
          <w:rFonts w:ascii="Times New Roman" w:hAnsi="Times New Roman"/>
          <w:sz w:val="24"/>
          <w:szCs w:val="24"/>
        </w:rPr>
        <w:t xml:space="preserve">John, K., Shafik, K., &amp; Sousa, A. M. De. (2015). Workshop report Open access , open education resources and open data in Uganda, </w:t>
      </w:r>
      <w:r>
        <w:rPr>
          <w:rFonts w:ascii="Times New Roman" w:hAnsi="Times New Roman"/>
          <w:i/>
          <w:iCs/>
          <w:sz w:val="24"/>
          <w:szCs w:val="24"/>
        </w:rPr>
        <w:t>8688</w:t>
      </w:r>
      <w:r>
        <w:rPr>
          <w:rFonts w:ascii="Times New Roman" w:hAnsi="Times New Roman"/>
          <w:sz w:val="24"/>
          <w:szCs w:val="24"/>
        </w:rPr>
        <w:t>, 1–3. https://doi.org/10.11604/pamj.2015.21.129.6325</w:t>
      </w:r>
    </w:p>
    <w:p w14:paraId="23BEACEE">
      <w:pPr>
        <w:widowControl w:val="0"/>
        <w:autoSpaceDE w:val="0"/>
        <w:autoSpaceDN w:val="0"/>
        <w:adjustRightInd w:val="0"/>
        <w:ind w:left="480" w:hanging="480"/>
        <w:rPr>
          <w:rFonts w:ascii="Times New Roman" w:hAnsi="Times New Roman"/>
          <w:sz w:val="24"/>
          <w:szCs w:val="24"/>
        </w:rPr>
      </w:pPr>
      <w:r>
        <w:rPr>
          <w:rFonts w:ascii="Times New Roman" w:hAnsi="Times New Roman"/>
          <w:sz w:val="24"/>
          <w:szCs w:val="24"/>
        </w:rPr>
        <w:t xml:space="preserve">Joseph, H. (2013). The Open Access Movement Grows Up : Taking Stock of a Revolution, </w:t>
      </w:r>
      <w:r>
        <w:rPr>
          <w:rFonts w:ascii="Times New Roman" w:hAnsi="Times New Roman"/>
          <w:i/>
          <w:iCs/>
          <w:sz w:val="24"/>
          <w:szCs w:val="24"/>
        </w:rPr>
        <w:t>11</w:t>
      </w:r>
      <w:r>
        <w:rPr>
          <w:rFonts w:ascii="Times New Roman" w:hAnsi="Times New Roman"/>
          <w:sz w:val="24"/>
          <w:szCs w:val="24"/>
        </w:rPr>
        <w:t>(10), 10–12. https://doi.org/10.1371/journal.pbio.1001686</w:t>
      </w:r>
    </w:p>
    <w:p w14:paraId="2903496A">
      <w:pPr>
        <w:widowControl w:val="0"/>
        <w:autoSpaceDE w:val="0"/>
        <w:autoSpaceDN w:val="0"/>
        <w:adjustRightInd w:val="0"/>
        <w:ind w:left="480" w:hanging="480"/>
        <w:rPr>
          <w:rFonts w:ascii="Times New Roman" w:hAnsi="Times New Roman"/>
          <w:sz w:val="24"/>
          <w:szCs w:val="24"/>
        </w:rPr>
      </w:pPr>
      <w:r>
        <w:rPr>
          <w:rFonts w:ascii="Times New Roman" w:hAnsi="Times New Roman"/>
          <w:sz w:val="24"/>
          <w:szCs w:val="24"/>
        </w:rPr>
        <w:t xml:space="preserve">Kakai, M., &amp; Musoke, M. G. N. (2018). Open access institutional repositories in universities in East Africa, </w:t>
      </w:r>
      <w:r>
        <w:rPr>
          <w:rFonts w:ascii="Times New Roman" w:hAnsi="Times New Roman"/>
          <w:i/>
          <w:iCs/>
          <w:sz w:val="24"/>
          <w:szCs w:val="24"/>
        </w:rPr>
        <w:t>119</w:t>
      </w:r>
      <w:r>
        <w:rPr>
          <w:rFonts w:ascii="Times New Roman" w:hAnsi="Times New Roman"/>
          <w:sz w:val="24"/>
          <w:szCs w:val="24"/>
        </w:rPr>
        <w:t>(11), 667–681. https://doi.org/10.1108/ILS-07-2018-0066</w:t>
      </w:r>
    </w:p>
    <w:p w14:paraId="35796535">
      <w:pPr>
        <w:widowControl w:val="0"/>
        <w:autoSpaceDE w:val="0"/>
        <w:autoSpaceDN w:val="0"/>
        <w:adjustRightInd w:val="0"/>
        <w:ind w:left="480" w:hanging="480"/>
        <w:rPr>
          <w:rFonts w:ascii="Times New Roman" w:hAnsi="Times New Roman"/>
          <w:sz w:val="24"/>
          <w:szCs w:val="24"/>
        </w:rPr>
      </w:pPr>
      <w:r>
        <w:rPr>
          <w:rFonts w:ascii="Times New Roman" w:hAnsi="Times New Roman"/>
          <w:sz w:val="24"/>
          <w:szCs w:val="24"/>
        </w:rPr>
        <w:t xml:space="preserve">Kim, K. (2020). Plan S. </w:t>
      </w:r>
      <w:r>
        <w:rPr>
          <w:rFonts w:ascii="Times New Roman" w:hAnsi="Times New Roman"/>
          <w:i/>
          <w:iCs/>
          <w:sz w:val="24"/>
          <w:szCs w:val="24"/>
        </w:rPr>
        <w:t>Science Editing</w:t>
      </w:r>
      <w:r>
        <w:rPr>
          <w:rFonts w:ascii="Times New Roman" w:hAnsi="Times New Roman"/>
          <w:sz w:val="24"/>
          <w:szCs w:val="24"/>
        </w:rPr>
        <w:t xml:space="preserve">, </w:t>
      </w:r>
      <w:r>
        <w:rPr>
          <w:rFonts w:ascii="Times New Roman" w:hAnsi="Times New Roman"/>
          <w:i/>
          <w:iCs/>
          <w:sz w:val="24"/>
          <w:szCs w:val="24"/>
        </w:rPr>
        <w:t>7</w:t>
      </w:r>
      <w:r>
        <w:rPr>
          <w:rFonts w:ascii="Times New Roman" w:hAnsi="Times New Roman"/>
          <w:sz w:val="24"/>
          <w:szCs w:val="24"/>
        </w:rPr>
        <w:t>(1), 78–79. https://doi.org/10.6087/kcse.195</w:t>
      </w:r>
    </w:p>
    <w:p w14:paraId="31ED3CED">
      <w:pPr>
        <w:widowControl w:val="0"/>
        <w:autoSpaceDE w:val="0"/>
        <w:autoSpaceDN w:val="0"/>
        <w:adjustRightInd w:val="0"/>
        <w:ind w:left="480" w:hanging="480"/>
        <w:rPr>
          <w:rFonts w:ascii="Times New Roman" w:hAnsi="Times New Roman"/>
          <w:sz w:val="24"/>
          <w:szCs w:val="24"/>
        </w:rPr>
      </w:pPr>
      <w:r>
        <w:rPr>
          <w:rFonts w:ascii="Times New Roman" w:hAnsi="Times New Roman"/>
          <w:sz w:val="24"/>
          <w:szCs w:val="24"/>
        </w:rPr>
        <w:t>Kiwanuka, F., Waswa, S., Alemayehu, Y. H., &amp; Simbeye, J. A. (2020). Policy Decisions and Response to Fight 2019 Novel Coronavirus Disease in Uganda: A review of Attributes, Comprehensiveness and Implications to Improve Resilience to Future Pandemics, 1–18. https://doi.org/10.21203/rs.3.rs-28670/v1</w:t>
      </w:r>
    </w:p>
    <w:p w14:paraId="22BA74B1">
      <w:pPr>
        <w:widowControl w:val="0"/>
        <w:autoSpaceDE w:val="0"/>
        <w:autoSpaceDN w:val="0"/>
        <w:adjustRightInd w:val="0"/>
        <w:ind w:left="480" w:hanging="480"/>
        <w:rPr>
          <w:rFonts w:ascii="Times New Roman" w:hAnsi="Times New Roman"/>
          <w:sz w:val="24"/>
          <w:szCs w:val="24"/>
        </w:rPr>
      </w:pPr>
      <w:r>
        <w:rPr>
          <w:rFonts w:ascii="Times New Roman" w:hAnsi="Times New Roman"/>
          <w:sz w:val="24"/>
          <w:szCs w:val="24"/>
        </w:rPr>
        <w:t xml:space="preserve">Langheinrich, M. (2019). A Plan B for Plan S? </w:t>
      </w:r>
      <w:r>
        <w:rPr>
          <w:rFonts w:ascii="Times New Roman" w:hAnsi="Times New Roman"/>
          <w:i/>
          <w:iCs/>
          <w:sz w:val="24"/>
          <w:szCs w:val="24"/>
        </w:rPr>
        <w:t>IEEE Pervasive Computing</w:t>
      </w:r>
      <w:r>
        <w:rPr>
          <w:rFonts w:ascii="Times New Roman" w:hAnsi="Times New Roman"/>
          <w:sz w:val="24"/>
          <w:szCs w:val="24"/>
        </w:rPr>
        <w:t xml:space="preserve">, </w:t>
      </w:r>
      <w:r>
        <w:rPr>
          <w:rFonts w:ascii="Times New Roman" w:hAnsi="Times New Roman"/>
          <w:i/>
          <w:iCs/>
          <w:sz w:val="24"/>
          <w:szCs w:val="24"/>
        </w:rPr>
        <w:t>18</w:t>
      </w:r>
      <w:r>
        <w:rPr>
          <w:rFonts w:ascii="Times New Roman" w:hAnsi="Times New Roman"/>
          <w:sz w:val="24"/>
          <w:szCs w:val="24"/>
        </w:rPr>
        <w:t>(2), 4–7. https://doi.org/10.1109/MPRV.2019.2921142</w:t>
      </w:r>
    </w:p>
    <w:p w14:paraId="03BC22F5">
      <w:pPr>
        <w:widowControl w:val="0"/>
        <w:autoSpaceDE w:val="0"/>
        <w:autoSpaceDN w:val="0"/>
        <w:adjustRightInd w:val="0"/>
        <w:ind w:left="480" w:hanging="480"/>
        <w:rPr>
          <w:rFonts w:ascii="Times New Roman" w:hAnsi="Times New Roman"/>
          <w:sz w:val="24"/>
          <w:szCs w:val="24"/>
        </w:rPr>
      </w:pPr>
      <w:r>
        <w:rPr>
          <w:rFonts w:ascii="Times New Roman" w:hAnsi="Times New Roman"/>
          <w:sz w:val="24"/>
          <w:szCs w:val="24"/>
        </w:rPr>
        <w:t xml:space="preserve">Li, J., Guo, K., Viedma, E. H., Lee, H., Liu, J., Zhong, N., … Shi, Y. (2020). Culture versus Policy: More Global Collaboration to Effectively Combat COVID-19. </w:t>
      </w:r>
      <w:r>
        <w:rPr>
          <w:rFonts w:ascii="Times New Roman" w:hAnsi="Times New Roman"/>
          <w:i/>
          <w:iCs/>
          <w:sz w:val="24"/>
          <w:szCs w:val="24"/>
        </w:rPr>
        <w:t>Innovation(China)</w:t>
      </w:r>
      <w:r>
        <w:rPr>
          <w:rFonts w:ascii="Times New Roman" w:hAnsi="Times New Roman"/>
          <w:sz w:val="24"/>
          <w:szCs w:val="24"/>
        </w:rPr>
        <w:t xml:space="preserve">, </w:t>
      </w:r>
      <w:r>
        <w:rPr>
          <w:rFonts w:ascii="Times New Roman" w:hAnsi="Times New Roman"/>
          <w:i/>
          <w:iCs/>
          <w:sz w:val="24"/>
          <w:szCs w:val="24"/>
        </w:rPr>
        <w:t>1</w:t>
      </w:r>
      <w:r>
        <w:rPr>
          <w:rFonts w:ascii="Times New Roman" w:hAnsi="Times New Roman"/>
          <w:sz w:val="24"/>
          <w:szCs w:val="24"/>
        </w:rPr>
        <w:t>(2), 100023. https://doi.org/10.1016/j.xinn.2020.100023</w:t>
      </w:r>
    </w:p>
    <w:p w14:paraId="7E5D73B8">
      <w:pPr>
        <w:widowControl w:val="0"/>
        <w:autoSpaceDE w:val="0"/>
        <w:autoSpaceDN w:val="0"/>
        <w:adjustRightInd w:val="0"/>
        <w:ind w:left="480" w:hanging="480"/>
        <w:rPr>
          <w:rFonts w:ascii="Times New Roman" w:hAnsi="Times New Roman"/>
          <w:sz w:val="24"/>
          <w:szCs w:val="24"/>
        </w:rPr>
      </w:pPr>
      <w:r>
        <w:rPr>
          <w:rFonts w:ascii="Times New Roman" w:hAnsi="Times New Roman"/>
          <w:sz w:val="24"/>
          <w:szCs w:val="24"/>
        </w:rPr>
        <w:t xml:space="preserve">Miller, R. C., &amp; Tsai, C. J. (2020). Scholarly Publishing in the Wake of COVID-19. </w:t>
      </w:r>
      <w:r>
        <w:rPr>
          <w:rFonts w:ascii="Times New Roman" w:hAnsi="Times New Roman"/>
          <w:i/>
          <w:iCs/>
          <w:sz w:val="24"/>
          <w:szCs w:val="24"/>
        </w:rPr>
        <w:t>International Journal of Radiation Oncology Biology Physics</w:t>
      </w:r>
      <w:r>
        <w:rPr>
          <w:rFonts w:ascii="Times New Roman" w:hAnsi="Times New Roman"/>
          <w:sz w:val="24"/>
          <w:szCs w:val="24"/>
        </w:rPr>
        <w:t xml:space="preserve">, </w:t>
      </w:r>
      <w:r>
        <w:rPr>
          <w:rFonts w:ascii="Times New Roman" w:hAnsi="Times New Roman"/>
          <w:i/>
          <w:iCs/>
          <w:sz w:val="24"/>
          <w:szCs w:val="24"/>
        </w:rPr>
        <w:t>108</w:t>
      </w:r>
      <w:r>
        <w:rPr>
          <w:rFonts w:ascii="Times New Roman" w:hAnsi="Times New Roman"/>
          <w:sz w:val="24"/>
          <w:szCs w:val="24"/>
        </w:rPr>
        <w:t>(2), 491–495. https://doi.org/10.1016/j.ijrobp.2020.06.048</w:t>
      </w:r>
    </w:p>
    <w:p w14:paraId="3FF31F9A">
      <w:pPr>
        <w:widowControl w:val="0"/>
        <w:autoSpaceDE w:val="0"/>
        <w:autoSpaceDN w:val="0"/>
        <w:adjustRightInd w:val="0"/>
        <w:ind w:left="480" w:hanging="480"/>
        <w:rPr>
          <w:rFonts w:ascii="Times New Roman" w:hAnsi="Times New Roman"/>
          <w:sz w:val="24"/>
          <w:szCs w:val="24"/>
        </w:rPr>
      </w:pPr>
      <w:r>
        <w:rPr>
          <w:rFonts w:ascii="Times New Roman" w:hAnsi="Times New Roman"/>
          <w:sz w:val="24"/>
          <w:szCs w:val="24"/>
        </w:rPr>
        <w:t xml:space="preserve">Price, R., &amp; Ozkan, Y. (2021). Characteristics of Imperial College London’s COVID-19 research outputs. </w:t>
      </w:r>
      <w:r>
        <w:rPr>
          <w:rFonts w:ascii="Times New Roman" w:hAnsi="Times New Roman"/>
          <w:i/>
          <w:iCs/>
          <w:sz w:val="24"/>
          <w:szCs w:val="24"/>
        </w:rPr>
        <w:t>Learned Publishing</w:t>
      </w:r>
      <w:r>
        <w:rPr>
          <w:rFonts w:ascii="Times New Roman" w:hAnsi="Times New Roman"/>
          <w:sz w:val="24"/>
          <w:szCs w:val="24"/>
        </w:rPr>
        <w:t xml:space="preserve">, </w:t>
      </w:r>
      <w:r>
        <w:rPr>
          <w:rFonts w:ascii="Times New Roman" w:hAnsi="Times New Roman"/>
          <w:i/>
          <w:iCs/>
          <w:sz w:val="24"/>
          <w:szCs w:val="24"/>
        </w:rPr>
        <w:t>34</w:t>
      </w:r>
      <w:r>
        <w:rPr>
          <w:rFonts w:ascii="Times New Roman" w:hAnsi="Times New Roman"/>
          <w:sz w:val="24"/>
          <w:szCs w:val="24"/>
        </w:rPr>
        <w:t>(3), 358–369. https://doi.org/10.1002/leap.1358</w:t>
      </w:r>
    </w:p>
    <w:p w14:paraId="569434B8">
      <w:pPr>
        <w:widowControl w:val="0"/>
        <w:autoSpaceDE w:val="0"/>
        <w:autoSpaceDN w:val="0"/>
        <w:adjustRightInd w:val="0"/>
        <w:ind w:left="480" w:hanging="480"/>
        <w:rPr>
          <w:rFonts w:ascii="Times New Roman" w:hAnsi="Times New Roman"/>
          <w:sz w:val="24"/>
          <w:szCs w:val="24"/>
        </w:rPr>
      </w:pPr>
      <w:r>
        <w:rPr>
          <w:rFonts w:ascii="Times New Roman" w:hAnsi="Times New Roman"/>
          <w:sz w:val="24"/>
          <w:szCs w:val="24"/>
        </w:rPr>
        <w:t xml:space="preserve">Talley, C. R. (2008). Open-access publishing: Why not? </w:t>
      </w:r>
      <w:r>
        <w:rPr>
          <w:rFonts w:ascii="Times New Roman" w:hAnsi="Times New Roman"/>
          <w:i/>
          <w:iCs/>
          <w:sz w:val="24"/>
          <w:szCs w:val="24"/>
        </w:rPr>
        <w:t>American Journal of Health-System Pharmacy</w:t>
      </w:r>
      <w:r>
        <w:rPr>
          <w:rFonts w:ascii="Times New Roman" w:hAnsi="Times New Roman"/>
          <w:sz w:val="24"/>
          <w:szCs w:val="24"/>
        </w:rPr>
        <w:t xml:space="preserve">, </w:t>
      </w:r>
      <w:r>
        <w:rPr>
          <w:rFonts w:ascii="Times New Roman" w:hAnsi="Times New Roman"/>
          <w:i/>
          <w:iCs/>
          <w:sz w:val="24"/>
          <w:szCs w:val="24"/>
        </w:rPr>
        <w:t>65</w:t>
      </w:r>
      <w:r>
        <w:rPr>
          <w:rFonts w:ascii="Times New Roman" w:hAnsi="Times New Roman"/>
          <w:sz w:val="24"/>
          <w:szCs w:val="24"/>
        </w:rPr>
        <w:t>(16), 1511. https://doi.org/10.2146/ajhp080230</w:t>
      </w:r>
    </w:p>
    <w:p w14:paraId="35525F51">
      <w:pPr>
        <w:widowControl w:val="0"/>
        <w:autoSpaceDE w:val="0"/>
        <w:autoSpaceDN w:val="0"/>
        <w:adjustRightInd w:val="0"/>
        <w:ind w:left="480" w:hanging="480"/>
        <w:rPr>
          <w:rFonts w:ascii="Times New Roman" w:hAnsi="Times New Roman"/>
          <w:sz w:val="24"/>
          <w:szCs w:val="24"/>
        </w:rPr>
      </w:pPr>
      <w:r>
        <w:rPr>
          <w:rFonts w:ascii="Times New Roman" w:hAnsi="Times New Roman"/>
          <w:sz w:val="24"/>
          <w:szCs w:val="24"/>
        </w:rPr>
        <w:t xml:space="preserve">Tikhonova, E., &amp; Raitskaya, L. (2020). Mapping the current research agenda on scholarly publishing: Scopus-indexed reviews. </w:t>
      </w:r>
      <w:r>
        <w:rPr>
          <w:rFonts w:ascii="Times New Roman" w:hAnsi="Times New Roman"/>
          <w:i/>
          <w:iCs/>
          <w:sz w:val="24"/>
          <w:szCs w:val="24"/>
        </w:rPr>
        <w:t>Journal of Language and Education</w:t>
      </w:r>
      <w:r>
        <w:rPr>
          <w:rFonts w:ascii="Times New Roman" w:hAnsi="Times New Roman"/>
          <w:sz w:val="24"/>
          <w:szCs w:val="24"/>
        </w:rPr>
        <w:t xml:space="preserve">, </w:t>
      </w:r>
      <w:r>
        <w:rPr>
          <w:rFonts w:ascii="Times New Roman" w:hAnsi="Times New Roman"/>
          <w:i/>
          <w:iCs/>
          <w:sz w:val="24"/>
          <w:szCs w:val="24"/>
        </w:rPr>
        <w:t>6</w:t>
      </w:r>
      <w:r>
        <w:rPr>
          <w:rFonts w:ascii="Times New Roman" w:hAnsi="Times New Roman"/>
          <w:sz w:val="24"/>
          <w:szCs w:val="24"/>
        </w:rPr>
        <w:t>(4), 4–10. https://doi.org/10.17323/jle.2020.11743</w:t>
      </w:r>
    </w:p>
    <w:p w14:paraId="7B1FD20B">
      <w:pPr>
        <w:widowControl w:val="0"/>
        <w:autoSpaceDE w:val="0"/>
        <w:autoSpaceDN w:val="0"/>
        <w:adjustRightInd w:val="0"/>
        <w:ind w:left="480" w:hanging="480"/>
        <w:rPr>
          <w:rFonts w:ascii="Times New Roman" w:hAnsi="Times New Roman"/>
          <w:sz w:val="24"/>
          <w:szCs w:val="24"/>
        </w:rPr>
      </w:pPr>
      <w:r>
        <w:rPr>
          <w:rFonts w:ascii="Times New Roman" w:hAnsi="Times New Roman"/>
          <w:sz w:val="24"/>
          <w:szCs w:val="24"/>
        </w:rPr>
        <w:t xml:space="preserve">Tomlin, P., &amp; Tomiin, P. (2011). Linked references are available on JSTOR for this article : Every Man His Book ? An Introduction to Open Access in the Arts _, </w:t>
      </w:r>
      <w:r>
        <w:rPr>
          <w:rFonts w:ascii="Times New Roman" w:hAnsi="Times New Roman"/>
          <w:i/>
          <w:iCs/>
          <w:sz w:val="24"/>
          <w:szCs w:val="24"/>
        </w:rPr>
        <w:t>30</w:t>
      </w:r>
      <w:r>
        <w:rPr>
          <w:rFonts w:ascii="Times New Roman" w:hAnsi="Times New Roman"/>
          <w:sz w:val="24"/>
          <w:szCs w:val="24"/>
        </w:rPr>
        <w:t>(1), 4–11.</w:t>
      </w:r>
    </w:p>
    <w:p w14:paraId="4A906D3C">
      <w:pPr>
        <w:widowControl w:val="0"/>
        <w:autoSpaceDE w:val="0"/>
        <w:autoSpaceDN w:val="0"/>
        <w:adjustRightInd w:val="0"/>
        <w:ind w:left="480" w:hanging="480"/>
        <w:rPr>
          <w:rFonts w:ascii="Times New Roman" w:hAnsi="Times New Roman"/>
          <w:sz w:val="24"/>
          <w:szCs w:val="24"/>
        </w:rPr>
      </w:pPr>
      <w:r>
        <w:rPr>
          <w:rFonts w:ascii="Times New Roman" w:hAnsi="Times New Roman"/>
          <w:sz w:val="24"/>
          <w:szCs w:val="24"/>
        </w:rPr>
        <w:t xml:space="preserve">Trimarco, P. (2021). The pandemic and open access publishing. </w:t>
      </w:r>
      <w:r>
        <w:rPr>
          <w:rFonts w:ascii="Times New Roman" w:hAnsi="Times New Roman"/>
          <w:i/>
          <w:iCs/>
          <w:sz w:val="24"/>
          <w:szCs w:val="24"/>
        </w:rPr>
        <w:t>Open Learning: The Journal of Open, Distance and e-Learning</w:t>
      </w:r>
      <w:r>
        <w:rPr>
          <w:rFonts w:ascii="Times New Roman" w:hAnsi="Times New Roman"/>
          <w:sz w:val="24"/>
          <w:szCs w:val="24"/>
        </w:rPr>
        <w:t xml:space="preserve">, </w:t>
      </w:r>
      <w:r>
        <w:rPr>
          <w:rFonts w:ascii="Times New Roman" w:hAnsi="Times New Roman"/>
          <w:i/>
          <w:iCs/>
          <w:sz w:val="24"/>
          <w:szCs w:val="24"/>
        </w:rPr>
        <w:t>36</w:t>
      </w:r>
      <w:r>
        <w:rPr>
          <w:rFonts w:ascii="Times New Roman" w:hAnsi="Times New Roman"/>
          <w:sz w:val="24"/>
          <w:szCs w:val="24"/>
        </w:rPr>
        <w:t>(3), 283–285. https://doi.org/10.1080/02680513.2021.1979951</w:t>
      </w:r>
    </w:p>
    <w:p w14:paraId="1F6E248B">
      <w:pPr>
        <w:widowControl w:val="0"/>
        <w:autoSpaceDE w:val="0"/>
        <w:autoSpaceDN w:val="0"/>
        <w:adjustRightInd w:val="0"/>
        <w:ind w:left="480" w:hanging="480"/>
        <w:rPr>
          <w:rFonts w:ascii="Times New Roman" w:hAnsi="Times New Roman"/>
          <w:sz w:val="24"/>
        </w:rPr>
      </w:pPr>
      <w:r>
        <w:rPr>
          <w:rFonts w:ascii="Times New Roman" w:hAnsi="Times New Roman"/>
          <w:sz w:val="24"/>
          <w:szCs w:val="24"/>
        </w:rPr>
        <w:t xml:space="preserve">Umviligihozo, G., Mupfumi, L., Sonela, N., Naicker, D., Obuku, E. A., Koofhethile, C., … Balinda, S. N. (2020). Sub-Saharan Africa preparedness and response to the COVID-19 pandemic: A perspective of early career African scientists. </w:t>
      </w:r>
      <w:r>
        <w:rPr>
          <w:rFonts w:ascii="Times New Roman" w:hAnsi="Times New Roman"/>
          <w:i/>
          <w:iCs/>
          <w:sz w:val="24"/>
          <w:szCs w:val="24"/>
        </w:rPr>
        <w:t>Wellcome Open Research</w:t>
      </w:r>
      <w:r>
        <w:rPr>
          <w:rFonts w:ascii="Times New Roman" w:hAnsi="Times New Roman"/>
          <w:sz w:val="24"/>
          <w:szCs w:val="24"/>
        </w:rPr>
        <w:t xml:space="preserve">, </w:t>
      </w:r>
      <w:r>
        <w:rPr>
          <w:rFonts w:ascii="Times New Roman" w:hAnsi="Times New Roman"/>
          <w:i/>
          <w:iCs/>
          <w:sz w:val="24"/>
          <w:szCs w:val="24"/>
        </w:rPr>
        <w:t>5</w:t>
      </w:r>
      <w:r>
        <w:rPr>
          <w:rFonts w:ascii="Times New Roman" w:hAnsi="Times New Roman"/>
          <w:sz w:val="24"/>
          <w:szCs w:val="24"/>
        </w:rPr>
        <w:t>, 1–23. https://doi.org/10.12688/wellcomeopenres.16070.2</w:t>
      </w:r>
    </w:p>
    <w:p w14:paraId="059FBB7A">
      <w:pPr>
        <w:widowControl w:val="0"/>
        <w:autoSpaceDE w:val="0"/>
        <w:autoSpaceDN w:val="0"/>
        <w:adjustRightInd w:val="0"/>
        <w:ind w:left="480" w:hanging="480"/>
        <w:rPr>
          <w:rFonts w:ascii="Times New Roman" w:hAnsi="Times New Roman"/>
          <w:b/>
          <w:sz w:val="24"/>
          <w:szCs w:val="24"/>
        </w:rPr>
      </w:pPr>
      <w:r>
        <w:rPr>
          <w:rFonts w:ascii="Times New Roman" w:hAnsi="Times New Roman"/>
          <w:sz w:val="24"/>
          <w:szCs w:val="24"/>
        </w:rPr>
        <w:fldChar w:fldCharType="end"/>
      </w:r>
      <w:r>
        <w:rPr>
          <w:rFonts w:ascii="Times New Roman" w:hAnsi="Times New Roman"/>
          <w:b/>
          <w:sz w:val="24"/>
          <w:szCs w:val="24"/>
        </w:rPr>
        <w:t>Links</w:t>
      </w:r>
    </w:p>
    <w:p w14:paraId="7581F8E2">
      <w:pPr>
        <w:rPr>
          <w:rFonts w:ascii="Times New Roman" w:hAnsi="Times New Roman"/>
          <w:sz w:val="24"/>
          <w:szCs w:val="24"/>
        </w:rPr>
      </w:pPr>
      <w:r>
        <w:fldChar w:fldCharType="begin"/>
      </w:r>
      <w:r>
        <w:instrText xml:space="preserve"> HYPERLINK "https://authorservices.taylorandfrancis.com/publishing-open-access/" </w:instrText>
      </w:r>
      <w:r>
        <w:fldChar w:fldCharType="separate"/>
      </w:r>
      <w:r>
        <w:rPr>
          <w:rStyle w:val="6"/>
          <w:rFonts w:ascii="Times New Roman" w:hAnsi="Times New Roman"/>
          <w:sz w:val="24"/>
          <w:szCs w:val="24"/>
        </w:rPr>
        <w:t>https://authorservices.taylorandfrancis.com/publishing-open-access/#</w:t>
      </w:r>
      <w:r>
        <w:rPr>
          <w:rStyle w:val="6"/>
          <w:rFonts w:ascii="Times New Roman" w:hAnsi="Times New Roman"/>
          <w:sz w:val="24"/>
          <w:szCs w:val="24"/>
        </w:rPr>
        <w:fldChar w:fldCharType="end"/>
      </w:r>
    </w:p>
    <w:p w14:paraId="3BB99934">
      <w:pPr>
        <w:rPr>
          <w:rFonts w:ascii="Times New Roman" w:hAnsi="Times New Roman"/>
          <w:sz w:val="24"/>
          <w:szCs w:val="24"/>
        </w:rPr>
      </w:pPr>
      <w:r>
        <w:fldChar w:fldCharType="begin"/>
      </w:r>
      <w:r>
        <w:instrText xml:space="preserve"> HYPERLINK "https://www.tandfonline.com/action/doSearch?AllField=uganda&amp;SeriesKey=oamd20" </w:instrText>
      </w:r>
      <w:r>
        <w:fldChar w:fldCharType="separate"/>
      </w:r>
      <w:r>
        <w:rPr>
          <w:rStyle w:val="6"/>
          <w:rFonts w:ascii="Times New Roman" w:hAnsi="Times New Roman"/>
          <w:sz w:val="24"/>
          <w:szCs w:val="24"/>
        </w:rPr>
        <w:t>https://www.tandfonline.com/action/doSearch?AllField=uganda&amp;SeriesKey=oamd20</w:t>
      </w:r>
      <w:r>
        <w:rPr>
          <w:rStyle w:val="6"/>
          <w:rFonts w:ascii="Times New Roman" w:hAnsi="Times New Roman"/>
          <w:sz w:val="24"/>
          <w:szCs w:val="24"/>
        </w:rPr>
        <w:fldChar w:fldCharType="end"/>
      </w:r>
    </w:p>
    <w:p w14:paraId="7CE06685">
      <w:pPr>
        <w:rPr>
          <w:rFonts w:ascii="Times New Roman" w:hAnsi="Times New Roman"/>
          <w:sz w:val="24"/>
          <w:szCs w:val="24"/>
        </w:rPr>
      </w:pPr>
      <w:r>
        <w:fldChar w:fldCharType="begin"/>
      </w:r>
      <w:r>
        <w:instrText xml:space="preserve"> HYPERLINK "https://www.tandfonline.com/openaccess/cogentoa" </w:instrText>
      </w:r>
      <w:r>
        <w:fldChar w:fldCharType="separate"/>
      </w:r>
      <w:r>
        <w:rPr>
          <w:rStyle w:val="6"/>
          <w:rFonts w:ascii="Times New Roman" w:hAnsi="Times New Roman"/>
          <w:sz w:val="24"/>
          <w:szCs w:val="24"/>
        </w:rPr>
        <w:t>https://www.tandfonline.com/openaccess/cogentoa</w:t>
      </w:r>
      <w:r>
        <w:rPr>
          <w:rStyle w:val="6"/>
          <w:rFonts w:ascii="Times New Roman" w:hAnsi="Times New Roman"/>
          <w:sz w:val="24"/>
          <w:szCs w:val="24"/>
        </w:rPr>
        <w:fldChar w:fldCharType="end"/>
      </w:r>
    </w:p>
    <w:p w14:paraId="657DEEAC">
      <w:pPr>
        <w:rPr>
          <w:rFonts w:ascii="Times New Roman" w:hAnsi="Times New Roman"/>
          <w:sz w:val="24"/>
          <w:szCs w:val="24"/>
        </w:rPr>
      </w:pPr>
      <w:r>
        <w:fldChar w:fldCharType="begin"/>
      </w:r>
      <w:r>
        <w:instrText xml:space="preserve"> HYPERLINK "https://www.f1000research.com/search" </w:instrText>
      </w:r>
      <w:r>
        <w:fldChar w:fldCharType="separate"/>
      </w:r>
      <w:r>
        <w:rPr>
          <w:rStyle w:val="6"/>
          <w:rFonts w:ascii="Times New Roman" w:hAnsi="Times New Roman"/>
          <w:sz w:val="24"/>
          <w:szCs w:val="24"/>
        </w:rPr>
        <w:t>https://www.f1000research.com/search</w:t>
      </w:r>
      <w:r>
        <w:rPr>
          <w:rStyle w:val="6"/>
          <w:rFonts w:ascii="Times New Roman" w:hAnsi="Times New Roman"/>
          <w:sz w:val="24"/>
          <w:szCs w:val="24"/>
        </w:rPr>
        <w:fldChar w:fldCharType="end"/>
      </w:r>
    </w:p>
    <w:p w14:paraId="06F51F49">
      <w:pPr>
        <w:rPr>
          <w:rFonts w:ascii="Times New Roman" w:hAnsi="Times New Roman"/>
          <w:sz w:val="24"/>
          <w:szCs w:val="24"/>
        </w:rPr>
      </w:pPr>
    </w:p>
    <w:p w14:paraId="7730334E"/>
    <w:sectPr>
      <w:footerReference r:id="rId7" w:type="first"/>
      <w:headerReference r:id="rId5" w:type="default"/>
      <w:footerReference r:id="rId6" w:type="default"/>
      <w:pgSz w:w="12240" w:h="15840"/>
      <w:pgMar w:top="1440" w:right="1440" w:bottom="1440" w:left="1440" w:header="720" w:footer="720" w:gutter="0"/>
      <w:pgNumType w:fmt="decimal" w:start="1"/>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86D2EB">
    <w:pPr>
      <w:pStyle w:val="4"/>
      <w:jc w:val="center"/>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1C890B6">
                          <w:pPr>
                            <w:pStyle w:val="4"/>
                            <w:jc w:val="center"/>
                          </w:pPr>
                          <w:r>
                            <w:fldChar w:fldCharType="begin"/>
                          </w:r>
                          <w:r>
                            <w:instrText xml:space="preserve"> PAGE   \* MERGEFORMAT </w:instrText>
                          </w:r>
                          <w:r>
                            <w:fldChar w:fldCharType="separate"/>
                          </w:r>
                          <w:r>
                            <w:t>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NEw1/TMAgAA&#10;IwYAAA4AAAAAAAAAAQAgAAAAHwEAAGRycy9lMm9Eb2MueG1sUEsFBgAAAAAGAAYAWQEAAF0GAAAA&#10;AA==&#10;">
              <v:fill on="f" focussize="0,0"/>
              <v:stroke on="f" weight="0.5pt"/>
              <v:imagedata o:title=""/>
              <o:lock v:ext="edit" aspectratio="f"/>
              <v:textbox inset="0mm,0mm,0mm,0mm" style="mso-fit-shape-to-text:t;">
                <w:txbxContent>
                  <w:p w14:paraId="61C890B6">
                    <w:pPr>
                      <w:pStyle w:val="4"/>
                      <w:jc w:val="center"/>
                    </w:pPr>
                    <w:r>
                      <w:fldChar w:fldCharType="begin"/>
                    </w:r>
                    <w:r>
                      <w:instrText xml:space="preserve"> PAGE   \* MERGEFORMAT </w:instrText>
                    </w:r>
                    <w:r>
                      <w:fldChar w:fldCharType="separate"/>
                    </w:r>
                    <w:r>
                      <w:t>8</w:t>
                    </w:r>
                    <w:r>
                      <w:fldChar w:fldCharType="end"/>
                    </w:r>
                  </w:p>
                </w:txbxContent>
              </v:textbox>
            </v:shape>
          </w:pict>
        </mc:Fallback>
      </mc:AlternateContent>
    </w:r>
  </w:p>
  <w:p w14:paraId="3036C407">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11896">
    <w:pPr>
      <w:pStyle w:val="4"/>
    </w:pPr>
    <w:r>
      <w:rPr>
        <w:sz w:val="2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877F688">
                          <w:pPr>
                            <w:pStyle w:val="4"/>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">
              <v:fill on="f" focussize="0,0"/>
              <v:stroke on="f" weight="0.5pt"/>
              <v:imagedata o:title=""/>
              <o:lock v:ext="edit" aspectratio="f"/>
              <v:textbox inset="0mm,0mm,0mm,0mm" style="mso-fit-shape-to-text:t;">
                <w:txbxContent>
                  <w:p w14:paraId="1877F688">
                    <w:pPr>
                      <w:pStyle w:val="4"/>
                    </w:pPr>
                    <w:r>
                      <w:fldChar w:fldCharType="begin"/>
                    </w:r>
                    <w:r>
                      <w:instrText xml:space="preserve"> PAGE  \* MERGEFORMAT </w:instrText>
                    </w:r>
                    <w:r>
                      <w:fldChar w:fldCharType="separate"/>
                    </w:r>
                    <w:r>
                      <w:t>0</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499BE">
    <w:pPr>
      <w:pStyle w:val="5"/>
      <w:jc w:val="center"/>
      <w:rPr>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0967A9"/>
    <w:rsid w:val="45A91255"/>
    <w:rsid w:val="610967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jc w:val="both"/>
    </w:pPr>
    <w:rPr>
      <w:rFonts w:ascii="Calibri" w:hAnsi="Calibri" w:eastAsia="Calibri" w:cs="Times New Roman"/>
      <w:sz w:val="22"/>
      <w:szCs w:val="22"/>
      <w:lang w:val="en-US" w:eastAsia="en-US"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4">
    <w:name w:val="footer"/>
    <w:basedOn w:val="1"/>
    <w:unhideWhenUsed/>
    <w:qFormat/>
    <w:uiPriority w:val="99"/>
    <w:pPr>
      <w:tabs>
        <w:tab w:val="center" w:pos="4680"/>
        <w:tab w:val="right" w:pos="9360"/>
      </w:tabs>
      <w:spacing w:line="240" w:lineRule="auto"/>
    </w:pPr>
  </w:style>
  <w:style w:type="paragraph" w:styleId="5">
    <w:name w:val="header"/>
    <w:basedOn w:val="1"/>
    <w:semiHidden/>
    <w:unhideWhenUsed/>
    <w:qFormat/>
    <w:uiPriority w:val="99"/>
    <w:pPr>
      <w:tabs>
        <w:tab w:val="center" w:pos="4680"/>
        <w:tab w:val="right" w:pos="9360"/>
      </w:tabs>
      <w:spacing w:line="240" w:lineRule="auto"/>
    </w:pPr>
  </w:style>
  <w:style w:type="character" w:styleId="6">
    <w:name w:val="Hyperlink"/>
    <w:unhideWhenUsed/>
    <w:qFormat/>
    <w:uiPriority w:val="99"/>
    <w:rPr>
      <w:color w:val="0000FF"/>
      <w:u w:val="single"/>
    </w:rPr>
  </w:style>
  <w:style w:type="paragraph" w:styleId="7">
    <w:name w:val="Normal (Web)"/>
    <w:basedOn w:val="1"/>
    <w:semiHidden/>
    <w:unhideWhenUsed/>
    <w:qFormat/>
    <w:uiPriority w:val="99"/>
    <w:pPr>
      <w:spacing w:before="100" w:beforeAutospacing="1" w:after="100" w:afterAutospacing="1" w:line="240" w:lineRule="auto"/>
      <w:jc w:val="left"/>
    </w:pPr>
    <w:rPr>
      <w:rFonts w:ascii="Times New Roman" w:hAnsi="Times New Roman" w:eastAsia="Times New Roman" w:cs="Times New Roman"/>
      <w:sz w:val="24"/>
      <w:szCs w:val="24"/>
    </w:rPr>
  </w:style>
  <w:style w:type="character" w:customStyle="1" w:styleId="8">
    <w:name w:val="apple-tab-span"/>
    <w:basedOn w:val="2"/>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2</TotalTime>
  <ScaleCrop>false</ScaleCrop>
  <LinksUpToDate>false</LinksUpToDate>
  <CharactersWithSpaces>0</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2026-05-09T18:59:00Z</dcterms:created>
  <dc:creator>User</dc:creator>
  <cp:lastModifiedBy>User</cp:lastModifiedBy>
  <dcterms:modified xsi:type="dcterms:W3CDTF">2026-05-09T19:02:09Z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FBF0845296B345D388675DBBC26FFE9B_11</vt:lpwstr>
  </property>
  <property fmtid="{D5CDD505-2E9C-101B-9397-08002B2CF9AE}" pid="4" name="KSOTemplateDocerSaveRecord">
    <vt:lpwstr>eyJoZGlkIjoiNDRlZWUyMmIxY2U1YjhmZWM4M2M0MTlmYzhkN2U1MzUifQ==</vt:lpwstr>
  </property>
</Properties>
</file>